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kern w:val="2"/>
          <w:sz w:val="24"/>
          <w:szCs w:val="24"/>
          <w14:ligatures w14:val="standardContextual"/>
        </w:rPr>
        <w:id w:val="-1298907695"/>
        <w:docPartObj>
          <w:docPartGallery w:val="Cover Pages"/>
          <w:docPartUnique/>
        </w:docPartObj>
      </w:sdtPr>
      <w:sdtContent>
        <w:p w14:paraId="73F6DB1C" w14:textId="196881DC" w:rsidR="008B0591" w:rsidRPr="00AC39B5" w:rsidRDefault="008B0591" w:rsidP="00161722">
          <w:pPr>
            <w:pStyle w:val="NoSpacing"/>
            <w:spacing w:before="1540" w:after="240"/>
            <w:jc w:val="cente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089FAB85" wp14:editId="7083D47F">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sz w:val="24"/>
              <w:szCs w:val="24"/>
            </w:rPr>
            <w:alias w:val="Title"/>
            <w:tag w:val=""/>
            <w:id w:val="1735040861"/>
            <w:placeholder>
              <w:docPart w:val="5CF0E789F3C4435BA0046ACF89AA1952"/>
            </w:placeholder>
            <w:dataBinding w:prefixMappings="xmlns:ns0='http://purl.org/dc/elements/1.1/' xmlns:ns1='http://schemas.openxmlformats.org/package/2006/metadata/core-properties' " w:xpath="/ns1:coreProperties[1]/ns0:title[1]" w:storeItemID="{6C3C8BC8-F283-45AE-878A-BAB7291924A1}"/>
            <w:text/>
          </w:sdtPr>
          <w:sdtContent>
            <w:p w14:paraId="2D75A693" w14:textId="5E0E5F56" w:rsidR="008B0591" w:rsidRPr="00AC39B5" w:rsidRDefault="00F07546" w:rsidP="00161722">
              <w:pPr>
                <w:pStyle w:val="NoSpacing"/>
                <w:pBdr>
                  <w:top w:val="single" w:sz="6" w:space="6" w:color="4472C4" w:themeColor="accent1"/>
                  <w:bottom w:val="single" w:sz="6" w:space="6" w:color="4472C4" w:themeColor="accent1"/>
                </w:pBdr>
                <w:spacing w:after="240"/>
                <w:jc w:val="center"/>
                <w:rPr>
                  <w:rFonts w:ascii="Times New Roman" w:eastAsiaTheme="majorEastAsia" w:hAnsi="Times New Roman" w:cs="Times New Roman"/>
                  <w:caps/>
                  <w:sz w:val="24"/>
                  <w:szCs w:val="24"/>
                </w:rPr>
              </w:pPr>
              <w:r w:rsidRPr="00AC39B5">
                <w:rPr>
                  <w:rFonts w:ascii="Times New Roman" w:eastAsiaTheme="majorEastAsia" w:hAnsi="Times New Roman" w:cs="Times New Roman"/>
                  <w:caps/>
                  <w:sz w:val="24"/>
                  <w:szCs w:val="24"/>
                </w:rPr>
                <w:t xml:space="preserve">Project: </w:t>
              </w:r>
              <w:r w:rsidR="00C476FF" w:rsidRPr="00AC39B5">
                <w:rPr>
                  <w:rFonts w:ascii="Times New Roman" w:eastAsiaTheme="majorEastAsia" w:hAnsi="Times New Roman" w:cs="Times New Roman"/>
                  <w:caps/>
                  <w:sz w:val="24"/>
                  <w:szCs w:val="24"/>
                </w:rPr>
                <w:t xml:space="preserve"> </w:t>
              </w:r>
              <w:r w:rsidR="00CD797F" w:rsidRPr="00AC39B5">
                <w:rPr>
                  <w:rFonts w:ascii="Times New Roman" w:eastAsiaTheme="majorEastAsia" w:hAnsi="Times New Roman" w:cs="Times New Roman"/>
                  <w:caps/>
                  <w:sz w:val="24"/>
                  <w:szCs w:val="24"/>
                </w:rPr>
                <w:t>exploratory data analysis of mimic-iv-note V2.2: cohort construction for multi-label icd-10 auto-coding</w:t>
              </w:r>
            </w:p>
          </w:sdtContent>
        </w:sdt>
        <w:p w14:paraId="15841ED6" w14:textId="77777777" w:rsidR="008B0591" w:rsidRPr="00AC39B5" w:rsidRDefault="008B0591" w:rsidP="00161722">
          <w:pPr>
            <w:pStyle w:val="NoSpacing"/>
            <w:spacing w:before="480"/>
            <w:jc w:val="center"/>
            <w:rPr>
              <w:rFonts w:ascii="Times New Roman" w:hAnsi="Times New Roman" w:cs="Times New Roman"/>
              <w:sz w:val="24"/>
              <w:szCs w:val="24"/>
            </w:rPr>
          </w:pPr>
          <w:r w:rsidRPr="00AC39B5">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0C7BFB69" wp14:editId="0B689495">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44"/>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4-21T00:00:00Z">
                                    <w:dateFormat w:val="MMMM d, yyyy"/>
                                    <w:lid w:val="en-US"/>
                                    <w:storeMappedDataAs w:val="dateTime"/>
                                    <w:calendar w:val="gregorian"/>
                                  </w:date>
                                </w:sdtPr>
                                <w:sdtContent>
                                  <w:p w14:paraId="17075EE6" w14:textId="563AA9BC" w:rsidR="008B0591" w:rsidRDefault="00E4340C">
                                    <w:pPr>
                                      <w:pStyle w:val="NoSpacing"/>
                                      <w:spacing w:after="40"/>
                                      <w:jc w:val="center"/>
                                      <w:rPr>
                                        <w:caps/>
                                        <w:color w:val="4472C4" w:themeColor="accent1"/>
                                        <w:sz w:val="28"/>
                                        <w:szCs w:val="28"/>
                                      </w:rPr>
                                    </w:pPr>
                                    <w:r>
                                      <w:rPr>
                                        <w:caps/>
                                        <w:color w:val="4472C4" w:themeColor="accent1"/>
                                        <w:sz w:val="28"/>
                                        <w:szCs w:val="28"/>
                                      </w:rPr>
                                      <w:t>April 21, 2026</w:t>
                                    </w:r>
                                  </w:p>
                                </w:sdtContent>
                              </w:sdt>
                              <w:p w14:paraId="10D0589A" w14:textId="71353110" w:rsidR="008B0591"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BD2DF1">
                                      <w:rPr>
                                        <w:caps/>
                                        <w:color w:val="4472C4" w:themeColor="accent1"/>
                                      </w:rPr>
                                      <w:t>nancy tanaka</w:t>
                                    </w:r>
                                  </w:sdtContent>
                                </w:sdt>
                              </w:p>
                              <w:p w14:paraId="23E3C485" w14:textId="39DF9543" w:rsidR="008B0591"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4340C">
                                      <w:rPr>
                                        <w:color w:val="4472C4" w:themeColor="accent1"/>
                                      </w:rPr>
                                      <w:t>DATA EXPLORATORY AND ANALYSIS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C7BFB69" id="_x0000_t202" coordsize="21600,21600" o:spt="202" path="m,l,21600r21600,l21600,xe">
                    <v:stroke joinstyle="miter"/>
                    <v:path gradientshapeok="t" o:connecttype="rect"/>
                  </v:shapetype>
                  <v:shape id="Text Box 44"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4-21T00:00:00Z">
                              <w:dateFormat w:val="MMMM d, yyyy"/>
                              <w:lid w:val="en-US"/>
                              <w:storeMappedDataAs w:val="dateTime"/>
                              <w:calendar w:val="gregorian"/>
                            </w:date>
                          </w:sdtPr>
                          <w:sdtContent>
                            <w:p w14:paraId="17075EE6" w14:textId="563AA9BC" w:rsidR="008B0591" w:rsidRDefault="00E4340C">
                              <w:pPr>
                                <w:pStyle w:val="NoSpacing"/>
                                <w:spacing w:after="40"/>
                                <w:jc w:val="center"/>
                                <w:rPr>
                                  <w:caps/>
                                  <w:color w:val="4472C4" w:themeColor="accent1"/>
                                  <w:sz w:val="28"/>
                                  <w:szCs w:val="28"/>
                                </w:rPr>
                              </w:pPr>
                              <w:r>
                                <w:rPr>
                                  <w:caps/>
                                  <w:color w:val="4472C4" w:themeColor="accent1"/>
                                  <w:sz w:val="28"/>
                                  <w:szCs w:val="28"/>
                                </w:rPr>
                                <w:t>April 21, 2026</w:t>
                              </w:r>
                            </w:p>
                          </w:sdtContent>
                        </w:sdt>
                        <w:p w14:paraId="10D0589A" w14:textId="71353110" w:rsidR="008B0591" w:rsidRDefault="00000000">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BD2DF1">
                                <w:rPr>
                                  <w:caps/>
                                  <w:color w:val="4472C4" w:themeColor="accent1"/>
                                </w:rPr>
                                <w:t>nancy tanaka</w:t>
                              </w:r>
                            </w:sdtContent>
                          </w:sdt>
                        </w:p>
                        <w:p w14:paraId="23E3C485" w14:textId="39DF9543" w:rsidR="008B0591" w:rsidRDefault="00000000">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4340C">
                                <w:rPr>
                                  <w:color w:val="4472C4" w:themeColor="accent1"/>
                                </w:rPr>
                                <w:t>DATA EXPLORATORY AND ANALYSIS</w:t>
                              </w:r>
                            </w:sdtContent>
                          </w:sdt>
                        </w:p>
                      </w:txbxContent>
                    </v:textbox>
                    <w10:wrap anchorx="margin" anchory="page"/>
                  </v:shape>
                </w:pict>
              </mc:Fallback>
            </mc:AlternateContent>
          </w:r>
          <w:r w:rsidRPr="00AC39B5">
            <w:rPr>
              <w:rFonts w:ascii="Times New Roman" w:hAnsi="Times New Roman" w:cs="Times New Roman"/>
              <w:noProof/>
              <w:sz w:val="24"/>
              <w:szCs w:val="24"/>
            </w:rPr>
            <w:drawing>
              <wp:inline distT="0" distB="0" distL="0" distR="0" wp14:anchorId="4618DCC3" wp14:editId="42DA0D5D">
                <wp:extent cx="758952" cy="478932"/>
                <wp:effectExtent l="0" t="0" r="3175" b="0"/>
                <wp:docPr id="14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395765A" w14:textId="31DD1F0B" w:rsidR="0079390B" w:rsidRPr="00AC39B5" w:rsidRDefault="008B0591" w:rsidP="00AD7780">
          <w:pPr>
            <w:spacing w:line="240" w:lineRule="auto"/>
            <w:rPr>
              <w:rFonts w:ascii="Times New Roman" w:eastAsiaTheme="majorEastAsia" w:hAnsi="Times New Roman" w:cs="Times New Roman"/>
              <w:sz w:val="24"/>
              <w:szCs w:val="24"/>
            </w:rPr>
          </w:pPr>
          <w:r w:rsidRPr="00AC39B5">
            <w:rPr>
              <w:rFonts w:ascii="Times New Roman" w:hAnsi="Times New Roman" w:cs="Times New Roman"/>
              <w:sz w:val="24"/>
              <w:szCs w:val="24"/>
            </w:rPr>
            <w:br w:type="page"/>
          </w:r>
        </w:p>
      </w:sdtContent>
    </w:sdt>
    <w:p w14:paraId="4B362DA8" w14:textId="324C9498" w:rsidR="00AF7E1E"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Abstract</w:t>
      </w:r>
    </w:p>
    <w:p w14:paraId="726AA63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Automated ICD coding remains a high-friction task in clinical operations because diagnosis assignment still depends heavily on manual review of long discharge summaries. This study presents exploratory data analysis and cohort construction for a multi-label ICD-10 auto-coding pipeline using MIMIC-IV-Note v2.2 discharge summaries joined to MIMIC-IV v3.1 Hosp admissions and diagnoses. The version mismatch is intentional: MIMIC-IV-Note v2.2 is the only public note release as of April 2026, whereas Hosp v3.1 includes corrected diagnosis tables. Using </w:t>
      </w:r>
      <w:r w:rsidRPr="00AC39B5">
        <w:rPr>
          <w:rStyle w:val="VerbatimChar"/>
          <w:rFonts w:ascii="Times New Roman" w:hAnsi="Times New Roman" w:cs="Times New Roman"/>
        </w:rPr>
        <w:t>hadm_id</w:t>
      </w:r>
      <w:r w:rsidRPr="00AC39B5">
        <w:rPr>
          <w:rFonts w:ascii="Times New Roman" w:hAnsi="Times New Roman" w:cs="Times New Roman"/>
        </w:rPr>
        <w:t xml:space="preserve"> as the stable encounter key, the final cohort is defined as the intersection of discharge summaries, admissions, and ICD-10 diagnosis records after note-length and deduplication checks. The resulting modelable cohort contains 122,288 admissions — roughly 10.75 times the size of the MIMIC-III top-50 benchmark cohort reported by Mullenbach et al. (2018), which used 8,067 training, 1,574 validation, and 1,730 test discharge summaries. Label concentration is favorable: the top-50 ICD-10 codes cover 91.04% of admissions despite a long tail of 19,440 distinct codes. Two findings determine the modeling strategy. First, 44.83% of patients have more than one admission, making patient-level splits mandatory. Second, discharge summaries are too long for a single BERT window, with median length 1,501 tokens and 90th percentile length 2,447 tokens. De-identification markers account for 3.66% of tokens. Taken together, these results justify a chunked Bio_ClinicalBERT approach, with Longformer reserved as a fallback rather than a first-line model. For practice, the implication is straightforward: the cohort is large enough and concentrated enough to support immediate baseline training, but only under leakage-safe splits and chunk-aware modeling.</w:t>
      </w:r>
    </w:p>
    <w:p w14:paraId="0076829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Keywords: clinical natural language processing; automated medical coding; ICD-10 classification; multi-label classification; MIMIC-IV; discharge summaries; Bio_ClinicalBERT</w:t>
      </w:r>
    </w:p>
    <w:p w14:paraId="3EF7C4EA" w14:textId="10A1624D" w:rsidR="00AF7E1E"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t>Introduction</w:t>
      </w:r>
    </w:p>
    <w:p w14:paraId="66ED090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ICD coding is a necessary but inefficient part of the healthcare revenue cycle. Clinical coders must translate long-form physician documentation into standardized diagnosis codes for billing, utilization review, quality reporting, and downstream analytics. The process is expensive, slow, and inconsistently applied under real-world workload pressure. A coder-assist model that ranks likely codes from discharge summaries therefore has operational value, but only if it is built on a defensible cohort and evaluated with leakage controls.</w:t>
      </w:r>
    </w:p>
    <w:p w14:paraId="2E816C7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benchmark most readers still anchor to is Mullenbach et al. (2018), which established the CAML baseline on MIMIC-III for top-50 ICD-9 coding. That paper mattered because it gave the field a common task definition and metric frame, not because the architecture remains state of the art. The field has since moved toward domain-adapted transformers, label-aware attention, and long-context methods, but the core problem has not changed: clinical notes are long, labels are imbalanced, and reported gains often collapse when cohort construction is sloppy.</w:t>
      </w:r>
    </w:p>
    <w:p w14:paraId="362A561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This study focuses on a more recent benchmark setup: MIMIC-IV-Note v2.2 discharge summaries joined with MIMIC-IV v3.1 hospital diagnoses, filtered to ICD-10 admissions and a top-50 label space. The immediate objective is not to report model performance. It is to determine whether the available data support a credible auto-coding benchmark and to surface the non-negotiable design constraints before training begins.</w:t>
      </w:r>
    </w:p>
    <w:p w14:paraId="1136645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lastRenderedPageBreak/>
        <w:t>The central research question is whether a chunked Bio_ClinicalBERT pipeline can plausibly exceed the CAML benchmark when trained on a larger, newer MIMIC-IV cohort with ICD-10 labels. That question is worth asking only if the data support it. This paper therefore contributes the part that weak project reports usually skip: cohort construction logic, label-space characterization, note-length analysis, split methodology, and the EDA evidence used to justify the downstream modeling plan.</w:t>
      </w:r>
    </w:p>
    <w:p w14:paraId="07D0E113" w14:textId="30167BD2" w:rsidR="0067416A" w:rsidRPr="00AC39B5" w:rsidRDefault="00EC45B0" w:rsidP="007D15FF">
      <w:pPr>
        <w:pStyle w:val="Heading1"/>
        <w:rPr>
          <w:rFonts w:ascii="Times New Roman" w:hAnsi="Times New Roman" w:cs="Times New Roman"/>
          <w:sz w:val="24"/>
          <w:szCs w:val="24"/>
        </w:rPr>
      </w:pPr>
      <w:r w:rsidRPr="00AC39B5">
        <w:rPr>
          <w:rFonts w:ascii="Times New Roman" w:hAnsi="Times New Roman" w:cs="Times New Roman"/>
          <w:sz w:val="24"/>
          <w:szCs w:val="24"/>
        </w:rPr>
        <w:t>Literature Review</w:t>
      </w:r>
    </w:p>
    <w:p w14:paraId="4EA2EDA4"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2.1 Automated Medical Coding</w:t>
      </w:r>
    </w:p>
    <w:p w14:paraId="3F9C1A6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Mullenbach et al. (2018) provide the benchmark this project is measured against: top-50 ICD-9 coding from MIMIC-III discharge summaries using the CAML architecture. That study remains useful mainly because it standardized the task definition and reporting conventions, especially Micro F1, Macro F1, and precision at rank. Its main limitations for the present work are straightforward. It predates transformer-based clinical NLP, uses ICD-9 rather than ICD-10, and was developed before long-document handling became a central architectural concern.</w:t>
      </w:r>
    </w:p>
    <w:p w14:paraId="62AEC626"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Later work broadened the technical landscape through label-aware attention mechanisms, transformer encoders, hierarchical coding strategies, and methods that incorporate code descriptions or retrieval. Those advances matter, but they do not remove the need for a clean benchmark setup. The position taken in this project is deliberately conservative: first define a defensible MIMIC-IV ICD-10 cohort, then compare a chunked transformer against a classical baseline before considering more elaborate modeling choices.</w:t>
      </w:r>
    </w:p>
    <w:p w14:paraId="42D79267" w14:textId="77777777" w:rsidR="007D15FF" w:rsidRPr="00AC39B5" w:rsidRDefault="007D15FF" w:rsidP="007E52E4">
      <w:pPr>
        <w:pStyle w:val="Heading2"/>
        <w:rPr>
          <w:rFonts w:ascii="Times New Roman" w:hAnsi="Times New Roman" w:cs="Times New Roman"/>
          <w:sz w:val="24"/>
          <w:szCs w:val="24"/>
          <w:lang w:val="fr-FR"/>
        </w:rPr>
      </w:pPr>
      <w:r w:rsidRPr="00AC39B5">
        <w:rPr>
          <w:rFonts w:ascii="Times New Roman" w:hAnsi="Times New Roman" w:cs="Times New Roman"/>
          <w:sz w:val="24"/>
          <w:szCs w:val="24"/>
          <w:lang w:val="fr-FR"/>
        </w:rPr>
        <w:t xml:space="preserve">2.2 </w:t>
      </w:r>
      <w:proofErr w:type="spellStart"/>
      <w:r w:rsidRPr="00AC39B5">
        <w:rPr>
          <w:rFonts w:ascii="Times New Roman" w:hAnsi="Times New Roman" w:cs="Times New Roman"/>
          <w:sz w:val="24"/>
          <w:szCs w:val="24"/>
          <w:lang w:val="fr-FR"/>
        </w:rPr>
        <w:t>Clinical</w:t>
      </w:r>
      <w:proofErr w:type="spellEnd"/>
      <w:r w:rsidRPr="00AC39B5">
        <w:rPr>
          <w:rFonts w:ascii="Times New Roman" w:hAnsi="Times New Roman" w:cs="Times New Roman"/>
          <w:sz w:val="24"/>
          <w:szCs w:val="24"/>
          <w:lang w:val="fr-FR"/>
        </w:rPr>
        <w:t xml:space="preserve"> </w:t>
      </w:r>
      <w:proofErr w:type="spellStart"/>
      <w:r w:rsidRPr="00AC39B5">
        <w:rPr>
          <w:rFonts w:ascii="Times New Roman" w:hAnsi="Times New Roman" w:cs="Times New Roman"/>
          <w:sz w:val="24"/>
          <w:szCs w:val="24"/>
          <w:lang w:val="fr-FR"/>
        </w:rPr>
        <w:t>Language</w:t>
      </w:r>
      <w:proofErr w:type="spellEnd"/>
      <w:r w:rsidRPr="00AC39B5">
        <w:rPr>
          <w:rFonts w:ascii="Times New Roman" w:hAnsi="Times New Roman" w:cs="Times New Roman"/>
          <w:sz w:val="24"/>
          <w:szCs w:val="24"/>
          <w:lang w:val="fr-FR"/>
        </w:rPr>
        <w:t xml:space="preserve"> </w:t>
      </w:r>
      <w:proofErr w:type="spellStart"/>
      <w:r w:rsidRPr="00AC39B5">
        <w:rPr>
          <w:rFonts w:ascii="Times New Roman" w:hAnsi="Times New Roman" w:cs="Times New Roman"/>
          <w:sz w:val="24"/>
          <w:szCs w:val="24"/>
          <w:lang w:val="fr-FR"/>
        </w:rPr>
        <w:t>Models</w:t>
      </w:r>
      <w:proofErr w:type="spellEnd"/>
    </w:p>
    <w:p w14:paraId="29565F0A"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lang w:val="fr-FR"/>
        </w:rPr>
        <w:t>Devlin et al. </w:t>
      </w:r>
      <w:r w:rsidRPr="00AC39B5">
        <w:rPr>
          <w:rFonts w:ascii="Times New Roman" w:hAnsi="Times New Roman" w:cs="Times New Roman"/>
        </w:rPr>
        <w:t>(2019) established BERT as the dominant pretrain-and-finetune framework for NLP. For this project, the key point is not the pretraining objective itself but the input constraint: standard BERT processes sequences up to 512 tokens. In discharge-summary classification, that limit is consequential because it forces either truncation or some form of document segmentation.</w:t>
      </w:r>
    </w:p>
    <w:p w14:paraId="7188D3C7" w14:textId="77777777" w:rsidR="002E2565" w:rsidRPr="00AC39B5" w:rsidRDefault="002E2565" w:rsidP="002E2565">
      <w:pPr>
        <w:pStyle w:val="BodyText"/>
        <w:rPr>
          <w:rFonts w:ascii="Times New Roman" w:hAnsi="Times New Roman" w:cs="Times New Roman"/>
        </w:rPr>
      </w:pPr>
      <w:proofErr w:type="spellStart"/>
      <w:r w:rsidRPr="00AC39B5">
        <w:rPr>
          <w:rFonts w:ascii="Times New Roman" w:hAnsi="Times New Roman" w:cs="Times New Roman"/>
        </w:rPr>
        <w:t>Alsentzer</w:t>
      </w:r>
      <w:proofErr w:type="spellEnd"/>
      <w:r w:rsidRPr="00AC39B5">
        <w:rPr>
          <w:rFonts w:ascii="Times New Roman" w:hAnsi="Times New Roman" w:cs="Times New Roman"/>
        </w:rPr>
        <w:t xml:space="preserve"> et al. (2019) adapted BERT to clinical language through continued pretraining on MIMIC notes, producing Bio_ClinicalBERT. That makes it a sensible primary encoder for this study. The choice is practical rather than fashionable: a clinically adapted model is more appropriate than general-domain BERT, and it can be deployed in a chunked setup without immediately paying the computational cost of a long-context architecture.</w:t>
      </w:r>
    </w:p>
    <w:p w14:paraId="29316EA2"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Beltagy et al. (2020) introduced Longformer as a way to extend usable context through sliding-window attention. That design is relevant here because discharge summaries are long, but the trade-off is straightforward: longer context comes with greater training cost. Accordingly, this paper treats Longformer as a conditional escalation path rather than the default starting point.</w:t>
      </w:r>
    </w:p>
    <w:p w14:paraId="039BD525"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2.3 The MIMIC-IV Dataset</w:t>
      </w:r>
    </w:p>
    <w:p w14:paraId="300CEF1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MIMIC-IV Hosp v3.1 supplies the structured hospital data used here, including admissions, patient attributes, and diagnosis assignments across the ICD-9 to ICD-10 transition period (Johnson et al., 2023a). The reason for preferring v3.1 is simple: the release includes corrections </w:t>
      </w:r>
      <w:r w:rsidRPr="00AC39B5">
        <w:rPr>
          <w:rFonts w:ascii="Times New Roman" w:hAnsi="Times New Roman" w:cs="Times New Roman"/>
        </w:rPr>
        <w:lastRenderedPageBreak/>
        <w:t>to the diagnosis tables, so using an older structured extract would preserve known defects without any compensating advantage.</w:t>
      </w:r>
    </w:p>
    <w:p w14:paraId="7B3E2717"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MIMIC-IV-Note v2.2 supplies the free-text notes through PhysioNet (Johnson et al., 2023b). As of April 2026, it remains the only public note release, which forces a version mismatch with the structured hospital tables. That mismatch is acceptable in this setting because </w:t>
      </w:r>
      <w:r w:rsidRPr="00AC39B5">
        <w:rPr>
          <w:rStyle w:val="VerbatimChar"/>
          <w:rFonts w:ascii="Times New Roman" w:hAnsi="Times New Roman" w:cs="Times New Roman"/>
        </w:rPr>
        <w:t>hadm_id</w:t>
      </w:r>
      <w:r w:rsidRPr="00AC39B5">
        <w:rPr>
          <w:rFonts w:ascii="Times New Roman" w:hAnsi="Times New Roman" w:cs="Times New Roman"/>
        </w:rPr>
        <w:t xml:space="preserve"> remains a stable encounter key across releases. The notes are deidentified through redaction and date shifting, which protects privacy but also introduces analysis artifacts that must be handled explicitly.</w:t>
      </w:r>
    </w:p>
    <w:p w14:paraId="1A6E8B5A"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Relative to MIMIC-III, MIMIC-IV offers a newer cohort, ICD-10-inclusive diagnoses, and post-2015 admissions that capture more contemporary documentation patterns and coding behavior. That makes it a better setting for a modern portfolio-grade ICD coding system, provided the cohort is constructed carefully.</w:t>
      </w:r>
    </w:p>
    <w:p w14:paraId="0517FEA9"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2.4 Responsible Medical AI Documentation</w:t>
      </w:r>
    </w:p>
    <w:p w14:paraId="448A15D1"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Model Cards (Mitchell et al., 2019) and Data Cards (</w:t>
      </w:r>
      <w:proofErr w:type="spellStart"/>
      <w:r w:rsidRPr="00AC39B5">
        <w:rPr>
          <w:rFonts w:ascii="Times New Roman" w:hAnsi="Times New Roman" w:cs="Times New Roman"/>
        </w:rPr>
        <w:t>Pushkarna</w:t>
      </w:r>
      <w:proofErr w:type="spellEnd"/>
      <w:r w:rsidRPr="00AC39B5">
        <w:rPr>
          <w:rFonts w:ascii="Times New Roman" w:hAnsi="Times New Roman" w:cs="Times New Roman"/>
        </w:rPr>
        <w:t xml:space="preserve"> et al., 2022) are used here as reporting frameworks rather than as abstract ethics citations. Their relevance is direct: the cohort coverage, subgroup representation, and methodological limitations documented in this EDA are the evidence base for later model and data documentation. Without that groundwork, any “responsible AI” section would be superficial.</w:t>
      </w:r>
    </w:p>
    <w:p w14:paraId="424D210E" w14:textId="4E17BED7" w:rsidR="00EC45B0" w:rsidRPr="00AC39B5" w:rsidRDefault="001468EB" w:rsidP="007D15FF">
      <w:pPr>
        <w:pStyle w:val="Heading1"/>
        <w:rPr>
          <w:rFonts w:ascii="Times New Roman" w:hAnsi="Times New Roman" w:cs="Times New Roman"/>
          <w:sz w:val="24"/>
          <w:szCs w:val="24"/>
        </w:rPr>
      </w:pPr>
      <w:r w:rsidRPr="00AC39B5">
        <w:rPr>
          <w:rFonts w:ascii="Times New Roman" w:hAnsi="Times New Roman" w:cs="Times New Roman"/>
          <w:sz w:val="24"/>
          <w:szCs w:val="24"/>
        </w:rPr>
        <w:t>Methods</w:t>
      </w:r>
    </w:p>
    <w:p w14:paraId="3B2252E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3.1 Data Source</w:t>
      </w:r>
    </w:p>
    <w:p w14:paraId="4FB75431"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This analysis draws on two MIMIC resources. The text component is MIMIC-IV-Note v2.2, which contains 331,793 discharge summaries keyed by </w:t>
      </w:r>
      <w:proofErr w:type="spellStart"/>
      <w:r w:rsidRPr="00AC39B5">
        <w:rPr>
          <w:rStyle w:val="VerbatimChar"/>
          <w:rFonts w:ascii="Times New Roman" w:hAnsi="Times New Roman" w:cs="Times New Roman"/>
        </w:rPr>
        <w:t>subject_id</w:t>
      </w:r>
      <w:proofErr w:type="spellEnd"/>
      <w:r w:rsidRPr="00AC39B5">
        <w:rPr>
          <w:rFonts w:ascii="Times New Roman" w:hAnsi="Times New Roman" w:cs="Times New Roman"/>
        </w:rPr>
        <w:t xml:space="preserve"> and </w:t>
      </w:r>
      <w:r w:rsidRPr="00AC39B5">
        <w:rPr>
          <w:rStyle w:val="VerbatimChar"/>
          <w:rFonts w:ascii="Times New Roman" w:hAnsi="Times New Roman" w:cs="Times New Roman"/>
        </w:rPr>
        <w:t>hadm_id</w:t>
      </w:r>
      <w:r w:rsidRPr="00AC39B5">
        <w:rPr>
          <w:rFonts w:ascii="Times New Roman" w:hAnsi="Times New Roman" w:cs="Times New Roman"/>
        </w:rPr>
        <w:t xml:space="preserve"> and includes fields such as </w:t>
      </w:r>
      <w:proofErr w:type="spellStart"/>
      <w:r w:rsidRPr="00AC39B5">
        <w:rPr>
          <w:rStyle w:val="VerbatimChar"/>
          <w:rFonts w:ascii="Times New Roman" w:hAnsi="Times New Roman" w:cs="Times New Roman"/>
        </w:rPr>
        <w:t>note_id</w:t>
      </w:r>
      <w:proofErr w:type="spellEnd"/>
      <w:r w:rsidRPr="00AC39B5">
        <w:rPr>
          <w:rFonts w:ascii="Times New Roman" w:hAnsi="Times New Roman" w:cs="Times New Roman"/>
        </w:rPr>
        <w:t xml:space="preserve">, </w:t>
      </w:r>
      <w:proofErr w:type="spellStart"/>
      <w:r w:rsidRPr="00AC39B5">
        <w:rPr>
          <w:rStyle w:val="VerbatimChar"/>
          <w:rFonts w:ascii="Times New Roman" w:hAnsi="Times New Roman" w:cs="Times New Roman"/>
        </w:rPr>
        <w:t>note_type</w:t>
      </w:r>
      <w:proofErr w:type="spellEnd"/>
      <w:r w:rsidRPr="00AC39B5">
        <w:rPr>
          <w:rFonts w:ascii="Times New Roman" w:hAnsi="Times New Roman" w:cs="Times New Roman"/>
        </w:rPr>
        <w:t xml:space="preserve">, </w:t>
      </w:r>
      <w:proofErr w:type="spellStart"/>
      <w:r w:rsidRPr="00AC39B5">
        <w:rPr>
          <w:rStyle w:val="VerbatimChar"/>
          <w:rFonts w:ascii="Times New Roman" w:hAnsi="Times New Roman" w:cs="Times New Roman"/>
        </w:rPr>
        <w:t>note_seq</w:t>
      </w:r>
      <w:proofErr w:type="spellEnd"/>
      <w:r w:rsidRPr="00AC39B5">
        <w:rPr>
          <w:rFonts w:ascii="Times New Roman" w:hAnsi="Times New Roman" w:cs="Times New Roman"/>
        </w:rPr>
        <w:t xml:space="preserve">, </w:t>
      </w:r>
      <w:proofErr w:type="spellStart"/>
      <w:r w:rsidRPr="00AC39B5">
        <w:rPr>
          <w:rStyle w:val="VerbatimChar"/>
          <w:rFonts w:ascii="Times New Roman" w:hAnsi="Times New Roman" w:cs="Times New Roman"/>
        </w:rPr>
        <w:t>charttime</w:t>
      </w:r>
      <w:proofErr w:type="spellEnd"/>
      <w:r w:rsidRPr="00AC39B5">
        <w:rPr>
          <w:rFonts w:ascii="Times New Roman" w:hAnsi="Times New Roman" w:cs="Times New Roman"/>
        </w:rPr>
        <w:t xml:space="preserve">, and raw text. For this release, the discharge-note subset is operationally simple because the note type is already restricted to </w:t>
      </w:r>
      <w:r w:rsidRPr="00AC39B5">
        <w:rPr>
          <w:rStyle w:val="VerbatimChar"/>
          <w:rFonts w:ascii="Times New Roman" w:hAnsi="Times New Roman" w:cs="Times New Roman"/>
        </w:rPr>
        <w:t>DS</w:t>
      </w:r>
      <w:r w:rsidRPr="00AC39B5">
        <w:rPr>
          <w:rFonts w:ascii="Times New Roman" w:hAnsi="Times New Roman" w:cs="Times New Roman"/>
        </w:rPr>
        <w:t>.</w:t>
      </w:r>
    </w:p>
    <w:p w14:paraId="4725B7F6"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The structured component is MIMIC-IV Hosp v3.1, which contributes admissions, patient attributes, and diagnosis records. The admissions table contains 546,028 rows, the patients table 364,627 rows, and </w:t>
      </w:r>
      <w:r w:rsidRPr="00AC39B5">
        <w:rPr>
          <w:rStyle w:val="VerbatimChar"/>
          <w:rFonts w:ascii="Times New Roman" w:hAnsi="Times New Roman" w:cs="Times New Roman"/>
        </w:rPr>
        <w:t>diagnoses_icd</w:t>
      </w:r>
      <w:r w:rsidRPr="00AC39B5">
        <w:rPr>
          <w:rFonts w:ascii="Times New Roman" w:hAnsi="Times New Roman" w:cs="Times New Roman"/>
        </w:rPr>
        <w:t xml:space="preserve"> 6,364,488 rows spanning both ICD-9 and ICD-10 eras. Joining Note v2.2 with Hosp v3.1 is an intentional design decision: the note release lags, but v3.1 contains corrected diagnosis data and still shares the stable </w:t>
      </w:r>
      <w:r w:rsidRPr="00AC39B5">
        <w:rPr>
          <w:rStyle w:val="VerbatimChar"/>
          <w:rFonts w:ascii="Times New Roman" w:hAnsi="Times New Roman" w:cs="Times New Roman"/>
        </w:rPr>
        <w:t>hadm_id</w:t>
      </w:r>
      <w:r w:rsidRPr="00AC39B5">
        <w:rPr>
          <w:rFonts w:ascii="Times New Roman" w:hAnsi="Times New Roman" w:cs="Times New Roman"/>
        </w:rPr>
        <w:t xml:space="preserve"> encounter key.</w:t>
      </w:r>
    </w:p>
    <w:p w14:paraId="0D0F423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The source data are deidentified through patient-level date shifting and capped age reporting, with </w:t>
      </w:r>
      <w:r w:rsidRPr="00AC39B5">
        <w:rPr>
          <w:rStyle w:val="VerbatimChar"/>
          <w:rFonts w:ascii="Times New Roman" w:hAnsi="Times New Roman" w:cs="Times New Roman"/>
        </w:rPr>
        <w:t>anchor_age</w:t>
      </w:r>
      <w:r w:rsidRPr="00AC39B5">
        <w:rPr>
          <w:rFonts w:ascii="Times New Roman" w:hAnsi="Times New Roman" w:cs="Times New Roman"/>
        </w:rPr>
        <w:t xml:space="preserve"> top-coded at 89. Those protections matter for privacy, but they also constrain temporal interpretation and compress the oldest age strata. This work assumes compliance with MIMIC credentialing and PhysioNet data-use terms and does not attempt any re-identification.</w:t>
      </w:r>
    </w:p>
    <w:p w14:paraId="6CF8A9FE"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3.2 Data Preparation and Analysis Strategies</w:t>
      </w:r>
    </w:p>
    <w:p w14:paraId="06F853CD"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Schema validation was performed before cohort construction to detect type instability and parsing failures early. Timestamp fields were successfully parsed by the Arrow CSV reader with one notable exception: </w:t>
      </w:r>
      <w:r w:rsidRPr="00AC39B5">
        <w:rPr>
          <w:rStyle w:val="VerbatimChar"/>
          <w:rFonts w:ascii="Times New Roman" w:hAnsi="Times New Roman" w:cs="Times New Roman"/>
        </w:rPr>
        <w:t>patients.dod</w:t>
      </w:r>
      <w:r w:rsidRPr="00AC39B5">
        <w:rPr>
          <w:rFonts w:ascii="Times New Roman" w:hAnsi="Times New Roman" w:cs="Times New Roman"/>
        </w:rPr>
        <w:t xml:space="preserve">, where a high null rate defeated inference and required deferral to a later typed cast stage. Numeric fields remained stable, and no evidence was found </w:t>
      </w:r>
      <w:r w:rsidRPr="00AC39B5">
        <w:rPr>
          <w:rFonts w:ascii="Times New Roman" w:hAnsi="Times New Roman" w:cs="Times New Roman"/>
        </w:rPr>
        <w:lastRenderedPageBreak/>
        <w:t>that core hospital features had been silently coerced to strings, which matters because that kind of ingestion bug can poison downstream joins and summary statistics.</w:t>
      </w:r>
    </w:p>
    <w:p w14:paraId="7FB38EC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Cleaning rules were intentionally narrow. The note corpus was restricted to discharge summaries only. De-identification markers were preserved for analysis but collapsed into a measurable artifact class rather than treated as meaningful language. Deduplication by </w:t>
      </w:r>
      <w:r w:rsidRPr="00AC39B5">
        <w:rPr>
          <w:rStyle w:val="VerbatimChar"/>
          <w:rFonts w:ascii="Times New Roman" w:hAnsi="Times New Roman" w:cs="Times New Roman"/>
        </w:rPr>
        <w:t>hadm_id</w:t>
      </w:r>
      <w:r w:rsidRPr="00AC39B5">
        <w:rPr>
          <w:rFonts w:ascii="Times New Roman" w:hAnsi="Times New Roman" w:cs="Times New Roman"/>
        </w:rPr>
        <w:t xml:space="preserve"> was checked but proved to be a no-op because this release is already effectively deduplicated. A minimum length threshold of 100 whitespace tokens was applied to remove clearly non-informative or malformed note bodies.</w:t>
      </w:r>
    </w:p>
    <w:p w14:paraId="26784D3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Cohort construction then applied the actual modeling filter: retain only admissions that appear in all three required sets, namely discharge summaries, hospital admissions, and ICD-10 diagnosis records. The final modelable cohort contains 122,288 admissions. Most attrition is not due to broken joins or missing keys. It is due to design. The structured hospital tables include mixed ICD-9 and ICD-10 eras, so restricting to ICD-10 admissions removes a large share of the text inventory by construction. Version drift between note and structured releases contributes negligibly, at 0.018%, while the ICD-era filter explains 63.14% of the reduction.</w:t>
      </w:r>
    </w:p>
    <w:p w14:paraId="70362AF0"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Table 3.1. Cohort attrition waterfall.</w:t>
      </w:r>
    </w:p>
    <w:tbl>
      <w:tblPr>
        <w:tblStyle w:val="Table"/>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643"/>
        <w:gridCol w:w="3719"/>
        <w:gridCol w:w="1467"/>
        <w:gridCol w:w="3519"/>
      </w:tblGrid>
      <w:tr w:rsidR="002E2565" w:rsidRPr="00AC39B5" w14:paraId="4E7B8ADD" w14:textId="77777777" w:rsidTr="00E02147">
        <w:tc>
          <w:tcPr>
            <w:tcW w:w="0" w:type="auto"/>
            <w:vAlign w:val="bottom"/>
          </w:tcPr>
          <w:p w14:paraId="691A26BB"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Step</w:t>
            </w:r>
          </w:p>
        </w:tc>
        <w:tc>
          <w:tcPr>
            <w:tcW w:w="0" w:type="auto"/>
            <w:vAlign w:val="bottom"/>
          </w:tcPr>
          <w:p w14:paraId="2B4CC35B"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Description</w:t>
            </w:r>
          </w:p>
        </w:tc>
        <w:tc>
          <w:tcPr>
            <w:tcW w:w="0" w:type="auto"/>
            <w:vAlign w:val="bottom"/>
          </w:tcPr>
          <w:p w14:paraId="3AEF315B"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N admissions</w:t>
            </w:r>
          </w:p>
        </w:tc>
        <w:tc>
          <w:tcPr>
            <w:tcW w:w="0" w:type="auto"/>
            <w:vAlign w:val="bottom"/>
          </w:tcPr>
          <w:p w14:paraId="05454BDA"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Δ</w:t>
            </w:r>
          </w:p>
        </w:tc>
      </w:tr>
      <w:tr w:rsidR="002E2565" w:rsidRPr="00AC39B5" w14:paraId="04C87782" w14:textId="77777777" w:rsidTr="00E02147">
        <w:tc>
          <w:tcPr>
            <w:tcW w:w="0" w:type="auto"/>
          </w:tcPr>
          <w:p w14:paraId="748B219D"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0</w:t>
            </w:r>
          </w:p>
        </w:tc>
        <w:tc>
          <w:tcPr>
            <w:tcW w:w="0" w:type="auto"/>
          </w:tcPr>
          <w:p w14:paraId="1895825E"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Raw discharge notes</w:t>
            </w:r>
          </w:p>
        </w:tc>
        <w:tc>
          <w:tcPr>
            <w:tcW w:w="0" w:type="auto"/>
          </w:tcPr>
          <w:p w14:paraId="3AB70D3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1B82D2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w:t>
            </w:r>
          </w:p>
        </w:tc>
      </w:tr>
      <w:tr w:rsidR="002E2565" w:rsidRPr="00AC39B5" w14:paraId="1CE84FB1" w14:textId="77777777" w:rsidTr="00E02147">
        <w:tc>
          <w:tcPr>
            <w:tcW w:w="0" w:type="auto"/>
          </w:tcPr>
          <w:p w14:paraId="199D67AF"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1</w:t>
            </w:r>
          </w:p>
        </w:tc>
        <w:tc>
          <w:tcPr>
            <w:tcW w:w="0" w:type="auto"/>
          </w:tcPr>
          <w:p w14:paraId="469F538E" w14:textId="77777777" w:rsidR="002E2565" w:rsidRPr="00AC39B5" w:rsidRDefault="002E2565" w:rsidP="00E02147">
            <w:pPr>
              <w:pStyle w:val="Compact"/>
              <w:rPr>
                <w:rFonts w:ascii="Times New Roman" w:hAnsi="Times New Roman" w:cs="Times New Roman"/>
              </w:rPr>
            </w:pPr>
            <w:proofErr w:type="spellStart"/>
            <w:r w:rsidRPr="00AC39B5">
              <w:rPr>
                <w:rStyle w:val="VerbatimChar"/>
                <w:rFonts w:ascii="Times New Roman" w:hAnsi="Times New Roman" w:cs="Times New Roman"/>
              </w:rPr>
              <w:t>note_type</w:t>
            </w:r>
            <w:proofErr w:type="spellEnd"/>
            <w:r w:rsidRPr="00AC39B5">
              <w:rPr>
                <w:rStyle w:val="VerbatimChar"/>
                <w:rFonts w:ascii="Times New Roman" w:hAnsi="Times New Roman" w:cs="Times New Roman"/>
              </w:rPr>
              <w:t xml:space="preserve"> == "DS"</w:t>
            </w:r>
            <w:r w:rsidRPr="00AC39B5">
              <w:rPr>
                <w:rFonts w:ascii="Times New Roman" w:hAnsi="Times New Roman" w:cs="Times New Roman"/>
              </w:rPr>
              <w:t xml:space="preserve"> filter</w:t>
            </w:r>
          </w:p>
        </w:tc>
        <w:tc>
          <w:tcPr>
            <w:tcW w:w="0" w:type="auto"/>
          </w:tcPr>
          <w:p w14:paraId="6955442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072476A5"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0 (no-op)</w:t>
            </w:r>
          </w:p>
        </w:tc>
      </w:tr>
      <w:tr w:rsidR="002E2565" w:rsidRPr="00AC39B5" w14:paraId="444E209A" w14:textId="77777777" w:rsidTr="00E02147">
        <w:tc>
          <w:tcPr>
            <w:tcW w:w="0" w:type="auto"/>
          </w:tcPr>
          <w:p w14:paraId="1745F22D"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2</w:t>
            </w:r>
          </w:p>
        </w:tc>
        <w:tc>
          <w:tcPr>
            <w:tcW w:w="0" w:type="auto"/>
          </w:tcPr>
          <w:p w14:paraId="716856A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 xml:space="preserve">Deduplicate by </w:t>
            </w:r>
            <w:r w:rsidRPr="00AC39B5">
              <w:rPr>
                <w:rStyle w:val="VerbatimChar"/>
                <w:rFonts w:ascii="Times New Roman" w:hAnsi="Times New Roman" w:cs="Times New Roman"/>
              </w:rPr>
              <w:t>hadm_id</w:t>
            </w:r>
            <w:r w:rsidRPr="00AC39B5">
              <w:rPr>
                <w:rFonts w:ascii="Times New Roman" w:hAnsi="Times New Roman" w:cs="Times New Roman"/>
              </w:rPr>
              <w:t xml:space="preserve"> on latest </w:t>
            </w:r>
            <w:proofErr w:type="spellStart"/>
            <w:r w:rsidRPr="00AC39B5">
              <w:rPr>
                <w:rStyle w:val="VerbatimChar"/>
                <w:rFonts w:ascii="Times New Roman" w:hAnsi="Times New Roman" w:cs="Times New Roman"/>
              </w:rPr>
              <w:t>note_seq</w:t>
            </w:r>
            <w:proofErr w:type="spellEnd"/>
          </w:p>
        </w:tc>
        <w:tc>
          <w:tcPr>
            <w:tcW w:w="0" w:type="auto"/>
          </w:tcPr>
          <w:p w14:paraId="4AD128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331,793</w:t>
            </w:r>
          </w:p>
        </w:tc>
        <w:tc>
          <w:tcPr>
            <w:tcW w:w="0" w:type="auto"/>
          </w:tcPr>
          <w:p w14:paraId="5501E229"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xml:space="preserve">0 (v2.2 is already unique per </w:t>
            </w:r>
            <w:r w:rsidRPr="00AC39B5">
              <w:rPr>
                <w:rStyle w:val="VerbatimChar"/>
                <w:rFonts w:ascii="Times New Roman" w:hAnsi="Times New Roman" w:cs="Times New Roman"/>
              </w:rPr>
              <w:t>hadm_id</w:t>
            </w:r>
            <w:r w:rsidRPr="00AC39B5">
              <w:rPr>
                <w:rFonts w:ascii="Times New Roman" w:hAnsi="Times New Roman" w:cs="Times New Roman"/>
              </w:rPr>
              <w:t>)</w:t>
            </w:r>
          </w:p>
        </w:tc>
      </w:tr>
      <w:tr w:rsidR="002E2565" w:rsidRPr="00AC39B5" w14:paraId="318F3C1A" w14:textId="77777777" w:rsidTr="00E02147">
        <w:tc>
          <w:tcPr>
            <w:tcW w:w="0" w:type="auto"/>
          </w:tcPr>
          <w:p w14:paraId="04458865"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3</w:t>
            </w:r>
          </w:p>
        </w:tc>
        <w:tc>
          <w:tcPr>
            <w:tcW w:w="0" w:type="auto"/>
          </w:tcPr>
          <w:p w14:paraId="7A8E3300"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Inner join with v3.1 admissions</w:t>
            </w:r>
          </w:p>
        </w:tc>
        <w:tc>
          <w:tcPr>
            <w:tcW w:w="0" w:type="auto"/>
          </w:tcPr>
          <w:p w14:paraId="3C477C90"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331,732</w:t>
            </w:r>
          </w:p>
        </w:tc>
        <w:tc>
          <w:tcPr>
            <w:tcW w:w="0" w:type="auto"/>
          </w:tcPr>
          <w:p w14:paraId="1D827A0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−61 (0.018% version drift)</w:t>
            </w:r>
          </w:p>
        </w:tc>
      </w:tr>
      <w:tr w:rsidR="002E2565" w:rsidRPr="00AC39B5" w14:paraId="24EA25BF" w14:textId="77777777" w:rsidTr="00E02147">
        <w:tc>
          <w:tcPr>
            <w:tcW w:w="0" w:type="auto"/>
          </w:tcPr>
          <w:p w14:paraId="5F016CB6"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4</w:t>
            </w:r>
          </w:p>
        </w:tc>
        <w:tc>
          <w:tcPr>
            <w:tcW w:w="0" w:type="auto"/>
          </w:tcPr>
          <w:p w14:paraId="54B475F5"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Inner join with v3.1 ICD-10 diagnoses</w:t>
            </w:r>
          </w:p>
        </w:tc>
        <w:tc>
          <w:tcPr>
            <w:tcW w:w="0" w:type="auto"/>
          </w:tcPr>
          <w:p w14:paraId="2A1E0ACD"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122,288</w:t>
            </w:r>
          </w:p>
        </w:tc>
        <w:tc>
          <w:tcPr>
            <w:tcW w:w="0" w:type="auto"/>
          </w:tcPr>
          <w:p w14:paraId="5D91294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−209,444 (63.13% ICD-era filter)</w:t>
            </w:r>
          </w:p>
        </w:tc>
      </w:tr>
      <w:tr w:rsidR="002E2565" w:rsidRPr="00AC39B5" w14:paraId="0A27CD5B" w14:textId="77777777" w:rsidTr="00E02147">
        <w:tc>
          <w:tcPr>
            <w:tcW w:w="0" w:type="auto"/>
          </w:tcPr>
          <w:p w14:paraId="45B6E1C2"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5</w:t>
            </w:r>
          </w:p>
        </w:tc>
        <w:tc>
          <w:tcPr>
            <w:tcW w:w="0" w:type="auto"/>
          </w:tcPr>
          <w:p w14:paraId="13FFB35C" w14:textId="77777777" w:rsidR="002E2565" w:rsidRPr="00AC39B5" w:rsidRDefault="002E2565" w:rsidP="00E02147">
            <w:pPr>
              <w:pStyle w:val="Compact"/>
              <w:rPr>
                <w:rFonts w:ascii="Times New Roman" w:hAnsi="Times New Roman" w:cs="Times New Roman"/>
              </w:rPr>
            </w:pPr>
            <w:proofErr w:type="spellStart"/>
            <w:r w:rsidRPr="00AC39B5">
              <w:rPr>
                <w:rStyle w:val="VerbatimChar"/>
                <w:rFonts w:ascii="Times New Roman" w:hAnsi="Times New Roman" w:cs="Times New Roman"/>
              </w:rPr>
              <w:t>n_tokens</w:t>
            </w:r>
            <w:proofErr w:type="spellEnd"/>
            <w:r w:rsidRPr="00AC39B5">
              <w:rPr>
                <w:rStyle w:val="VerbatimChar"/>
                <w:rFonts w:ascii="Times New Roman" w:hAnsi="Times New Roman" w:cs="Times New Roman"/>
              </w:rPr>
              <w:t xml:space="preserve"> &gt;= 100</w:t>
            </w:r>
            <w:r w:rsidRPr="00AC39B5">
              <w:rPr>
                <w:rFonts w:ascii="Times New Roman" w:hAnsi="Times New Roman" w:cs="Times New Roman"/>
              </w:rPr>
              <w:t xml:space="preserve"> filter</w:t>
            </w:r>
          </w:p>
        </w:tc>
        <w:tc>
          <w:tcPr>
            <w:tcW w:w="0" w:type="auto"/>
          </w:tcPr>
          <w:p w14:paraId="539088C4"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122,288</w:t>
            </w:r>
          </w:p>
        </w:tc>
        <w:tc>
          <w:tcPr>
            <w:tcW w:w="0" w:type="auto"/>
          </w:tcPr>
          <w:p w14:paraId="6ADBB7D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0 (p01 = 486 tokens; filter does not bind)</w:t>
            </w:r>
          </w:p>
        </w:tc>
      </w:tr>
    </w:tbl>
    <w:p w14:paraId="33FDDC6C"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Total attrition from raw to modelable is 209,505 admissions; of that, 99.97% is attributable to the ICD-era filter and 0.03% to version drift.</w:t>
      </w:r>
    </w:p>
    <w:p w14:paraId="2CFDF63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Train, validation, and test partitions are defined at the patient level using an 80/10/10 split by </w:t>
      </w:r>
      <w:proofErr w:type="spellStart"/>
      <w:r w:rsidRPr="00AC39B5">
        <w:rPr>
          <w:rStyle w:val="VerbatimChar"/>
          <w:rFonts w:ascii="Times New Roman" w:hAnsi="Times New Roman" w:cs="Times New Roman"/>
        </w:rPr>
        <w:t>subject_id</w:t>
      </w:r>
      <w:proofErr w:type="spellEnd"/>
      <w:r w:rsidRPr="00AC39B5">
        <w:rPr>
          <w:rFonts w:ascii="Times New Roman" w:hAnsi="Times New Roman" w:cs="Times New Roman"/>
        </w:rPr>
        <w:t>. This is not optional. It is required because 44.83% of patients have more than one admission, and admission-level random splitting would leak patient-specific language patterns across folds. Any evaluation built on admission-level splits would overstate generalization.</w:t>
      </w:r>
    </w:p>
    <w:p w14:paraId="25DAC9A3"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Table 3.2. Patient-level split composition.</w:t>
      </w:r>
    </w:p>
    <w:tbl>
      <w:tblPr>
        <w:tblStyle w:val="Table"/>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230"/>
        <w:gridCol w:w="976"/>
        <w:gridCol w:w="1223"/>
        <w:gridCol w:w="1350"/>
        <w:gridCol w:w="1543"/>
      </w:tblGrid>
      <w:tr w:rsidR="002E2565" w:rsidRPr="00AC39B5" w14:paraId="63D146CF" w14:textId="77777777" w:rsidTr="00E02147">
        <w:tc>
          <w:tcPr>
            <w:tcW w:w="0" w:type="auto"/>
            <w:vAlign w:val="bottom"/>
          </w:tcPr>
          <w:p w14:paraId="5576342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Split</w:t>
            </w:r>
          </w:p>
        </w:tc>
        <w:tc>
          <w:tcPr>
            <w:tcW w:w="0" w:type="auto"/>
            <w:vAlign w:val="bottom"/>
          </w:tcPr>
          <w:p w14:paraId="32BB9004"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Patients</w:t>
            </w:r>
          </w:p>
        </w:tc>
        <w:tc>
          <w:tcPr>
            <w:tcW w:w="0" w:type="auto"/>
            <w:vAlign w:val="bottom"/>
          </w:tcPr>
          <w:p w14:paraId="6090A6BE"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patients</w:t>
            </w:r>
          </w:p>
        </w:tc>
        <w:tc>
          <w:tcPr>
            <w:tcW w:w="0" w:type="auto"/>
            <w:vAlign w:val="bottom"/>
          </w:tcPr>
          <w:p w14:paraId="2859B731"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Admissions</w:t>
            </w:r>
          </w:p>
        </w:tc>
        <w:tc>
          <w:tcPr>
            <w:tcW w:w="0" w:type="auto"/>
            <w:vAlign w:val="bottom"/>
          </w:tcPr>
          <w:p w14:paraId="14D5A96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 admissions</w:t>
            </w:r>
          </w:p>
        </w:tc>
      </w:tr>
      <w:tr w:rsidR="002E2565" w:rsidRPr="00AC39B5" w14:paraId="7D68375D" w14:textId="77777777" w:rsidTr="00E02147">
        <w:tc>
          <w:tcPr>
            <w:tcW w:w="0" w:type="auto"/>
          </w:tcPr>
          <w:p w14:paraId="6E96645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Train</w:t>
            </w:r>
          </w:p>
        </w:tc>
        <w:tc>
          <w:tcPr>
            <w:tcW w:w="0" w:type="auto"/>
          </w:tcPr>
          <w:p w14:paraId="1A944216"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52,532</w:t>
            </w:r>
          </w:p>
        </w:tc>
        <w:tc>
          <w:tcPr>
            <w:tcW w:w="0" w:type="auto"/>
          </w:tcPr>
          <w:p w14:paraId="44B80FC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80.00</w:t>
            </w:r>
          </w:p>
        </w:tc>
        <w:tc>
          <w:tcPr>
            <w:tcW w:w="0" w:type="auto"/>
          </w:tcPr>
          <w:p w14:paraId="6442DBB9"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97,928</w:t>
            </w:r>
          </w:p>
        </w:tc>
        <w:tc>
          <w:tcPr>
            <w:tcW w:w="0" w:type="auto"/>
          </w:tcPr>
          <w:p w14:paraId="73F44782"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80.08</w:t>
            </w:r>
          </w:p>
        </w:tc>
      </w:tr>
      <w:tr w:rsidR="002E2565" w:rsidRPr="00AC39B5" w14:paraId="5783C71F" w14:textId="77777777" w:rsidTr="00E02147">
        <w:tc>
          <w:tcPr>
            <w:tcW w:w="0" w:type="auto"/>
          </w:tcPr>
          <w:p w14:paraId="2220F5C7"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Validation</w:t>
            </w:r>
          </w:p>
        </w:tc>
        <w:tc>
          <w:tcPr>
            <w:tcW w:w="0" w:type="auto"/>
          </w:tcPr>
          <w:p w14:paraId="6581AB08"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6,566</w:t>
            </w:r>
          </w:p>
        </w:tc>
        <w:tc>
          <w:tcPr>
            <w:tcW w:w="0" w:type="auto"/>
          </w:tcPr>
          <w:p w14:paraId="3A8B46A5"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10.00</w:t>
            </w:r>
          </w:p>
        </w:tc>
        <w:tc>
          <w:tcPr>
            <w:tcW w:w="0" w:type="auto"/>
          </w:tcPr>
          <w:p w14:paraId="0C2201A2"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12,286</w:t>
            </w:r>
          </w:p>
        </w:tc>
        <w:tc>
          <w:tcPr>
            <w:tcW w:w="0" w:type="auto"/>
          </w:tcPr>
          <w:p w14:paraId="0FA56797"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10.05</w:t>
            </w:r>
          </w:p>
        </w:tc>
      </w:tr>
      <w:tr w:rsidR="002E2565" w:rsidRPr="00AC39B5" w14:paraId="6A0927CF" w14:textId="77777777" w:rsidTr="00E02147">
        <w:tc>
          <w:tcPr>
            <w:tcW w:w="0" w:type="auto"/>
          </w:tcPr>
          <w:p w14:paraId="757AE419" w14:textId="77777777" w:rsidR="002E2565" w:rsidRPr="00AC39B5" w:rsidRDefault="002E2565" w:rsidP="00E02147">
            <w:pPr>
              <w:pStyle w:val="Compact"/>
              <w:rPr>
                <w:rFonts w:ascii="Times New Roman" w:hAnsi="Times New Roman" w:cs="Times New Roman"/>
              </w:rPr>
            </w:pPr>
            <w:r w:rsidRPr="00AC39B5">
              <w:rPr>
                <w:rFonts w:ascii="Times New Roman" w:hAnsi="Times New Roman" w:cs="Times New Roman"/>
              </w:rPr>
              <w:t>Test</w:t>
            </w:r>
          </w:p>
        </w:tc>
        <w:tc>
          <w:tcPr>
            <w:tcW w:w="0" w:type="auto"/>
          </w:tcPr>
          <w:p w14:paraId="068D8C3F"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6,567</w:t>
            </w:r>
          </w:p>
        </w:tc>
        <w:tc>
          <w:tcPr>
            <w:tcW w:w="0" w:type="auto"/>
          </w:tcPr>
          <w:p w14:paraId="7F49F56B"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10.00</w:t>
            </w:r>
          </w:p>
        </w:tc>
        <w:tc>
          <w:tcPr>
            <w:tcW w:w="0" w:type="auto"/>
          </w:tcPr>
          <w:p w14:paraId="53591456"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12,074</w:t>
            </w:r>
          </w:p>
        </w:tc>
        <w:tc>
          <w:tcPr>
            <w:tcW w:w="0" w:type="auto"/>
          </w:tcPr>
          <w:p w14:paraId="1B6E1ADC" w14:textId="77777777" w:rsidR="002E2565" w:rsidRPr="00AC39B5" w:rsidRDefault="002E2565" w:rsidP="00E02147">
            <w:pPr>
              <w:pStyle w:val="Compact"/>
              <w:jc w:val="right"/>
              <w:rPr>
                <w:rFonts w:ascii="Times New Roman" w:hAnsi="Times New Roman" w:cs="Times New Roman"/>
              </w:rPr>
            </w:pPr>
            <w:r w:rsidRPr="00AC39B5">
              <w:rPr>
                <w:rFonts w:ascii="Times New Roman" w:hAnsi="Times New Roman" w:cs="Times New Roman"/>
              </w:rPr>
              <w:t>9.87</w:t>
            </w:r>
          </w:p>
        </w:tc>
      </w:tr>
    </w:tbl>
    <w:p w14:paraId="7C4931B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lastRenderedPageBreak/>
        <w:t>Across the finalized top-50 label space, 49 labels appear in each split. The remaining label is addressed under cohort-aware label construction (§3.5). Minimum test-split positive count among the represented labels is 420, median is 907, and maximum is 4,476, so per-label F1 is well-supported for the retained 49.</w:t>
      </w:r>
    </w:p>
    <w:p w14:paraId="66901367"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3.3 Data Visualization</w:t>
      </w:r>
    </w:p>
    <w:p w14:paraId="1E3EDF5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note-length distribution is the single most important descriptive result. As shown in Figure 3.1, note length is strongly right-skewed, with median length 1,501 tokens, 90th percentile length 2,447, and 99th percentile length 3,691. The exceedance curve bends in the 1,000 to 2,000 token range, which is precisely where naive BERT truncation becomes indefensible. This is not a minor inconvenience; it determines the architecture.</w:t>
      </w:r>
    </w:p>
    <w:p w14:paraId="6D0C003F"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ICD version transition visualization is useful but easy to misread. Figure 6.1 displays ICD-9 and ICD-10 assignments by shifted admission year, but the date-shifting scheme smears the real October 2015 transition across the synthetic timeline. The figure is therefore diagnostic rather than historical. It confirms that the version split exists, but it should not be interpreted as a true temporal trend without date unshifting in a later processing stage.</w:t>
      </w:r>
    </w:p>
    <w:p w14:paraId="00726EB2"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Figure 7.1 combines a rank-frequency plot and a top-K coverage curve for ICD-10 labels. The label space is long-tailed, with 19,440 distinct codes, but the top 50 codes cover 91.04% of admissions. That concentration makes the benchmark tractable. Marginal coverage returns are not linear: K = 25 adds 8.73 percentage points over K = 10, K = 50 adds only 1.94 points over K = 25, and K = 100 adds 4.41 points over K = 50. The curve therefore does not fully flatten at K = 50; instead, returns remain modest beyond that point. The top-50 setting is justified primarily by direct comparability with Mullenbach et al. (2018), accepting a 4.41-point ceiling loss relative to top-100 in exchange for a benchmark-aligned label space.</w:t>
      </w:r>
    </w:p>
    <w:p w14:paraId="410D553E"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As shown in Figure 9.1, the label co-occurrence heatmap reveals clinically coherent clusters, including metabolic comorbidity groupings, behavioral health patterns, and acute complication clusters. The most important sanity check is the near-zero co-occurrence between Z87.891 and F17.210, which represent past and current tobacco-use states that should rarely be coded together. That near-zero cell suggests the diagnosis labels are noisy in the usual way, not catastrophically inconsistent.</w:t>
      </w:r>
    </w:p>
    <w:p w14:paraId="378BF64E"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Figure 10.1 shows the admissions-per-patient distribution. It is heavily right-skewed, with median 1, mean 2.44, and maximum 238 admissions for a single patient. About 55% of patients appear once, whereas 11% appear five or more times. This is precisely the distribution that makes patient-level splitting mandatory.</w:t>
      </w:r>
    </w:p>
    <w:p w14:paraId="3EA5A473"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3.4 Algorithms and Modeling Methods</w:t>
      </w:r>
    </w:p>
    <w:p w14:paraId="73A2AA37"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3.4.1 Multi-Label Classification Approach</w:t>
      </w:r>
    </w:p>
    <w:p w14:paraId="5061293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The task is formulated as multi-label classification over 50 binary targets. That formulation is required by the data: admissions routinely carry multiple diagnosis codes, so a multi-class setup would be structurally wrong because it would force exactly one label per encounter. The baseline model uses one-vs-rest logistic regression over TF-IDF features derived from unigrams and bigrams, with </w:t>
      </w:r>
      <w:r w:rsidRPr="00AC39B5">
        <w:rPr>
          <w:rStyle w:val="VerbatimChar"/>
          <w:rFonts w:ascii="Times New Roman" w:hAnsi="Times New Roman" w:cs="Times New Roman"/>
        </w:rPr>
        <w:t>min_df = 5</w:t>
      </w:r>
      <w:r w:rsidRPr="00AC39B5">
        <w:rPr>
          <w:rFonts w:ascii="Times New Roman" w:hAnsi="Times New Roman" w:cs="Times New Roman"/>
        </w:rPr>
        <w:t xml:space="preserve"> and a vocabulary cap of 200,000 features. This baseline is intentionally </w:t>
      </w:r>
      <w:r w:rsidRPr="00AC39B5">
        <w:rPr>
          <w:rFonts w:ascii="Times New Roman" w:hAnsi="Times New Roman" w:cs="Times New Roman"/>
        </w:rPr>
        <w:lastRenderedPageBreak/>
        <w:t>simple. Its purpose is to establish whether later transformer gains reflect genuine modeling improvement rather than a weak comparison point.</w:t>
      </w:r>
    </w:p>
    <w:p w14:paraId="4CDAAF34" w14:textId="77777777" w:rsidR="007D15FF" w:rsidRPr="00AC39B5" w:rsidRDefault="007D15FF" w:rsidP="00B618A3">
      <w:pPr>
        <w:pStyle w:val="Heading3"/>
        <w:rPr>
          <w:rFonts w:ascii="Times New Roman" w:hAnsi="Times New Roman" w:cs="Times New Roman"/>
        </w:rPr>
      </w:pPr>
      <w:r w:rsidRPr="00AC39B5">
        <w:rPr>
          <w:rFonts w:ascii="Times New Roman" w:hAnsi="Times New Roman" w:cs="Times New Roman"/>
        </w:rPr>
        <w:t>3.4.2 Transformer Fine-Tuning Strategy</w:t>
      </w:r>
    </w:p>
    <w:p w14:paraId="4C6E43DE"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primary neural model is Bio_ClinicalBERT with chunk-and-max-pool decoding. The EDA justifies this choice directly. A single 512-token window would truncate 98.74% of notes and discard roughly 1,000 tokens even around the median. That loss is unacceptable. A chunked approach can process several note segments independently and aggregate evidence across them, preserving substantially more signal at lower cost than a full long-context transformer.</w:t>
      </w:r>
    </w:p>
    <w:p w14:paraId="3D2E89B8"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Clinical-Longformer is reserved as an escalation path rather than the initial model. That is the right call. Long-context transformers are slower and more expensive, and there is no reason to pay that tax before testing whether chunked Bio_ClinicalBERT already clears the target. The escalation trigger is concrete and conditioned on a fair training budget: Clinical-Longformer is considered only if chunked Bio_ClinicalBERT, after fine-tuning for at least three full epochs at learning rate 2e-5 with effective batch size 16 and per-label threshold tuning on the validation set, produces a best-epoch validation Micro F1 below 0.67. Below this threshold and training budget, the chunked architecture is presumed insufficient; above it, the three-point shortfall is treated as a tuning or data issue rather than an architectural one.</w:t>
      </w:r>
    </w:p>
    <w:p w14:paraId="10B1BC03"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3.4.3 Threshold Tuning</w:t>
      </w:r>
    </w:p>
    <w:p w14:paraId="04D2549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Threshold selection is performed per label on the validation set by optimizing F1 rather than using a single global cutoff. The class distribution is too imbalanced for one threshold to work well across all labels. Common codes and low-prevalence codes operate in different score regimes. Ignoring that and using a flat 0.5 threshold would be a weak implementation choice.</w:t>
      </w:r>
    </w:p>
    <w:p w14:paraId="1402CED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 xml:space="preserve">Because the same validation split is also used for early stopping during transformer fine-tuning, a mild dual-use leakage path exists: thresholds optimized on the validation set will overstate that set’s F1 relative to truly held-out performance. This is mitigated by reporting headline metrics on the held-out test split rather than the validation split, and by reserving the option to split validation into </w:t>
      </w:r>
      <w:proofErr w:type="spellStart"/>
      <w:r w:rsidRPr="00AC39B5">
        <w:rPr>
          <w:rStyle w:val="VerbatimChar"/>
          <w:rFonts w:ascii="Times New Roman" w:hAnsi="Times New Roman" w:cs="Times New Roman"/>
        </w:rPr>
        <w:t>val</w:t>
      </w:r>
      <w:proofErr w:type="spellEnd"/>
      <w:r w:rsidRPr="00AC39B5">
        <w:rPr>
          <w:rStyle w:val="VerbatimChar"/>
          <w:rFonts w:ascii="Times New Roman" w:hAnsi="Times New Roman" w:cs="Times New Roman"/>
        </w:rPr>
        <w:t>-stop</w:t>
      </w:r>
      <w:r w:rsidRPr="00AC39B5">
        <w:rPr>
          <w:rFonts w:ascii="Times New Roman" w:hAnsi="Times New Roman" w:cs="Times New Roman"/>
        </w:rPr>
        <w:t xml:space="preserve"> (early stopping) and </w:t>
      </w:r>
      <w:proofErr w:type="spellStart"/>
      <w:r w:rsidRPr="00AC39B5">
        <w:rPr>
          <w:rStyle w:val="VerbatimChar"/>
          <w:rFonts w:ascii="Times New Roman" w:hAnsi="Times New Roman" w:cs="Times New Roman"/>
        </w:rPr>
        <w:t>val</w:t>
      </w:r>
      <w:proofErr w:type="spellEnd"/>
      <w:r w:rsidRPr="00AC39B5">
        <w:rPr>
          <w:rStyle w:val="VerbatimChar"/>
          <w:rFonts w:ascii="Times New Roman" w:hAnsi="Times New Roman" w:cs="Times New Roman"/>
        </w:rPr>
        <w:t>-thresh</w:t>
      </w:r>
      <w:r w:rsidRPr="00AC39B5">
        <w:rPr>
          <w:rFonts w:ascii="Times New Roman" w:hAnsi="Times New Roman" w:cs="Times New Roman"/>
        </w:rPr>
        <w:t xml:space="preserve"> (threshold tuning) if test-split Micro F1 lags validation Micro F1 by more than three percentage points.</w:t>
      </w:r>
    </w:p>
    <w:p w14:paraId="7D303074" w14:textId="77777777" w:rsidR="007D15FF" w:rsidRPr="00AC39B5" w:rsidRDefault="007D15FF" w:rsidP="007E52E4">
      <w:pPr>
        <w:pStyle w:val="Heading3"/>
        <w:rPr>
          <w:rFonts w:ascii="Times New Roman" w:hAnsi="Times New Roman" w:cs="Times New Roman"/>
        </w:rPr>
      </w:pPr>
      <w:r w:rsidRPr="00AC39B5">
        <w:rPr>
          <w:rFonts w:ascii="Times New Roman" w:hAnsi="Times New Roman" w:cs="Times New Roman"/>
        </w:rPr>
        <w:t>3.4.4 Patient-Level Train/Val/Test Splits</w:t>
      </w:r>
    </w:p>
    <w:p w14:paraId="7317D9A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train/validation/test split is performed at the patient level with seed 42 and an 80/10/10 ratio. The logic is straightforward: when 44.83% of patients appear multiple times, random admission-level splits create a high probability that the same patient contributes notes to both train and evaluation sets. For patients with five admissions, the leakage probability under naive random splitting is substantial. That kind of contamination inflates metrics because the model partially memorizes patient-specific phrasing, diagnosis style, and chronic-condition vocabulary.</w:t>
      </w:r>
    </w:p>
    <w:p w14:paraId="23298BFF"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3.5 EDA Results</w:t>
      </w:r>
    </w:p>
    <w:p w14:paraId="150016A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Cohort-aware label construction. Computing the top 50 ICD-10 codes from the full v3.1 ICD-10 diagnoses pool (254,377 admissions) rather than from the trainable cohort (122,288 admissions) produces a label space that leaks four codes with severely reduced or zero cohort support. The worst case is Z20.822 (contact with and suspected exposure to COVID-19), which ranks ninth in </w:t>
      </w:r>
      <w:r w:rsidRPr="00AC39B5">
        <w:rPr>
          <w:rFonts w:ascii="Times New Roman" w:hAnsi="Times New Roman" w:cs="Times New Roman"/>
        </w:rPr>
        <w:lastRenderedPageBreak/>
        <w:t>the full pool with 33,113 admissions but has zero positives in the modelable cohort because the v2.2 note corpus predates the note-generation window that covers those COVID-era admissions. Three additional codes (E11.65, D50.9, Z51.5) lose between 49 and 55 percent of their positives when intersected with the cohort. The corrected methodology computes top-K from the cohort itself, which changes 4 of the 50 label columns: the cohort-based top 50 drops Z20.822, E11.65, D50.9, and Z51.5 and adds N18.3, J18.9, Y92.239, and Z23. This correction is applied before the Gold label matrix is built. Without it, the Z20.822 column would be constant-zero and would trivially inflate any metric that averages per-label precision or recall.</w:t>
      </w:r>
    </w:p>
    <w:p w14:paraId="3F70B44B"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Cohort viability. The cohort is viable. The final modelable population contains 122,288 admissions — roughly 10.75 times the MIMIC-III top-50 benchmark cohort used in the original CAML paper (Mullenbach et al., 2018), which reported 8,067 training, 1,574 validation, and 1,730 test discharge summaries. Top-50 coverage reaches 91.04%, comfortably above the 80% threshold that would make a top-K benchmark worth running. On size and concentration alone, the cohort is strong enough to support both baseline and transformer experiments.</w:t>
      </w:r>
    </w:p>
    <w:p w14:paraId="61C1759D"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Demographic representation. The modelable cohort covers 65,665 patients. At the patient level, self-reported race distributes as follows: White 66.33%, Black or African American 12.83%, Hispanic or Latino 5.52%, Asian 4.32%, Unknown or Other 10.56%, American Indian / Alaska Native / Native Hawaiian or Pacific Islander 0.33%, and Multiple 0.12%. Two implications follow. First, fairness reporting on macro F1 disaggregated by race is feasible for White, Black, Hispanic, and Asian subgroups, each with at least 4,000 patients in the cohort. Second, AI/AN/NHPI and Multiple groups together represent fewer than 0.5% of patients, so per-subgroup F1 for these groups will be dominated by sample variance rather than model behavior and will be reported with an explicit uncertainty caveat in the model card rather than omitted. The Unknown or Other category is large enough (10.56% of patients) that its performance will be reported separately as an indicator of model behavior on under-documented demographic records.</w:t>
      </w:r>
    </w:p>
    <w:p w14:paraId="55C9F61B"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Constraints. The main constraints are also clear and nontrivial. Note length rules out single-window BERT. Patient overlap rules out admission-level random splitting. The v3.1 Hosp upgrade improves structured diagnosis integrity, but the ICD-10-only filter eliminates a large share of the note inventory because the older ICD-9 era is intentionally excluded. That is a cohort-definition trade-off, not a data-quality failure.</w:t>
      </w:r>
    </w:p>
    <w:p w14:paraId="31B79612" w14:textId="2EBF1859" w:rsidR="007D15FF" w:rsidRPr="00AC39B5" w:rsidRDefault="002E2565" w:rsidP="002E2565">
      <w:pPr>
        <w:pStyle w:val="BodyText"/>
        <w:rPr>
          <w:rFonts w:ascii="Times New Roman" w:hAnsi="Times New Roman" w:cs="Times New Roman"/>
        </w:rPr>
      </w:pPr>
      <w:r w:rsidRPr="00AC39B5">
        <w:rPr>
          <w:rFonts w:ascii="Times New Roman" w:hAnsi="Times New Roman" w:cs="Times New Roman"/>
        </w:rPr>
        <w:t>Domain signals. The analysis also surfaced useful domain signals. Expected cardiometabolic burden is somewhat obscured in the top ranks by ICD-10 sub-code fragmentation rather than by the absence of disease burden. The near-zero Z87.891 × F17.210 co-occurrence is a small but important validation that label combinations are not obviously nonsensical. The earlier appearance of Z20.822 in the full ICD-10 pool is now correctly interpreted as a cohort-construction artifact rather than evidence that the final trainable cohort contains pandemic-era admissions.</w:t>
      </w:r>
    </w:p>
    <w:p w14:paraId="6B04EB81"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3.6 Model Evaluation</w:t>
      </w:r>
    </w:p>
    <w:p w14:paraId="736E6910"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 xml:space="preserve">The evaluation plan centers on Micro F1, Macro F1, and precision at rank (P@5, P@8, P@15). Micro F1 is the primary operational metric because it aggregates performance across labels and is comparatively stable under class imbalance. Macro F1 is retained because it exposes failure on </w:t>
      </w:r>
      <w:r w:rsidRPr="00AC39B5">
        <w:rPr>
          <w:rFonts w:ascii="Times New Roman" w:hAnsi="Times New Roman" w:cs="Times New Roman"/>
        </w:rPr>
        <w:lastRenderedPageBreak/>
        <w:t xml:space="preserve">less frequent labels. Precision at rank is included because coder-assist settings care about the usefulness of the ranked candidate list, not only </w:t>
      </w:r>
      <w:proofErr w:type="spellStart"/>
      <w:r w:rsidRPr="00AC39B5">
        <w:rPr>
          <w:rFonts w:ascii="Times New Roman" w:hAnsi="Times New Roman" w:cs="Times New Roman"/>
        </w:rPr>
        <w:t>thresholded</w:t>
      </w:r>
      <w:proofErr w:type="spellEnd"/>
      <w:r w:rsidRPr="00AC39B5">
        <w:rPr>
          <w:rFonts w:ascii="Times New Roman" w:hAnsi="Times New Roman" w:cs="Times New Roman"/>
        </w:rPr>
        <w:t xml:space="preserve"> binary outputs.</w:t>
      </w:r>
    </w:p>
    <w:p w14:paraId="6DC19341"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Target thresholds are stated explicitly: Micro F1 at or above 0.70, Macro F1 at or above 0.55, and P@8 at or above 0.65. A Micro F1 below 0.55 is treated as a failure condition indicating a pipeline, label-construction, or evaluation problem rather than a respectable first benchmark.</w:t>
      </w:r>
    </w:p>
    <w:p w14:paraId="363B1BFA" w14:textId="77777777" w:rsidR="002E2565" w:rsidRPr="00AC39B5" w:rsidRDefault="002E2565" w:rsidP="002E2565">
      <w:pPr>
        <w:pStyle w:val="BodyText"/>
        <w:rPr>
          <w:rFonts w:ascii="Times New Roman" w:hAnsi="Times New Roman" w:cs="Times New Roman"/>
        </w:rPr>
      </w:pPr>
      <w:r>
        <w:t>Benchmark comparison to Mullenbach et al. (2018) is reported with two explicit caveats. First, ICD-10 is more fragmented than ICD-9, so the comparison is informative rather than strictly apples-to-apples. Second, CAML metric values from Mullenbach Table 5 (MIMIC-III top-50) are Micro F1 = 0.614, Macro F1 = 0.532, and P@5 = 0.609; P@8 is not reported in Table 5 for the top-50 setting and is therefore omitted from the direct baseline comparison rather than cited from a different evaluation regime. Target deltas versus CAML are Micro F1 +0.086 and Macro F1 +0.018. Subgroup reporting by recurrent-admission status, sex, and age bucket is included in the eventual model card. Temporal subgroup analysis waits until shifted dates are normalized in a later processing stage.</w:t>
      </w:r>
    </w:p>
    <w:p w14:paraId="3FADEA50" w14:textId="77777777" w:rsidR="007D15FF" w:rsidRPr="00AC39B5" w:rsidRDefault="007D15FF" w:rsidP="007D15FF">
      <w:pPr>
        <w:pStyle w:val="Heading1"/>
        <w:rPr>
          <w:rFonts w:ascii="Times New Roman" w:hAnsi="Times New Roman" w:cs="Times New Roman"/>
          <w:sz w:val="24"/>
          <w:szCs w:val="24"/>
        </w:rPr>
      </w:pPr>
      <w:r w:rsidRPr="00AC39B5">
        <w:rPr>
          <w:rFonts w:ascii="Times New Roman" w:hAnsi="Times New Roman" w:cs="Times New Roman"/>
          <w:sz w:val="24"/>
          <w:szCs w:val="24"/>
        </w:rPr>
        <w:t>4. Conclusion</w:t>
      </w:r>
    </w:p>
    <w:p w14:paraId="0E02CFB0"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4.1 Exposition</w:t>
      </w:r>
    </w:p>
    <w:p w14:paraId="67A7D725"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This EDA establishes that MIMIC-IV can support a serious ICD-10 auto-coding benchmark, but only if the modeling plan respects the structure of the data. The cohort is large, label concentration is high enough for a top-50 benchmark, and the join logic between MIMIC-IV-Note v2.2 and MIMIC-IV Hosp v3.1 is defensible despite the release mismatch. In short, the data support proceeding to baseline modeling.</w:t>
      </w:r>
    </w:p>
    <w:p w14:paraId="2CF58BF9" w14:textId="77777777" w:rsidR="002E2565" w:rsidRPr="00AC39B5" w:rsidRDefault="002E2565" w:rsidP="002E2565">
      <w:pPr>
        <w:pStyle w:val="BodyText"/>
        <w:rPr>
          <w:rFonts w:ascii="Times New Roman" w:hAnsi="Times New Roman" w:cs="Times New Roman"/>
        </w:rPr>
      </w:pPr>
      <w:r w:rsidRPr="00AC39B5">
        <w:rPr>
          <w:rFonts w:ascii="Times New Roman" w:hAnsi="Times New Roman" w:cs="Times New Roman"/>
        </w:rPr>
        <w:t>The analysis also rules out several weak modeling shortcuts. Single-window BERT is not a credible option because discharge summaries are too long. Admission-level random splitting is not defensible because repeated patients are too common. The problem has evolved since Mullenbach et al. (2018): the cohort is newer, the coding system is ICD-10 rather than ICD-9, the label space is more granular, and the data reflect more contemporary documentation patterns. That makes the benchmark harder in some ways and stronger in others.</w:t>
      </w:r>
    </w:p>
    <w:p w14:paraId="5A6A672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4.2 Problem Description</w:t>
      </w:r>
    </w:p>
    <w:p w14:paraId="4255CE9F" w14:textId="77777777"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The modeling problem exposed by the data is not simply “predict codes from text.” It is a constrained long-document, multi-label classification problem with severe right-skew in note length, a fragmented diagnosis space, substantial patient-level leakage risk, and a note corpus that samples only part of the full structured-hospital population. The task is feasible, but sloppy evaluation or naive architecture choice will produce misleading results.</w:t>
      </w:r>
    </w:p>
    <w:p w14:paraId="7CEA294C" w14:textId="77777777" w:rsidR="007D15FF" w:rsidRPr="00AC39B5" w:rsidRDefault="007D15FF" w:rsidP="007E52E4">
      <w:pPr>
        <w:pStyle w:val="Heading2"/>
        <w:rPr>
          <w:rFonts w:ascii="Times New Roman" w:hAnsi="Times New Roman" w:cs="Times New Roman"/>
          <w:sz w:val="24"/>
          <w:szCs w:val="24"/>
        </w:rPr>
      </w:pPr>
      <w:r w:rsidRPr="00AC39B5">
        <w:rPr>
          <w:rFonts w:ascii="Times New Roman" w:hAnsi="Times New Roman" w:cs="Times New Roman"/>
          <w:sz w:val="24"/>
          <w:szCs w:val="24"/>
        </w:rPr>
        <w:t>4.3 Management Recommendations</w:t>
      </w:r>
    </w:p>
    <w:p w14:paraId="2C04B9AF"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Proceed to baseline training immediately. The cohort size and top-50 label coverage are already strong enough to justify a TF-IDF plus logistic regression benchmark.</w:t>
      </w:r>
    </w:p>
    <w:p w14:paraId="4C543562"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Do not waste time on single-window BERT. The note-length distribution makes truncation a losing design from the start.</w:t>
      </w:r>
    </w:p>
    <w:p w14:paraId="5590BD07"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Train chunked Bio_ClinicalBERT as the primary neural baseline. It is the best cost-performance choice supported by the EDA.</w:t>
      </w:r>
    </w:p>
    <w:p w14:paraId="2CB099E0"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lastRenderedPageBreak/>
        <w:t>Escalate to Clinical-Longformer only if chunked BERT underperforms materially. Use the pre-registered trigger rather than model-chasing.</w:t>
      </w:r>
    </w:p>
    <w:p w14:paraId="0E0BE22C"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Keep patient-level splits fixed and documented. Any admission-level evaluation would contaminate results and weaken the credibility of the entire project.</w:t>
      </w:r>
    </w:p>
    <w:p w14:paraId="78F06382"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Unshift or normalize date logic in the Silver stage before any temporal analysis. Current shifted-year plots are acceptable for diagnostics, not for historical claims.</w:t>
      </w:r>
    </w:p>
    <w:p w14:paraId="392674E7"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Add race and related subgroup fields before model-card finalization. Fairness reporting without demographic coverage is incomplete and would not pass serious review.</w:t>
      </w:r>
    </w:p>
    <w:p w14:paraId="135F935E" w14:textId="77777777" w:rsidR="002E2565" w:rsidRPr="00AC39B5" w:rsidRDefault="002E2565" w:rsidP="002E2565">
      <w:pPr>
        <w:pStyle w:val="Compact"/>
        <w:numPr>
          <w:ilvl w:val="0"/>
          <w:numId w:val="16"/>
        </w:numPr>
        <w:rPr>
          <w:rFonts w:ascii="Times New Roman" w:hAnsi="Times New Roman" w:cs="Times New Roman"/>
        </w:rPr>
      </w:pPr>
      <w:r w:rsidRPr="00AC39B5">
        <w:rPr>
          <w:rFonts w:ascii="Times New Roman" w:hAnsi="Times New Roman" w:cs="Times New Roman"/>
        </w:rPr>
        <w:t>Document the cohort ceiling explicitly in the data card. The modelable population is limited by note availability in MIMIC-IV-Note v2.2, not by this project’s join quality.</w:t>
      </w:r>
    </w:p>
    <w:p w14:paraId="4FD4297B" w14:textId="77777777" w:rsidR="002E2565" w:rsidRPr="00AC39B5" w:rsidRDefault="002E2565" w:rsidP="002E2565">
      <w:pPr>
        <w:pStyle w:val="Heading2"/>
        <w:rPr>
          <w:rFonts w:ascii="Times New Roman" w:hAnsi="Times New Roman" w:cs="Times New Roman"/>
          <w:sz w:val="24"/>
          <w:szCs w:val="24"/>
        </w:rPr>
      </w:pPr>
      <w:bookmarkStart w:id="0" w:name="closing"/>
      <w:r w:rsidRPr="00AC39B5">
        <w:rPr>
          <w:rFonts w:ascii="Times New Roman" w:hAnsi="Times New Roman" w:cs="Times New Roman"/>
          <w:sz w:val="24"/>
          <w:szCs w:val="24"/>
        </w:rPr>
        <w:t>4.4 Closing</w:t>
      </w:r>
      <w:bookmarkEnd w:id="0"/>
    </w:p>
    <w:p w14:paraId="284DE843" w14:textId="5E516EDD" w:rsidR="002E2565" w:rsidRPr="00AC39B5" w:rsidRDefault="002E2565" w:rsidP="002E2565">
      <w:pPr>
        <w:pStyle w:val="FirstParagraph"/>
        <w:rPr>
          <w:rFonts w:ascii="Times New Roman" w:hAnsi="Times New Roman" w:cs="Times New Roman"/>
        </w:rPr>
      </w:pPr>
      <w:r w:rsidRPr="00AC39B5">
        <w:rPr>
          <w:rFonts w:ascii="Times New Roman" w:hAnsi="Times New Roman" w:cs="Times New Roman"/>
        </w:rPr>
        <w:t>This report establishes that the cohort definition, label space, and evaluation design are credible enough to support downstream modeling. The next deliverable should be the benchmark package itself: a leakage-safe TF-IDF baseline, a chunked Bio_ClinicalBERT fine-tune, and a documented comparison executed on Azure Databricks with accompanying model-card and data-card artifacts.</w:t>
      </w:r>
    </w:p>
    <w:p w14:paraId="4661E4CC" w14:textId="76B26E60" w:rsidR="002E1D11" w:rsidRPr="00AC39B5" w:rsidRDefault="007819EE" w:rsidP="007819EE">
      <w:pPr>
        <w:pStyle w:val="Heading1"/>
        <w:rPr>
          <w:rFonts w:ascii="Times New Roman" w:hAnsi="Times New Roman" w:cs="Times New Roman"/>
          <w:sz w:val="24"/>
          <w:szCs w:val="24"/>
        </w:rPr>
      </w:pPr>
      <w:r w:rsidRPr="00AC39B5">
        <w:rPr>
          <w:rFonts w:ascii="Times New Roman" w:hAnsi="Times New Roman" w:cs="Times New Roman"/>
          <w:sz w:val="24"/>
          <w:szCs w:val="24"/>
        </w:rPr>
        <w:t>5. Acknowledgement</w:t>
      </w:r>
    </w:p>
    <w:p w14:paraId="03708C89" w14:textId="2EB65F11" w:rsidR="007819EE" w:rsidRPr="00AC39B5" w:rsidRDefault="007819EE" w:rsidP="007819EE">
      <w:pPr>
        <w:rPr>
          <w:rFonts w:ascii="Times New Roman" w:hAnsi="Times New Roman" w:cs="Times New Roman"/>
          <w:sz w:val="24"/>
          <w:szCs w:val="24"/>
        </w:rPr>
      </w:pPr>
      <w:r w:rsidRPr="00AC39B5">
        <w:rPr>
          <w:rFonts w:ascii="Times New Roman" w:hAnsi="Times New Roman" w:cs="Times New Roman"/>
          <w:sz w:val="24"/>
          <w:szCs w:val="24"/>
        </w:rPr>
        <w:t>This manuscript was prepared with limited assistance from large language models (Anthropic Claude and OpenAI ChatGPT) used for editorial support, paper organization, and discussion of presentation choices. The code, analyses, computed statistics, cohort definition, methodological decisions, interpretations, and final written content were developed by the author.</w:t>
      </w:r>
    </w:p>
    <w:p w14:paraId="7475C1DC" w14:textId="77777777" w:rsidR="002E2565" w:rsidRPr="00AC39B5" w:rsidRDefault="002E2565" w:rsidP="002E2565">
      <w:pPr>
        <w:pStyle w:val="Heading1"/>
        <w:rPr>
          <w:rFonts w:ascii="Times New Roman" w:hAnsi="Times New Roman" w:cs="Times New Roman"/>
          <w:sz w:val="24"/>
          <w:szCs w:val="24"/>
        </w:rPr>
      </w:pPr>
    </w:p>
    <w:p w14:paraId="0C8C10B5" w14:textId="77777777" w:rsidR="002E2565" w:rsidRPr="00AC39B5" w:rsidRDefault="002E2565" w:rsidP="002E2565">
      <w:pPr>
        <w:rPr>
          <w:rFonts w:ascii="Times New Roman" w:hAnsi="Times New Roman" w:cs="Times New Roman"/>
          <w:sz w:val="24"/>
          <w:szCs w:val="24"/>
        </w:rPr>
      </w:pPr>
    </w:p>
    <w:p w14:paraId="15684BEF" w14:textId="77777777" w:rsidR="002E2565" w:rsidRPr="00AC39B5" w:rsidRDefault="002E2565" w:rsidP="002E2565">
      <w:pPr>
        <w:rPr>
          <w:rFonts w:ascii="Times New Roman" w:hAnsi="Times New Roman" w:cs="Times New Roman"/>
          <w:sz w:val="24"/>
          <w:szCs w:val="24"/>
        </w:rPr>
      </w:pPr>
    </w:p>
    <w:p w14:paraId="73EB231F" w14:textId="77777777" w:rsidR="002E2565" w:rsidRPr="00AC39B5" w:rsidRDefault="002E2565" w:rsidP="002E2565">
      <w:pPr>
        <w:rPr>
          <w:rFonts w:ascii="Times New Roman" w:hAnsi="Times New Roman" w:cs="Times New Roman"/>
          <w:sz w:val="24"/>
          <w:szCs w:val="24"/>
        </w:rPr>
      </w:pPr>
    </w:p>
    <w:p w14:paraId="490ACC83" w14:textId="77777777" w:rsidR="002E2565" w:rsidRPr="00AC39B5" w:rsidRDefault="002E2565" w:rsidP="002E2565">
      <w:pPr>
        <w:rPr>
          <w:rFonts w:ascii="Times New Roman" w:hAnsi="Times New Roman" w:cs="Times New Roman"/>
          <w:sz w:val="24"/>
          <w:szCs w:val="24"/>
        </w:rPr>
      </w:pPr>
    </w:p>
    <w:p w14:paraId="4D1A15F4" w14:textId="77777777" w:rsidR="002E2565" w:rsidRPr="00AC39B5" w:rsidRDefault="002E2565" w:rsidP="002E2565">
      <w:pPr>
        <w:rPr>
          <w:rFonts w:ascii="Times New Roman" w:hAnsi="Times New Roman" w:cs="Times New Roman"/>
          <w:sz w:val="24"/>
          <w:szCs w:val="24"/>
        </w:rPr>
      </w:pPr>
    </w:p>
    <w:p w14:paraId="4817DBDD" w14:textId="77777777" w:rsidR="002E2565" w:rsidRPr="00AC39B5" w:rsidRDefault="002E2565" w:rsidP="002E2565">
      <w:pPr>
        <w:rPr>
          <w:rFonts w:ascii="Times New Roman" w:hAnsi="Times New Roman" w:cs="Times New Roman"/>
          <w:sz w:val="24"/>
          <w:szCs w:val="24"/>
        </w:rPr>
      </w:pPr>
    </w:p>
    <w:p w14:paraId="6A82E258" w14:textId="77777777" w:rsidR="002E2565" w:rsidRPr="00AC39B5" w:rsidRDefault="002E2565" w:rsidP="002E2565">
      <w:pPr>
        <w:rPr>
          <w:rFonts w:ascii="Times New Roman" w:hAnsi="Times New Roman" w:cs="Times New Roman"/>
          <w:sz w:val="24"/>
          <w:szCs w:val="24"/>
        </w:rPr>
      </w:pPr>
    </w:p>
    <w:p w14:paraId="3699488E" w14:textId="77777777" w:rsidR="002E2565" w:rsidRPr="00AC39B5" w:rsidRDefault="002E2565" w:rsidP="002E2565">
      <w:pPr>
        <w:rPr>
          <w:rFonts w:ascii="Times New Roman" w:hAnsi="Times New Roman" w:cs="Times New Roman"/>
          <w:sz w:val="24"/>
          <w:szCs w:val="24"/>
        </w:rPr>
      </w:pPr>
    </w:p>
    <w:p w14:paraId="226B573D" w14:textId="649AFEDE" w:rsidR="009E6A6C" w:rsidRPr="00AC39B5" w:rsidRDefault="009E6A6C" w:rsidP="002E2565">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References</w:t>
      </w:r>
    </w:p>
    <w:p w14:paraId="46F86809" w14:textId="77777777" w:rsidR="007D15FF" w:rsidRPr="00AC39B5" w:rsidRDefault="007D15FF" w:rsidP="007D15FF">
      <w:pPr>
        <w:pStyle w:val="NormalWeb"/>
        <w:spacing w:after="160"/>
        <w:ind w:hanging="720"/>
        <w:rPr>
          <w:color w:val="000000"/>
        </w:rPr>
      </w:pPr>
      <w:proofErr w:type="spellStart"/>
      <w:r w:rsidRPr="00AC39B5">
        <w:rPr>
          <w:color w:val="000000"/>
        </w:rPr>
        <w:t>Alsentzer</w:t>
      </w:r>
      <w:proofErr w:type="spellEnd"/>
      <w:r w:rsidRPr="00AC39B5">
        <w:rPr>
          <w:color w:val="000000"/>
        </w:rPr>
        <w:t>, E., Murphy, J. R., Boag, W., Weng, W.-H., Jin, D., Naumann, T., &amp; McDermott, M. (2019). Publicly available clinical BERT embeddings. </w:t>
      </w:r>
      <w:r w:rsidRPr="00AC39B5">
        <w:rPr>
          <w:i/>
          <w:iCs/>
          <w:color w:val="000000"/>
        </w:rPr>
        <w:t>Proceedings of the 2nd Clinical Natural Language Processing Workshop</w:t>
      </w:r>
      <w:r w:rsidRPr="00AC39B5">
        <w:rPr>
          <w:color w:val="000000"/>
        </w:rPr>
        <w:t>, 72–78. </w:t>
      </w:r>
      <w:hyperlink r:id="rId11" w:tgtFrame="_blank" w:history="1">
        <w:r w:rsidRPr="00AC39B5">
          <w:rPr>
            <w:rStyle w:val="Hyperlink"/>
          </w:rPr>
          <w:t>https://doi.org/10.18653/v1/W19-1909</w:t>
        </w:r>
      </w:hyperlink>
    </w:p>
    <w:p w14:paraId="42BBFD95" w14:textId="77777777" w:rsidR="007D15FF" w:rsidRPr="00AC39B5" w:rsidRDefault="007D15FF" w:rsidP="007D15FF">
      <w:pPr>
        <w:pStyle w:val="NormalWeb"/>
        <w:spacing w:after="160"/>
        <w:ind w:hanging="720"/>
        <w:rPr>
          <w:color w:val="000000"/>
        </w:rPr>
      </w:pPr>
      <w:r w:rsidRPr="00AC39B5">
        <w:rPr>
          <w:color w:val="000000"/>
        </w:rPr>
        <w:t>Beltagy, I., Peters, M. E., &amp; Cohan, A. (2020). Longformer: The long-document transformer. </w:t>
      </w:r>
      <w:proofErr w:type="spellStart"/>
      <w:r w:rsidRPr="00AC39B5">
        <w:rPr>
          <w:i/>
          <w:iCs/>
          <w:color w:val="000000"/>
        </w:rPr>
        <w:t>arXiv</w:t>
      </w:r>
      <w:proofErr w:type="spellEnd"/>
      <w:r w:rsidRPr="00AC39B5">
        <w:rPr>
          <w:i/>
          <w:iCs/>
          <w:color w:val="000000"/>
        </w:rPr>
        <w:t xml:space="preserve"> preprint arXiv:2004.05150</w:t>
      </w:r>
      <w:r w:rsidRPr="00AC39B5">
        <w:rPr>
          <w:color w:val="000000"/>
        </w:rPr>
        <w:t>. </w:t>
      </w:r>
      <w:hyperlink r:id="rId12" w:tgtFrame="_blank" w:history="1">
        <w:r w:rsidRPr="00AC39B5">
          <w:rPr>
            <w:rStyle w:val="Hyperlink"/>
          </w:rPr>
          <w:t>https://arxiv.org/abs/2004.05150</w:t>
        </w:r>
      </w:hyperlink>
    </w:p>
    <w:p w14:paraId="40FC0E94" w14:textId="77777777" w:rsidR="007D15FF" w:rsidRPr="00AC39B5" w:rsidRDefault="007D15FF" w:rsidP="007D15FF">
      <w:pPr>
        <w:pStyle w:val="NormalWeb"/>
        <w:spacing w:after="160"/>
        <w:ind w:hanging="720"/>
        <w:rPr>
          <w:color w:val="000000"/>
        </w:rPr>
      </w:pPr>
      <w:r w:rsidRPr="00AC39B5">
        <w:rPr>
          <w:color w:val="000000"/>
        </w:rPr>
        <w:t>Devlin, J., Chang, M.-W., Lee, K., &amp; Toutanova, K. (2019). BERT: Pre-training of deep bidirectional transformers for language understanding. </w:t>
      </w:r>
      <w:r w:rsidRPr="00AC39B5">
        <w:rPr>
          <w:i/>
          <w:iCs/>
          <w:color w:val="000000"/>
        </w:rPr>
        <w:t>Proceedings of the 2019 Conference of the North American Chapter of the Association for Computational Linguistics</w:t>
      </w:r>
      <w:r w:rsidRPr="00AC39B5">
        <w:rPr>
          <w:color w:val="000000"/>
        </w:rPr>
        <w:t>, 4171–4186. </w:t>
      </w:r>
      <w:hyperlink r:id="rId13" w:tgtFrame="_blank" w:history="1">
        <w:r w:rsidRPr="00AC39B5">
          <w:rPr>
            <w:rStyle w:val="Hyperlink"/>
          </w:rPr>
          <w:t>https://doi.org/10.18653/v1/N19-1423</w:t>
        </w:r>
      </w:hyperlink>
    </w:p>
    <w:p w14:paraId="20C80841" w14:textId="77777777" w:rsidR="007D15FF" w:rsidRPr="00AC39B5" w:rsidRDefault="007D15FF" w:rsidP="007D15FF">
      <w:pPr>
        <w:pStyle w:val="NormalWeb"/>
        <w:spacing w:after="160"/>
        <w:ind w:hanging="720"/>
        <w:rPr>
          <w:color w:val="000000"/>
        </w:rPr>
      </w:pPr>
      <w:r w:rsidRPr="00AC39B5">
        <w:rPr>
          <w:color w:val="000000"/>
        </w:rPr>
        <w:t xml:space="preserve">Johnson, A. E. W., Bulgarelli, L., Shen, L., Gayles, A., </w:t>
      </w:r>
      <w:proofErr w:type="spellStart"/>
      <w:r w:rsidRPr="00AC39B5">
        <w:rPr>
          <w:color w:val="000000"/>
        </w:rPr>
        <w:t>Shammout</w:t>
      </w:r>
      <w:proofErr w:type="spellEnd"/>
      <w:r w:rsidRPr="00AC39B5">
        <w:rPr>
          <w:color w:val="000000"/>
        </w:rPr>
        <w:t>, A., Horng, S., Pollard, T. J., Hao, S., Moody, B., Gow, B., Lehman, L. H., Celi, L. A., &amp; Mark, R. G. (2023). MIMIC-IV, a freely accessible electronic health record dataset. </w:t>
      </w:r>
      <w:r w:rsidRPr="00AC39B5">
        <w:rPr>
          <w:i/>
          <w:iCs/>
          <w:color w:val="000000"/>
        </w:rPr>
        <w:t>Scientific Data, 10</w:t>
      </w:r>
      <w:r w:rsidRPr="00AC39B5">
        <w:rPr>
          <w:color w:val="000000"/>
        </w:rPr>
        <w:t>(1), 1. </w:t>
      </w:r>
      <w:hyperlink r:id="rId14" w:tgtFrame="_blank" w:history="1">
        <w:r w:rsidRPr="00AC39B5">
          <w:rPr>
            <w:rStyle w:val="Hyperlink"/>
          </w:rPr>
          <w:t>https://doi.org/10.1038/s41597-022-01899-x</w:t>
        </w:r>
      </w:hyperlink>
    </w:p>
    <w:p w14:paraId="34F159D7" w14:textId="77777777" w:rsidR="007D15FF" w:rsidRPr="00AC39B5" w:rsidRDefault="007D15FF" w:rsidP="007D15FF">
      <w:pPr>
        <w:pStyle w:val="NormalWeb"/>
        <w:spacing w:after="160"/>
        <w:ind w:hanging="720"/>
        <w:rPr>
          <w:color w:val="000000"/>
        </w:rPr>
      </w:pPr>
      <w:r w:rsidRPr="00AC39B5">
        <w:rPr>
          <w:color w:val="000000"/>
        </w:rPr>
        <w:t>Johnson, A. E. W., Pollard, T. J., Horng, S., Celi, L. A., &amp; Mark, R. G. (2023). MIMIC-IV-Note: Deidentified free-text clinical notes (version 2.2) [Data set]. </w:t>
      </w:r>
      <w:r w:rsidRPr="00AC39B5">
        <w:rPr>
          <w:i/>
          <w:iCs/>
          <w:color w:val="000000"/>
        </w:rPr>
        <w:t>PhysioNet</w:t>
      </w:r>
      <w:r w:rsidRPr="00AC39B5">
        <w:rPr>
          <w:color w:val="000000"/>
        </w:rPr>
        <w:t>. </w:t>
      </w:r>
      <w:hyperlink r:id="rId15" w:tgtFrame="_blank" w:history="1">
        <w:r w:rsidRPr="00AC39B5">
          <w:rPr>
            <w:rStyle w:val="Hyperlink"/>
          </w:rPr>
          <w:t>https://doi.org/10.13026/1n74-ne17</w:t>
        </w:r>
      </w:hyperlink>
    </w:p>
    <w:p w14:paraId="2A1057BC" w14:textId="77777777" w:rsidR="007D15FF" w:rsidRPr="00AC39B5" w:rsidRDefault="007D15FF" w:rsidP="007D15FF">
      <w:pPr>
        <w:pStyle w:val="NormalWeb"/>
        <w:spacing w:after="160"/>
        <w:ind w:hanging="720"/>
        <w:rPr>
          <w:color w:val="000000"/>
        </w:rPr>
      </w:pPr>
      <w:r w:rsidRPr="00AC39B5">
        <w:rPr>
          <w:color w:val="000000"/>
        </w:rPr>
        <w:t>Mitchell, M., Wu, S., Zaldivar, A., Barnes, P., Vasserman, L., Hutchinson, B., Spitzer, E., Raji, I. D., &amp; Gebru, T. (2019). Model cards for model reporting. </w:t>
      </w:r>
      <w:r w:rsidRPr="00AC39B5">
        <w:rPr>
          <w:i/>
          <w:iCs/>
          <w:color w:val="000000"/>
        </w:rPr>
        <w:t>Proceedings of the Conference on Fairness, Accountability, and Transparency</w:t>
      </w:r>
      <w:r w:rsidRPr="00AC39B5">
        <w:rPr>
          <w:color w:val="000000"/>
        </w:rPr>
        <w:t>, 220–229. </w:t>
      </w:r>
      <w:hyperlink r:id="rId16" w:tgtFrame="_blank" w:history="1">
        <w:r w:rsidRPr="00AC39B5">
          <w:rPr>
            <w:rStyle w:val="Hyperlink"/>
          </w:rPr>
          <w:t>https://doi.org/10.1145/3287560.3287596</w:t>
        </w:r>
      </w:hyperlink>
    </w:p>
    <w:p w14:paraId="50029DD7" w14:textId="77777777" w:rsidR="007D15FF" w:rsidRPr="00AC39B5" w:rsidRDefault="007D15FF" w:rsidP="007D15FF">
      <w:pPr>
        <w:pStyle w:val="NormalWeb"/>
        <w:spacing w:after="160"/>
        <w:ind w:hanging="720"/>
        <w:rPr>
          <w:color w:val="000000"/>
          <w:lang w:val="es-ES"/>
        </w:rPr>
      </w:pPr>
      <w:r w:rsidRPr="00AC39B5">
        <w:rPr>
          <w:color w:val="000000"/>
        </w:rPr>
        <w:t xml:space="preserve">Mullenbach, J., </w:t>
      </w:r>
      <w:proofErr w:type="spellStart"/>
      <w:r w:rsidRPr="00AC39B5">
        <w:rPr>
          <w:color w:val="000000"/>
        </w:rPr>
        <w:t>Wiegreffe</w:t>
      </w:r>
      <w:proofErr w:type="spellEnd"/>
      <w:r w:rsidRPr="00AC39B5">
        <w:rPr>
          <w:color w:val="000000"/>
        </w:rPr>
        <w:t>, S., Duke, J., Sun, J., &amp; Eisenstein, J. (2018). Explainable prediction of medical codes from clinical text. </w:t>
      </w:r>
      <w:r w:rsidRPr="00AC39B5">
        <w:rPr>
          <w:i/>
          <w:iCs/>
          <w:color w:val="000000"/>
        </w:rPr>
        <w:t>Proceedings of the 2018 Conference of the North American Chapter of the Association for Computational Linguistics</w:t>
      </w:r>
      <w:r w:rsidRPr="00AC39B5">
        <w:rPr>
          <w:color w:val="000000"/>
        </w:rPr>
        <w:t>, 1101–1111. </w:t>
      </w:r>
      <w:hyperlink r:id="rId17" w:tgtFrame="_blank" w:history="1">
        <w:r w:rsidRPr="00AC39B5">
          <w:rPr>
            <w:rStyle w:val="Hyperlink"/>
            <w:lang w:val="es-ES"/>
          </w:rPr>
          <w:t>https://doi.org/10.18653/v1/N18-1100</w:t>
        </w:r>
      </w:hyperlink>
    </w:p>
    <w:p w14:paraId="0F6E1315" w14:textId="77777777" w:rsidR="007D15FF" w:rsidRPr="00AC39B5" w:rsidRDefault="007D15FF" w:rsidP="007D15FF">
      <w:pPr>
        <w:pStyle w:val="NormalWeb"/>
        <w:spacing w:after="160"/>
        <w:ind w:hanging="720"/>
        <w:rPr>
          <w:color w:val="000000"/>
        </w:rPr>
      </w:pPr>
      <w:proofErr w:type="spellStart"/>
      <w:r w:rsidRPr="00AC39B5">
        <w:rPr>
          <w:color w:val="000000"/>
          <w:lang w:val="es-ES"/>
        </w:rPr>
        <w:t>Pushkarna</w:t>
      </w:r>
      <w:proofErr w:type="spellEnd"/>
      <w:r w:rsidRPr="00AC39B5">
        <w:rPr>
          <w:color w:val="000000"/>
          <w:lang w:val="es-ES"/>
        </w:rPr>
        <w:t xml:space="preserve">, M., Zaldivar, A., &amp; Kjartansson, O. (2022). </w:t>
      </w:r>
      <w:r w:rsidRPr="00AC39B5">
        <w:rPr>
          <w:color w:val="000000"/>
        </w:rPr>
        <w:t>Data cards: Purposeful and transparent dataset documentation for responsible AI. </w:t>
      </w:r>
      <w:r w:rsidRPr="00AC39B5">
        <w:rPr>
          <w:i/>
          <w:iCs/>
          <w:color w:val="000000"/>
        </w:rPr>
        <w:t>Proceedings of the 2022 ACM Conference on Fairness, Accountability, and Transparency</w:t>
      </w:r>
      <w:r w:rsidRPr="00AC39B5">
        <w:rPr>
          <w:color w:val="000000"/>
        </w:rPr>
        <w:t>, 1776–1826. </w:t>
      </w:r>
      <w:hyperlink r:id="rId18" w:tgtFrame="_blank" w:history="1">
        <w:r w:rsidRPr="00AC39B5">
          <w:rPr>
            <w:rStyle w:val="Hyperlink"/>
          </w:rPr>
          <w:t>https://doi.org/10.1145/3531146.3533231</w:t>
        </w:r>
      </w:hyperlink>
    </w:p>
    <w:p w14:paraId="4ED012AB" w14:textId="77777777" w:rsidR="00002086" w:rsidRPr="00AC39B5" w:rsidRDefault="00002086" w:rsidP="00002086">
      <w:pPr>
        <w:rPr>
          <w:rFonts w:ascii="Times New Roman" w:hAnsi="Times New Roman" w:cs="Times New Roman"/>
          <w:sz w:val="24"/>
          <w:szCs w:val="24"/>
        </w:rPr>
      </w:pPr>
    </w:p>
    <w:p w14:paraId="45C260E2" w14:textId="77777777" w:rsidR="002E1D11" w:rsidRPr="00AC39B5" w:rsidRDefault="002E1D11" w:rsidP="002E1D11">
      <w:pPr>
        <w:rPr>
          <w:rFonts w:ascii="Times New Roman" w:hAnsi="Times New Roman" w:cs="Times New Roman"/>
          <w:sz w:val="24"/>
          <w:szCs w:val="24"/>
        </w:rPr>
      </w:pPr>
    </w:p>
    <w:p w14:paraId="53298F31" w14:textId="77777777" w:rsidR="002E1D11" w:rsidRPr="00AC39B5" w:rsidRDefault="002E1D11" w:rsidP="002E1D11">
      <w:pPr>
        <w:rPr>
          <w:rFonts w:ascii="Times New Roman" w:hAnsi="Times New Roman" w:cs="Times New Roman"/>
          <w:sz w:val="24"/>
          <w:szCs w:val="24"/>
        </w:rPr>
      </w:pPr>
    </w:p>
    <w:p w14:paraId="46FA1A6F" w14:textId="77777777" w:rsidR="002E1D11" w:rsidRPr="00AC39B5" w:rsidRDefault="002E1D11" w:rsidP="002E1D11">
      <w:pPr>
        <w:rPr>
          <w:rFonts w:ascii="Times New Roman" w:hAnsi="Times New Roman" w:cs="Times New Roman"/>
          <w:sz w:val="24"/>
          <w:szCs w:val="24"/>
        </w:rPr>
      </w:pPr>
    </w:p>
    <w:p w14:paraId="6B239C58" w14:textId="28DD25A6" w:rsidR="001468EB" w:rsidRPr="00AC39B5" w:rsidRDefault="00BF3545" w:rsidP="00002086">
      <w:pPr>
        <w:pStyle w:val="Heading1"/>
        <w:rPr>
          <w:rFonts w:ascii="Times New Roman" w:hAnsi="Times New Roman" w:cs="Times New Roman"/>
          <w:sz w:val="24"/>
          <w:szCs w:val="24"/>
        </w:rPr>
      </w:pPr>
      <w:r w:rsidRPr="00AC39B5">
        <w:rPr>
          <w:rFonts w:ascii="Times New Roman" w:hAnsi="Times New Roman" w:cs="Times New Roman"/>
          <w:sz w:val="24"/>
          <w:szCs w:val="24"/>
        </w:rPr>
        <w:lastRenderedPageBreak/>
        <w:t>Appendix</w:t>
      </w:r>
    </w:p>
    <w:p w14:paraId="5AA08644" w14:textId="77777777" w:rsidR="007B06AA" w:rsidRPr="00AC39B5" w:rsidRDefault="007B06AA" w:rsidP="00002086">
      <w:pPr>
        <w:pStyle w:val="Heading2"/>
        <w:rPr>
          <w:rFonts w:ascii="Times New Roman" w:hAnsi="Times New Roman" w:cs="Times New Roman"/>
          <w:sz w:val="24"/>
          <w:szCs w:val="24"/>
        </w:rPr>
      </w:pPr>
      <w:r w:rsidRPr="00AC39B5">
        <w:rPr>
          <w:rFonts w:ascii="Times New Roman" w:hAnsi="Times New Roman" w:cs="Times New Roman"/>
          <w:sz w:val="24"/>
          <w:szCs w:val="24"/>
        </w:rPr>
        <w:t>Appendix A. Figures</w:t>
      </w:r>
    </w:p>
    <w:p w14:paraId="701BB162" w14:textId="77777777" w:rsidR="008E0430" w:rsidRPr="00AC39B5" w:rsidRDefault="008E0430" w:rsidP="008E0430">
      <w:pPr>
        <w:pStyle w:val="FirstParagraph"/>
        <w:rPr>
          <w:rFonts w:ascii="Times New Roman" w:hAnsi="Times New Roman" w:cs="Times New Roman"/>
        </w:rPr>
      </w:pPr>
      <w:r w:rsidRPr="00AC39B5">
        <w:rPr>
          <w:rFonts w:ascii="Times New Roman" w:hAnsi="Times New Roman" w:cs="Times New Roman"/>
        </w:rPr>
        <w:t>Figures are numbered by the EDA section they support. All figures were generated from the cohort-construction workflow using MIMIC-IV-Note v2.2 and MIMIC-IV Hosp v3.1 after schema validation, discharge-summary filtering, and ICD-10 cohort restriction.</w:t>
      </w:r>
    </w:p>
    <w:p w14:paraId="7170F2FC" w14:textId="77777777" w:rsidR="008E0430" w:rsidRPr="00AC39B5" w:rsidRDefault="008E0430" w:rsidP="008E0430">
      <w:pPr>
        <w:pStyle w:val="BodyText"/>
        <w:rPr>
          <w:rFonts w:ascii="Times New Roman" w:hAnsi="Times New Roman" w:cs="Times New Roman"/>
        </w:rPr>
      </w:pPr>
      <w:r w:rsidRPr="00AC39B5">
        <w:rPr>
          <w:rFonts w:ascii="Times New Roman" w:hAnsi="Times New Roman" w:cs="Times New Roman"/>
        </w:rPr>
        <w:t>Figure 3.1. Distribution of discharge summary length. This figure shows the distribution of note lengths measured in whitespace tokens and characters, with reference lines for BERT (512 tokens) and Longformer (4,096 tokens). The distribution is strongly right-skewed, with a median of 1,501 tokens, 90th percentile of 2,447, and 99th percentile of 3,691. This result justifies chunked transformer processing rather than single-window truncation.</w:t>
      </w:r>
    </w:p>
    <w:p w14:paraId="1DC2F168" w14:textId="34EE5F96"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37D5C340" wp14:editId="3E2EAFC6">
            <wp:extent cx="5943600" cy="1711960"/>
            <wp:effectExtent l="0" t="0" r="0" b="2540"/>
            <wp:docPr id="958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429" name=""/>
                    <pic:cNvPicPr/>
                  </pic:nvPicPr>
                  <pic:blipFill>
                    <a:blip r:embed="rId19"/>
                    <a:stretch>
                      <a:fillRect/>
                    </a:stretch>
                  </pic:blipFill>
                  <pic:spPr>
                    <a:xfrm>
                      <a:off x="0" y="0"/>
                      <a:ext cx="5943600" cy="1711960"/>
                    </a:xfrm>
                    <a:prstGeom prst="rect">
                      <a:avLst/>
                    </a:prstGeom>
                  </pic:spPr>
                </pic:pic>
              </a:graphicData>
            </a:graphic>
          </wp:inline>
        </w:drawing>
      </w:r>
    </w:p>
    <w:p w14:paraId="1B5EBC2E" w14:textId="77777777" w:rsidR="00BD1761" w:rsidRPr="00AC39B5" w:rsidRDefault="00BD1761" w:rsidP="00BD1761">
      <w:pPr>
        <w:pStyle w:val="BodyText"/>
        <w:rPr>
          <w:rFonts w:ascii="Times New Roman" w:hAnsi="Times New Roman" w:cs="Times New Roman"/>
        </w:rPr>
      </w:pPr>
      <w:r w:rsidRPr="00AC39B5">
        <w:rPr>
          <w:rFonts w:ascii="Times New Roman" w:hAnsi="Times New Roman" w:cs="Times New Roman"/>
        </w:rPr>
        <w:t>Figure 6.1. ICD version assignments by shifted admission year. This diagnostic figure displays ICD-9 and ICD-10 diagnosis assignments across shifted admission years. Because MIMIC applies per-patient date shifting, the visual should not be interpreted as a true historical transition plot. Its purpose is only to confirm the presence of the ICD-9 to ICD-10 era split and motivate the ICD-10-only cohort filter.</w:t>
      </w:r>
    </w:p>
    <w:p w14:paraId="20BCD734" w14:textId="03D803BE"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11144FCA" wp14:editId="51334F29">
            <wp:extent cx="5943600" cy="2353945"/>
            <wp:effectExtent l="0" t="0" r="0" b="8255"/>
            <wp:docPr id="143495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8870" name=""/>
                    <pic:cNvPicPr/>
                  </pic:nvPicPr>
                  <pic:blipFill>
                    <a:blip r:embed="rId20"/>
                    <a:stretch>
                      <a:fillRect/>
                    </a:stretch>
                  </pic:blipFill>
                  <pic:spPr>
                    <a:xfrm>
                      <a:off x="0" y="0"/>
                      <a:ext cx="5943600" cy="2353945"/>
                    </a:xfrm>
                    <a:prstGeom prst="rect">
                      <a:avLst/>
                    </a:prstGeom>
                  </pic:spPr>
                </pic:pic>
              </a:graphicData>
            </a:graphic>
          </wp:inline>
        </w:drawing>
      </w:r>
    </w:p>
    <w:p w14:paraId="63CF2A43" w14:textId="77777777" w:rsidR="00BD1761" w:rsidRPr="00AC39B5" w:rsidRDefault="00BD1761" w:rsidP="00BD1761">
      <w:pPr>
        <w:pStyle w:val="BodyText"/>
        <w:rPr>
          <w:rFonts w:ascii="Times New Roman" w:hAnsi="Times New Roman" w:cs="Times New Roman"/>
        </w:rPr>
      </w:pPr>
      <w:r w:rsidRPr="00AC39B5">
        <w:rPr>
          <w:rFonts w:ascii="Times New Roman" w:hAnsi="Times New Roman" w:cs="Times New Roman"/>
        </w:rPr>
        <w:t>Figure 7.1. ICD-10 code frequency and top-K admission coverage. The left panel presents the rank-frequency distribution of ICD-10 codes on a log-log scale. The right panel shows the cumulative fraction of admissions covered by the top-K most frequent codes. The top-50 codes cover 91.04% of admissions, supporting the use of a top-50 benchmark for initial modeling.</w:t>
      </w:r>
    </w:p>
    <w:p w14:paraId="5778FE4B" w14:textId="64CD23D8"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2CE50424" wp14:editId="68DC976B">
            <wp:extent cx="3873699" cy="2235315"/>
            <wp:effectExtent l="0" t="0" r="0" b="0"/>
            <wp:docPr id="105636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62809" name=""/>
                    <pic:cNvPicPr/>
                  </pic:nvPicPr>
                  <pic:blipFill>
                    <a:blip r:embed="rId21"/>
                    <a:stretch>
                      <a:fillRect/>
                    </a:stretch>
                  </pic:blipFill>
                  <pic:spPr>
                    <a:xfrm>
                      <a:off x="0" y="0"/>
                      <a:ext cx="3873699" cy="2235315"/>
                    </a:xfrm>
                    <a:prstGeom prst="rect">
                      <a:avLst/>
                    </a:prstGeom>
                  </pic:spPr>
                </pic:pic>
              </a:graphicData>
            </a:graphic>
          </wp:inline>
        </w:drawing>
      </w:r>
    </w:p>
    <w:p w14:paraId="00510F0D" w14:textId="77777777" w:rsidR="004D5089" w:rsidRPr="00AC39B5" w:rsidRDefault="004D5089" w:rsidP="004D5089">
      <w:pPr>
        <w:pStyle w:val="BodyText"/>
        <w:rPr>
          <w:rFonts w:ascii="Times New Roman" w:hAnsi="Times New Roman" w:cs="Times New Roman"/>
        </w:rPr>
      </w:pPr>
      <w:r w:rsidRPr="00AC39B5">
        <w:rPr>
          <w:rFonts w:ascii="Times New Roman" w:hAnsi="Times New Roman" w:cs="Times New Roman"/>
        </w:rPr>
        <w:t>Figure 8.1. Distribution of distinct ICD-10 codes per admission. This figure summarizes label cardinality at the admission level. It confirms that the task is inherently multi-label and that a multi-class formulation would be structurally wrong.</w:t>
      </w:r>
    </w:p>
    <w:p w14:paraId="1897B884" w14:textId="79087ED0"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55F5E879" wp14:editId="1BE9266E">
            <wp:extent cx="5943600" cy="2381885"/>
            <wp:effectExtent l="0" t="0" r="0" b="0"/>
            <wp:docPr id="196954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41418" name=""/>
                    <pic:cNvPicPr/>
                  </pic:nvPicPr>
                  <pic:blipFill>
                    <a:blip r:embed="rId22"/>
                    <a:stretch>
                      <a:fillRect/>
                    </a:stretch>
                  </pic:blipFill>
                  <pic:spPr>
                    <a:xfrm>
                      <a:off x="0" y="0"/>
                      <a:ext cx="5943600" cy="2381885"/>
                    </a:xfrm>
                    <a:prstGeom prst="rect">
                      <a:avLst/>
                    </a:prstGeom>
                  </pic:spPr>
                </pic:pic>
              </a:graphicData>
            </a:graphic>
          </wp:inline>
        </w:drawing>
      </w:r>
    </w:p>
    <w:p w14:paraId="4F7935F7" w14:textId="77777777" w:rsidR="004D5089" w:rsidRPr="00AC39B5" w:rsidRDefault="004D5089" w:rsidP="004D5089">
      <w:pPr>
        <w:pStyle w:val="BodyText"/>
        <w:rPr>
          <w:rFonts w:ascii="Times New Roman" w:hAnsi="Times New Roman" w:cs="Times New Roman"/>
        </w:rPr>
      </w:pPr>
      <w:r w:rsidRPr="00AC39B5">
        <w:rPr>
          <w:rFonts w:ascii="Times New Roman" w:hAnsi="Times New Roman" w:cs="Times New Roman"/>
        </w:rPr>
        <w:t>Figure 9.1. Top-20 ICD-10 label co-occurrence heatmap. This heatmap shows pairwise co-occurrence counts among the most frequent ICD-10 codes. It highlights clinically coherent comorbidity clusters and includes a useful negative-control pattern: the near-zero co-occurrence of Z87.891 and F17.210, which supports coding consistency.</w:t>
      </w:r>
    </w:p>
    <w:p w14:paraId="32357C2D" w14:textId="1032986A"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000DE6A4" wp14:editId="7C2BFBC5">
            <wp:extent cx="5943600" cy="5187950"/>
            <wp:effectExtent l="0" t="0" r="0" b="0"/>
            <wp:docPr id="96921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15654" name=""/>
                    <pic:cNvPicPr/>
                  </pic:nvPicPr>
                  <pic:blipFill>
                    <a:blip r:embed="rId23"/>
                    <a:stretch>
                      <a:fillRect/>
                    </a:stretch>
                  </pic:blipFill>
                  <pic:spPr>
                    <a:xfrm>
                      <a:off x="0" y="0"/>
                      <a:ext cx="5943600" cy="5187950"/>
                    </a:xfrm>
                    <a:prstGeom prst="rect">
                      <a:avLst/>
                    </a:prstGeom>
                  </pic:spPr>
                </pic:pic>
              </a:graphicData>
            </a:graphic>
          </wp:inline>
        </w:drawing>
      </w:r>
    </w:p>
    <w:p w14:paraId="2B127779" w14:textId="77777777" w:rsidR="008D4692" w:rsidRPr="00AC39B5" w:rsidRDefault="008D4692" w:rsidP="008D4692">
      <w:pPr>
        <w:pStyle w:val="BodyText"/>
        <w:rPr>
          <w:rFonts w:ascii="Times New Roman" w:hAnsi="Times New Roman" w:cs="Times New Roman"/>
        </w:rPr>
      </w:pPr>
      <w:r w:rsidRPr="00AC39B5">
        <w:rPr>
          <w:rFonts w:ascii="Times New Roman" w:hAnsi="Times New Roman" w:cs="Times New Roman"/>
        </w:rPr>
        <w:t>Figure 10.1. Admissions per patient. This figure displays the distribution of the number of admissions per patient. The distribution is heavily right-skewed, with 44.83% of patients having more than one admission. This finding justifies patient-level train/validation/test splitting to prevent leakage.</w:t>
      </w:r>
    </w:p>
    <w:p w14:paraId="50D5F5F8" w14:textId="77777777" w:rsidR="007B06AA" w:rsidRPr="00AC39B5" w:rsidRDefault="007B06AA" w:rsidP="007B06AA">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76047C99" wp14:editId="689A5ED1">
            <wp:extent cx="4786982" cy="1922975"/>
            <wp:effectExtent l="0" t="0" r="0" b="1270"/>
            <wp:docPr id="3320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36906" name=""/>
                    <pic:cNvPicPr/>
                  </pic:nvPicPr>
                  <pic:blipFill>
                    <a:blip r:embed="rId24"/>
                    <a:stretch>
                      <a:fillRect/>
                    </a:stretch>
                  </pic:blipFill>
                  <pic:spPr>
                    <a:xfrm>
                      <a:off x="0" y="0"/>
                      <a:ext cx="4793184" cy="1925466"/>
                    </a:xfrm>
                    <a:prstGeom prst="rect">
                      <a:avLst/>
                    </a:prstGeom>
                  </pic:spPr>
                </pic:pic>
              </a:graphicData>
            </a:graphic>
          </wp:inline>
        </w:drawing>
      </w:r>
    </w:p>
    <w:p w14:paraId="33627E62" w14:textId="48B7DE3F" w:rsidR="007B06AA" w:rsidRPr="00AC39B5" w:rsidRDefault="007B06AA" w:rsidP="00002086">
      <w:pPr>
        <w:pStyle w:val="Heading2"/>
        <w:rPr>
          <w:rFonts w:ascii="Times New Roman" w:hAnsi="Times New Roman" w:cs="Times New Roman"/>
          <w:sz w:val="24"/>
          <w:szCs w:val="24"/>
        </w:rPr>
      </w:pPr>
      <w:r w:rsidRPr="00AC39B5">
        <w:rPr>
          <w:rFonts w:ascii="Times New Roman" w:hAnsi="Times New Roman" w:cs="Times New Roman"/>
          <w:sz w:val="24"/>
          <w:szCs w:val="24"/>
        </w:rPr>
        <w:lastRenderedPageBreak/>
        <w:t>Appendix B. Supplementary Tables</w:t>
      </w:r>
    </w:p>
    <w:p w14:paraId="26F60DC8" w14:textId="52CA73F9" w:rsidR="007E52E4" w:rsidRPr="00AC39B5" w:rsidRDefault="007E52E4" w:rsidP="007E52E4">
      <w:pPr>
        <w:rPr>
          <w:rFonts w:ascii="Times New Roman" w:hAnsi="Times New Roman" w:cs="Times New Roman"/>
          <w:sz w:val="24"/>
          <w:szCs w:val="24"/>
        </w:rPr>
      </w:pPr>
      <w:r w:rsidRPr="00AC39B5">
        <w:rPr>
          <w:rFonts w:ascii="Times New Roman" w:hAnsi="Times New Roman" w:cs="Times New Roman"/>
          <w:sz w:val="24"/>
          <w:szCs w:val="24"/>
        </w:rPr>
        <w:t>Table B1. Source table volumetrics.</w:t>
      </w:r>
      <w:r w:rsidRPr="00AC39B5">
        <w:rPr>
          <w:rFonts w:ascii="Times New Roman" w:hAnsi="Times New Roman" w:cs="Times New Roman"/>
          <w:sz w:val="24"/>
          <w:szCs w:val="24"/>
        </w:rPr>
        <w:br/>
        <w:t>This table reports row counts for the source note, admission, patient, and diagnosis tables used in cohort construction.</w:t>
      </w:r>
    </w:p>
    <w:p w14:paraId="0B006B0D" w14:textId="2C443F30" w:rsidR="00D71F7C" w:rsidRPr="00AC39B5" w:rsidRDefault="00B618A3" w:rsidP="007E52E4">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5138EF1A" wp14:editId="10398A0C">
            <wp:extent cx="5893103" cy="3721291"/>
            <wp:effectExtent l="0" t="0" r="0" b="0"/>
            <wp:docPr id="2071978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78772" name=""/>
                    <pic:cNvPicPr/>
                  </pic:nvPicPr>
                  <pic:blipFill>
                    <a:blip r:embed="rId25"/>
                    <a:stretch>
                      <a:fillRect/>
                    </a:stretch>
                  </pic:blipFill>
                  <pic:spPr>
                    <a:xfrm>
                      <a:off x="0" y="0"/>
                      <a:ext cx="5893103" cy="3721291"/>
                    </a:xfrm>
                    <a:prstGeom prst="rect">
                      <a:avLst/>
                    </a:prstGeom>
                  </pic:spPr>
                </pic:pic>
              </a:graphicData>
            </a:graphic>
          </wp:inline>
        </w:drawing>
      </w:r>
    </w:p>
    <w:p w14:paraId="552515D5" w14:textId="7F88397A" w:rsidR="007E52E4" w:rsidRPr="00AC39B5" w:rsidRDefault="007E52E4" w:rsidP="007E52E4">
      <w:pPr>
        <w:rPr>
          <w:rFonts w:ascii="Times New Roman" w:hAnsi="Times New Roman" w:cs="Times New Roman"/>
          <w:sz w:val="24"/>
          <w:szCs w:val="24"/>
        </w:rPr>
      </w:pPr>
      <w:r w:rsidRPr="00AC39B5">
        <w:rPr>
          <w:rFonts w:ascii="Times New Roman" w:hAnsi="Times New Roman" w:cs="Times New Roman"/>
          <w:sz w:val="24"/>
          <w:szCs w:val="24"/>
        </w:rPr>
        <w:t>Table B2. Final cohort filtering summary.</w:t>
      </w:r>
      <w:r w:rsidRPr="00AC39B5">
        <w:rPr>
          <w:rFonts w:ascii="Times New Roman" w:hAnsi="Times New Roman" w:cs="Times New Roman"/>
          <w:sz w:val="24"/>
          <w:szCs w:val="24"/>
        </w:rPr>
        <w:br/>
        <w:t>This table decomposes the reduction from raw discharge summaries to the final modelable ICD-10 cohort, including the effects of join coverage, diagnosis version restriction, and minimum note-length filtering.</w:t>
      </w:r>
    </w:p>
    <w:p w14:paraId="1CCBE560" w14:textId="5171E06C" w:rsidR="007E52E4" w:rsidRPr="00AC39B5" w:rsidRDefault="00880A3C" w:rsidP="007E52E4">
      <w:pP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18BB68ED" wp14:editId="1123A9C9">
            <wp:extent cx="5943600" cy="1109345"/>
            <wp:effectExtent l="0" t="0" r="0" b="0"/>
            <wp:docPr id="36201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8594" name=""/>
                    <pic:cNvPicPr/>
                  </pic:nvPicPr>
                  <pic:blipFill>
                    <a:blip r:embed="rId26"/>
                    <a:stretch>
                      <a:fillRect/>
                    </a:stretch>
                  </pic:blipFill>
                  <pic:spPr>
                    <a:xfrm>
                      <a:off x="0" y="0"/>
                      <a:ext cx="5943600" cy="1109345"/>
                    </a:xfrm>
                    <a:prstGeom prst="rect">
                      <a:avLst/>
                    </a:prstGeom>
                  </pic:spPr>
                </pic:pic>
              </a:graphicData>
            </a:graphic>
          </wp:inline>
        </w:drawing>
      </w:r>
    </w:p>
    <w:p w14:paraId="351D4F1F" w14:textId="5231F1F2" w:rsidR="00880A3C" w:rsidRPr="00AC39B5" w:rsidRDefault="00880A3C" w:rsidP="007E52E4">
      <w:pPr>
        <w:rPr>
          <w:rFonts w:ascii="Times New Roman" w:hAnsi="Times New Roman" w:cs="Times New Roman"/>
          <w:sz w:val="24"/>
          <w:szCs w:val="24"/>
        </w:rPr>
      </w:pPr>
      <w:r w:rsidRPr="00AC39B5">
        <w:rPr>
          <w:rFonts w:ascii="Times New Roman" w:hAnsi="Times New Roman" w:cs="Times New Roman"/>
          <w:sz w:val="24"/>
          <w:szCs w:val="24"/>
        </w:rPr>
        <w:t>Table B3. Top-50 ICD-10 codes and descriptions.</w:t>
      </w:r>
      <w:r w:rsidRPr="00AC39B5">
        <w:rPr>
          <w:rFonts w:ascii="Times New Roman" w:hAnsi="Times New Roman" w:cs="Times New Roman"/>
          <w:sz w:val="24"/>
          <w:szCs w:val="24"/>
        </w:rPr>
        <w:br/>
        <w:t>This table lists the final top-50 ICD-10 codes used for modeling, along with short clinical descriptions and admission frequencies.</w:t>
      </w:r>
    </w:p>
    <w:p w14:paraId="6CC6B366" w14:textId="0FD6E972" w:rsidR="00880A3C" w:rsidRPr="00AC39B5" w:rsidRDefault="007B64BD" w:rsidP="007E52E4">
      <w:pPr>
        <w:rPr>
          <w:rFonts w:ascii="Times New Roman" w:hAnsi="Times New Roman" w:cs="Times New Roman"/>
          <w:sz w:val="24"/>
          <w:szCs w:val="24"/>
        </w:rPr>
      </w:pPr>
      <w:r w:rsidRPr="00AC39B5">
        <w:rPr>
          <w:rFonts w:ascii="Times New Roman" w:hAnsi="Times New Roman" w:cs="Times New Roman"/>
          <w:noProof/>
          <w:sz w:val="24"/>
          <w:szCs w:val="24"/>
        </w:rPr>
        <w:lastRenderedPageBreak/>
        <w:drawing>
          <wp:inline distT="0" distB="0" distL="0" distR="0" wp14:anchorId="42C67FDF" wp14:editId="5C99DAA1">
            <wp:extent cx="5943600" cy="3762375"/>
            <wp:effectExtent l="0" t="0" r="0" b="9525"/>
            <wp:docPr id="28089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94753" name=""/>
                    <pic:cNvPicPr/>
                  </pic:nvPicPr>
                  <pic:blipFill>
                    <a:blip r:embed="rId27"/>
                    <a:stretch>
                      <a:fillRect/>
                    </a:stretch>
                  </pic:blipFill>
                  <pic:spPr>
                    <a:xfrm>
                      <a:off x="0" y="0"/>
                      <a:ext cx="5943600" cy="3762375"/>
                    </a:xfrm>
                    <a:prstGeom prst="rect">
                      <a:avLst/>
                    </a:prstGeom>
                  </pic:spPr>
                </pic:pic>
              </a:graphicData>
            </a:graphic>
          </wp:inline>
        </w:drawing>
      </w:r>
    </w:p>
    <w:p w14:paraId="64D2AAA7" w14:textId="6370842E" w:rsidR="007B64BD" w:rsidRPr="00AC39B5" w:rsidRDefault="007B64BD" w:rsidP="007E52E4">
      <w:pPr>
        <w:rPr>
          <w:rFonts w:ascii="Times New Roman" w:hAnsi="Times New Roman" w:cs="Times New Roman"/>
          <w:sz w:val="24"/>
          <w:szCs w:val="24"/>
        </w:rPr>
      </w:pPr>
      <w:r w:rsidRPr="00AC39B5">
        <w:rPr>
          <w:rFonts w:ascii="Times New Roman" w:hAnsi="Times New Roman" w:cs="Times New Roman"/>
          <w:sz w:val="24"/>
          <w:szCs w:val="24"/>
        </w:rPr>
        <w:t>Table B4. Demographic summary of the modelable cohort.</w:t>
      </w:r>
      <w:r w:rsidRPr="00AC39B5">
        <w:rPr>
          <w:rFonts w:ascii="Times New Roman" w:hAnsi="Times New Roman" w:cs="Times New Roman"/>
          <w:sz w:val="24"/>
          <w:szCs w:val="24"/>
        </w:rPr>
        <w:br/>
        <w:t>This table reports age, sex, and admission-count characteristics of the final cohort. Any interpretation of the oldest age group should note that anchor_age is capped at 89 in MIMIC.</w:t>
      </w:r>
    </w:p>
    <w:p w14:paraId="2CDB234B" w14:textId="5F96E271" w:rsidR="00CA775F" w:rsidRPr="00AC39B5" w:rsidRDefault="00CA775F" w:rsidP="00CA775F">
      <w:pPr>
        <w:jc w:val="center"/>
        <w:rPr>
          <w:rFonts w:ascii="Times New Roman" w:hAnsi="Times New Roman" w:cs="Times New Roman"/>
          <w:sz w:val="24"/>
          <w:szCs w:val="24"/>
        </w:rPr>
      </w:pPr>
      <w:r w:rsidRPr="00AC39B5">
        <w:rPr>
          <w:rFonts w:ascii="Times New Roman" w:hAnsi="Times New Roman" w:cs="Times New Roman"/>
          <w:noProof/>
          <w:sz w:val="24"/>
          <w:szCs w:val="24"/>
        </w:rPr>
        <w:drawing>
          <wp:inline distT="0" distB="0" distL="0" distR="0" wp14:anchorId="3A79F7A5" wp14:editId="78C0DC86">
            <wp:extent cx="2927350" cy="2968775"/>
            <wp:effectExtent l="0" t="0" r="6350" b="3175"/>
            <wp:docPr id="158516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68820" name=""/>
                    <pic:cNvPicPr/>
                  </pic:nvPicPr>
                  <pic:blipFill>
                    <a:blip r:embed="rId28"/>
                    <a:stretch>
                      <a:fillRect/>
                    </a:stretch>
                  </pic:blipFill>
                  <pic:spPr>
                    <a:xfrm>
                      <a:off x="0" y="0"/>
                      <a:ext cx="2930500" cy="2971969"/>
                    </a:xfrm>
                    <a:prstGeom prst="rect">
                      <a:avLst/>
                    </a:prstGeom>
                  </pic:spPr>
                </pic:pic>
              </a:graphicData>
            </a:graphic>
          </wp:inline>
        </w:drawing>
      </w:r>
    </w:p>
    <w:p w14:paraId="5F2B0BA4" w14:textId="77777777" w:rsidR="00AC39B5" w:rsidRPr="00AC39B5" w:rsidRDefault="00AC39B5" w:rsidP="00AC39B5">
      <w:pPr>
        <w:pStyle w:val="Heading1"/>
        <w:rPr>
          <w:rFonts w:ascii="Times New Roman" w:hAnsi="Times New Roman" w:cs="Times New Roman"/>
          <w:sz w:val="24"/>
          <w:szCs w:val="24"/>
        </w:rPr>
      </w:pPr>
      <w:bookmarkStart w:id="1" w:name="appendix-c.-reproducibility-notes"/>
      <w:r w:rsidRPr="00AC39B5">
        <w:rPr>
          <w:rFonts w:ascii="Times New Roman" w:hAnsi="Times New Roman" w:cs="Times New Roman"/>
          <w:sz w:val="24"/>
          <w:szCs w:val="24"/>
        </w:rPr>
        <w:lastRenderedPageBreak/>
        <w:t>Appendix C. Reproducibility Notes</w:t>
      </w:r>
      <w:bookmarkEnd w:id="1"/>
    </w:p>
    <w:p w14:paraId="116A6B72" w14:textId="77777777" w:rsidR="00AC39B5" w:rsidRPr="00AC39B5" w:rsidRDefault="00AC39B5" w:rsidP="00AC39B5">
      <w:pPr>
        <w:pStyle w:val="FirstParagraph"/>
        <w:rPr>
          <w:rFonts w:ascii="Times New Roman" w:hAnsi="Times New Roman" w:cs="Times New Roman"/>
        </w:rPr>
      </w:pPr>
      <w:r w:rsidRPr="00AC39B5">
        <w:rPr>
          <w:rFonts w:ascii="Times New Roman" w:hAnsi="Times New Roman" w:cs="Times New Roman"/>
        </w:rPr>
        <w:t xml:space="preserve">The cohort was constructed by joining MIMIC-IV-Note v2.2 discharge summaries to MIMIC-IV Hosp v3.1 admissions and diagnosis tables using </w:t>
      </w:r>
      <w:r w:rsidRPr="00AC39B5">
        <w:rPr>
          <w:rStyle w:val="VerbatimChar"/>
          <w:rFonts w:ascii="Times New Roman" w:hAnsi="Times New Roman" w:cs="Times New Roman"/>
        </w:rPr>
        <w:t>hadm_id</w:t>
      </w:r>
      <w:r w:rsidRPr="00AC39B5">
        <w:rPr>
          <w:rFonts w:ascii="Times New Roman" w:hAnsi="Times New Roman" w:cs="Times New Roman"/>
        </w:rPr>
        <w:t xml:space="preserve"> as the stable encounter key. The final modelable cohort retained admissions with discharge-summary text, valid admission records, and at least one ICD-10 diagnosis code. Train, validation, and test splits were performed at the patient level using </w:t>
      </w:r>
      <w:proofErr w:type="spellStart"/>
      <w:r w:rsidRPr="00AC39B5">
        <w:rPr>
          <w:rStyle w:val="VerbatimChar"/>
          <w:rFonts w:ascii="Times New Roman" w:hAnsi="Times New Roman" w:cs="Times New Roman"/>
        </w:rPr>
        <w:t>subject_id</w:t>
      </w:r>
      <w:proofErr w:type="spellEnd"/>
      <w:r w:rsidRPr="00AC39B5">
        <w:rPr>
          <w:rFonts w:ascii="Times New Roman" w:hAnsi="Times New Roman" w:cs="Times New Roman"/>
        </w:rPr>
        <w:t xml:space="preserve"> to avoid cross-split leakage from repeated admissions.</w:t>
      </w:r>
    </w:p>
    <w:p w14:paraId="3AA8B83A" w14:textId="77777777" w:rsidR="00AC39B5" w:rsidRPr="00AC39B5" w:rsidRDefault="00AC39B5" w:rsidP="00AC39B5">
      <w:pPr>
        <w:pStyle w:val="BodyText"/>
        <w:rPr>
          <w:rFonts w:ascii="Times New Roman" w:hAnsi="Times New Roman" w:cs="Times New Roman"/>
        </w:rPr>
      </w:pPr>
      <w:r w:rsidRPr="00AC39B5">
        <w:rPr>
          <w:rFonts w:ascii="Times New Roman" w:hAnsi="Times New Roman" w:cs="Times New Roman"/>
        </w:rPr>
        <w:t>All dates in MIMIC are shifted for de-identification and should not be interpreted as literal calendar dates. Similarly, age is top-coded at 89, which limits precision in the oldest subgroup analyses.</w:t>
      </w:r>
    </w:p>
    <w:p w14:paraId="014F58F4" w14:textId="77777777" w:rsidR="00AC39B5" w:rsidRPr="00AC39B5" w:rsidRDefault="00AC39B5" w:rsidP="00AC39B5">
      <w:pPr>
        <w:pStyle w:val="Heading1"/>
        <w:rPr>
          <w:rFonts w:ascii="Times New Roman" w:hAnsi="Times New Roman" w:cs="Times New Roman"/>
          <w:sz w:val="24"/>
          <w:szCs w:val="24"/>
        </w:rPr>
      </w:pPr>
      <w:bookmarkStart w:id="2" w:name="appendix-d.-file-references"/>
      <w:r w:rsidRPr="00AC39B5">
        <w:rPr>
          <w:rFonts w:ascii="Times New Roman" w:hAnsi="Times New Roman" w:cs="Times New Roman"/>
          <w:sz w:val="24"/>
          <w:szCs w:val="24"/>
        </w:rPr>
        <w:t>Appendix D. File References</w:t>
      </w:r>
      <w:bookmarkEnd w:id="2"/>
    </w:p>
    <w:p w14:paraId="5C142A22"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reports/figures/length_distribution.png</w:t>
      </w:r>
    </w:p>
    <w:p w14:paraId="0CA13B9D"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reports/figures/icd_version_by_year.png</w:t>
      </w:r>
    </w:p>
    <w:p w14:paraId="2078AC23"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reports/figures/icd_frequency_and_coverage.png</w:t>
      </w:r>
    </w:p>
    <w:p w14:paraId="507073BC"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reports/figures/codes_per_admission.png</w:t>
      </w:r>
    </w:p>
    <w:p w14:paraId="0514D5E8"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reports/figures/label_cooccurrence.png</w:t>
      </w:r>
    </w:p>
    <w:p w14:paraId="0B5EDA42" w14:textId="77777777" w:rsidR="00AC39B5" w:rsidRPr="00AC39B5" w:rsidRDefault="00AC39B5" w:rsidP="00AC39B5">
      <w:pPr>
        <w:pStyle w:val="Compact"/>
        <w:numPr>
          <w:ilvl w:val="0"/>
          <w:numId w:val="17"/>
        </w:numPr>
        <w:rPr>
          <w:rFonts w:ascii="Times New Roman" w:hAnsi="Times New Roman" w:cs="Times New Roman"/>
        </w:rPr>
      </w:pPr>
      <w:r w:rsidRPr="00AC39B5">
        <w:rPr>
          <w:rStyle w:val="VerbatimChar"/>
          <w:rFonts w:ascii="Times New Roman" w:hAnsi="Times New Roman" w:cs="Times New Roman"/>
        </w:rPr>
        <w:t>reports/figures/admissions_per_patient.png</w:t>
      </w:r>
    </w:p>
    <w:p w14:paraId="2DCAFBCF" w14:textId="77777777" w:rsidR="00AC39B5" w:rsidRPr="00AC39B5" w:rsidRDefault="00AC39B5" w:rsidP="00AC39B5">
      <w:pPr>
        <w:rPr>
          <w:rFonts w:ascii="Times New Roman" w:hAnsi="Times New Roman" w:cs="Times New Roman"/>
          <w:sz w:val="24"/>
          <w:szCs w:val="24"/>
        </w:rPr>
      </w:pPr>
    </w:p>
    <w:sectPr w:rsidR="00AC39B5" w:rsidRPr="00AC39B5" w:rsidSect="008B0591">
      <w:headerReference w:type="default" r:id="rId29"/>
      <w:type w:val="continuous"/>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B1146" w14:textId="77777777" w:rsidR="00C87356" w:rsidRDefault="00C87356" w:rsidP="00B03E56">
      <w:pPr>
        <w:spacing w:after="0" w:line="240" w:lineRule="auto"/>
      </w:pPr>
      <w:r>
        <w:separator/>
      </w:r>
    </w:p>
  </w:endnote>
  <w:endnote w:type="continuationSeparator" w:id="0">
    <w:p w14:paraId="1CD02642" w14:textId="77777777" w:rsidR="00C87356" w:rsidRDefault="00C87356" w:rsidP="00B03E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1254A" w14:textId="77777777" w:rsidR="00C87356" w:rsidRDefault="00C87356" w:rsidP="00B03E56">
      <w:pPr>
        <w:spacing w:after="0" w:line="240" w:lineRule="auto"/>
      </w:pPr>
      <w:r>
        <w:separator/>
      </w:r>
    </w:p>
  </w:footnote>
  <w:footnote w:type="continuationSeparator" w:id="0">
    <w:p w14:paraId="76A2F69F" w14:textId="77777777" w:rsidR="00C87356" w:rsidRDefault="00C87356" w:rsidP="00B03E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7317878"/>
      <w:docPartObj>
        <w:docPartGallery w:val="Page Numbers (Top of Page)"/>
        <w:docPartUnique/>
      </w:docPartObj>
    </w:sdtPr>
    <w:sdtEndPr>
      <w:rPr>
        <w:noProof/>
      </w:rPr>
    </w:sdtEndPr>
    <w:sdtContent>
      <w:p w14:paraId="7313061C" w14:textId="56D49AD5" w:rsidR="00134224" w:rsidRDefault="001342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532374E" w14:textId="77777777" w:rsidR="00134224" w:rsidRDefault="00134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0660D1F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69826BC"/>
    <w:multiLevelType w:val="multilevel"/>
    <w:tmpl w:val="84F2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D48B9"/>
    <w:multiLevelType w:val="multilevel"/>
    <w:tmpl w:val="2DEC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143F3"/>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E635E"/>
    <w:multiLevelType w:val="multilevel"/>
    <w:tmpl w:val="D1F0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A254A"/>
    <w:multiLevelType w:val="multilevel"/>
    <w:tmpl w:val="01BE3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D34A76"/>
    <w:multiLevelType w:val="multilevel"/>
    <w:tmpl w:val="851C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E51987"/>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8B0AC2"/>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E24D2C"/>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F13A0E"/>
    <w:multiLevelType w:val="hybridMultilevel"/>
    <w:tmpl w:val="F37C6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2312C1"/>
    <w:multiLevelType w:val="multilevel"/>
    <w:tmpl w:val="383A9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F22183"/>
    <w:multiLevelType w:val="multilevel"/>
    <w:tmpl w:val="9FDE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236570"/>
    <w:multiLevelType w:val="multilevel"/>
    <w:tmpl w:val="B0E4B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EE4DC3"/>
    <w:multiLevelType w:val="multilevel"/>
    <w:tmpl w:val="E8303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701E8F"/>
    <w:multiLevelType w:val="multilevel"/>
    <w:tmpl w:val="01BE3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315DCA"/>
    <w:multiLevelType w:val="multilevel"/>
    <w:tmpl w:val="00FE862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787161102">
    <w:abstractNumId w:val="1"/>
  </w:num>
  <w:num w:numId="2" w16cid:durableId="1192108104">
    <w:abstractNumId w:val="12"/>
  </w:num>
  <w:num w:numId="3" w16cid:durableId="1904218019">
    <w:abstractNumId w:val="4"/>
  </w:num>
  <w:num w:numId="4" w16cid:durableId="768551854">
    <w:abstractNumId w:val="2"/>
  </w:num>
  <w:num w:numId="5" w16cid:durableId="985625547">
    <w:abstractNumId w:val="14"/>
  </w:num>
  <w:num w:numId="6" w16cid:durableId="1397170891">
    <w:abstractNumId w:val="13"/>
  </w:num>
  <w:num w:numId="7" w16cid:durableId="787939871">
    <w:abstractNumId w:val="15"/>
  </w:num>
  <w:num w:numId="8" w16cid:durableId="416751091">
    <w:abstractNumId w:val="7"/>
  </w:num>
  <w:num w:numId="9" w16cid:durableId="1895966896">
    <w:abstractNumId w:val="3"/>
  </w:num>
  <w:num w:numId="10" w16cid:durableId="1961105918">
    <w:abstractNumId w:val="8"/>
  </w:num>
  <w:num w:numId="11" w16cid:durableId="1284772349">
    <w:abstractNumId w:val="9"/>
  </w:num>
  <w:num w:numId="12" w16cid:durableId="1412265657">
    <w:abstractNumId w:val="5"/>
  </w:num>
  <w:num w:numId="13" w16cid:durableId="941373827">
    <w:abstractNumId w:val="6"/>
  </w:num>
  <w:num w:numId="14" w16cid:durableId="1580864698">
    <w:abstractNumId w:val="10"/>
  </w:num>
  <w:num w:numId="15" w16cid:durableId="376205506">
    <w:abstractNumId w:val="11"/>
  </w:num>
  <w:num w:numId="16" w16cid:durableId="14136226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77316464">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5A9"/>
    <w:rsid w:val="00002086"/>
    <w:rsid w:val="000048AF"/>
    <w:rsid w:val="000060D5"/>
    <w:rsid w:val="00011BF7"/>
    <w:rsid w:val="00012BD0"/>
    <w:rsid w:val="00013D7D"/>
    <w:rsid w:val="00017098"/>
    <w:rsid w:val="00020E91"/>
    <w:rsid w:val="000229B3"/>
    <w:rsid w:val="00022A3B"/>
    <w:rsid w:val="00023A5E"/>
    <w:rsid w:val="00023F30"/>
    <w:rsid w:val="00027A2F"/>
    <w:rsid w:val="00032DD9"/>
    <w:rsid w:val="000339E4"/>
    <w:rsid w:val="00033AD4"/>
    <w:rsid w:val="00035415"/>
    <w:rsid w:val="00037E3B"/>
    <w:rsid w:val="000406EA"/>
    <w:rsid w:val="00046103"/>
    <w:rsid w:val="00046546"/>
    <w:rsid w:val="00046D22"/>
    <w:rsid w:val="00052F1B"/>
    <w:rsid w:val="0005334A"/>
    <w:rsid w:val="00056FD7"/>
    <w:rsid w:val="0006358E"/>
    <w:rsid w:val="000656F5"/>
    <w:rsid w:val="00066E32"/>
    <w:rsid w:val="00070D39"/>
    <w:rsid w:val="000730DF"/>
    <w:rsid w:val="000769E2"/>
    <w:rsid w:val="00076BA6"/>
    <w:rsid w:val="00080831"/>
    <w:rsid w:val="0008110A"/>
    <w:rsid w:val="00085831"/>
    <w:rsid w:val="00091C49"/>
    <w:rsid w:val="00097066"/>
    <w:rsid w:val="0009779F"/>
    <w:rsid w:val="000A477F"/>
    <w:rsid w:val="000A4DE9"/>
    <w:rsid w:val="000A4EC2"/>
    <w:rsid w:val="000A5098"/>
    <w:rsid w:val="000A5979"/>
    <w:rsid w:val="000B00F7"/>
    <w:rsid w:val="000B1BF3"/>
    <w:rsid w:val="000B4E78"/>
    <w:rsid w:val="000B6D33"/>
    <w:rsid w:val="000B714E"/>
    <w:rsid w:val="000C3664"/>
    <w:rsid w:val="000D0073"/>
    <w:rsid w:val="000D0CAA"/>
    <w:rsid w:val="000D141A"/>
    <w:rsid w:val="000D16B7"/>
    <w:rsid w:val="000D1BE0"/>
    <w:rsid w:val="000D2333"/>
    <w:rsid w:val="000D3349"/>
    <w:rsid w:val="000D470C"/>
    <w:rsid w:val="000D5647"/>
    <w:rsid w:val="000D5BAF"/>
    <w:rsid w:val="000D64C6"/>
    <w:rsid w:val="000D7686"/>
    <w:rsid w:val="000E30D2"/>
    <w:rsid w:val="000E4AE0"/>
    <w:rsid w:val="000F1AB4"/>
    <w:rsid w:val="000F4690"/>
    <w:rsid w:val="00101A60"/>
    <w:rsid w:val="00103375"/>
    <w:rsid w:val="001072CF"/>
    <w:rsid w:val="001126D7"/>
    <w:rsid w:val="00113C46"/>
    <w:rsid w:val="0011457B"/>
    <w:rsid w:val="00114EC2"/>
    <w:rsid w:val="001152F5"/>
    <w:rsid w:val="00115904"/>
    <w:rsid w:val="00116592"/>
    <w:rsid w:val="00120071"/>
    <w:rsid w:val="00121487"/>
    <w:rsid w:val="00124185"/>
    <w:rsid w:val="0012531D"/>
    <w:rsid w:val="0012565B"/>
    <w:rsid w:val="00132123"/>
    <w:rsid w:val="00133D74"/>
    <w:rsid w:val="00134224"/>
    <w:rsid w:val="00137675"/>
    <w:rsid w:val="001403D1"/>
    <w:rsid w:val="001468EB"/>
    <w:rsid w:val="001476DD"/>
    <w:rsid w:val="00155C8D"/>
    <w:rsid w:val="00157342"/>
    <w:rsid w:val="00161722"/>
    <w:rsid w:val="001658C6"/>
    <w:rsid w:val="00165A83"/>
    <w:rsid w:val="001672CC"/>
    <w:rsid w:val="00174535"/>
    <w:rsid w:val="0017554E"/>
    <w:rsid w:val="0017770F"/>
    <w:rsid w:val="001806CE"/>
    <w:rsid w:val="00181AB8"/>
    <w:rsid w:val="001843B3"/>
    <w:rsid w:val="00190755"/>
    <w:rsid w:val="00190BFE"/>
    <w:rsid w:val="00190FAA"/>
    <w:rsid w:val="00191BAE"/>
    <w:rsid w:val="00191EB3"/>
    <w:rsid w:val="001931AB"/>
    <w:rsid w:val="00193ADE"/>
    <w:rsid w:val="00193CE2"/>
    <w:rsid w:val="0019545E"/>
    <w:rsid w:val="00195E85"/>
    <w:rsid w:val="0019780B"/>
    <w:rsid w:val="001A1967"/>
    <w:rsid w:val="001A409F"/>
    <w:rsid w:val="001A5948"/>
    <w:rsid w:val="001A6B7F"/>
    <w:rsid w:val="001A6D95"/>
    <w:rsid w:val="001B3807"/>
    <w:rsid w:val="001B3A48"/>
    <w:rsid w:val="001B54BC"/>
    <w:rsid w:val="001C2F07"/>
    <w:rsid w:val="001C7E6B"/>
    <w:rsid w:val="001D1A6D"/>
    <w:rsid w:val="001D2605"/>
    <w:rsid w:val="001D313A"/>
    <w:rsid w:val="001D5538"/>
    <w:rsid w:val="001E1C86"/>
    <w:rsid w:val="001E66B4"/>
    <w:rsid w:val="001F0067"/>
    <w:rsid w:val="001F42C6"/>
    <w:rsid w:val="002079F4"/>
    <w:rsid w:val="0021147D"/>
    <w:rsid w:val="002115B6"/>
    <w:rsid w:val="0021247C"/>
    <w:rsid w:val="002146A3"/>
    <w:rsid w:val="0022215A"/>
    <w:rsid w:val="0022274F"/>
    <w:rsid w:val="002247F0"/>
    <w:rsid w:val="002279D7"/>
    <w:rsid w:val="00234B8A"/>
    <w:rsid w:val="002354F3"/>
    <w:rsid w:val="00244DC8"/>
    <w:rsid w:val="00246F03"/>
    <w:rsid w:val="0024723A"/>
    <w:rsid w:val="00250006"/>
    <w:rsid w:val="00253889"/>
    <w:rsid w:val="00257E9A"/>
    <w:rsid w:val="002661D9"/>
    <w:rsid w:val="00270376"/>
    <w:rsid w:val="002729BE"/>
    <w:rsid w:val="0027459D"/>
    <w:rsid w:val="00274ABF"/>
    <w:rsid w:val="00277094"/>
    <w:rsid w:val="00282075"/>
    <w:rsid w:val="0028293E"/>
    <w:rsid w:val="00284447"/>
    <w:rsid w:val="0028522F"/>
    <w:rsid w:val="0028597D"/>
    <w:rsid w:val="002915EF"/>
    <w:rsid w:val="002916DA"/>
    <w:rsid w:val="0029587A"/>
    <w:rsid w:val="002958DC"/>
    <w:rsid w:val="00295A13"/>
    <w:rsid w:val="00296D9C"/>
    <w:rsid w:val="002A6936"/>
    <w:rsid w:val="002B11E9"/>
    <w:rsid w:val="002B656F"/>
    <w:rsid w:val="002B6EED"/>
    <w:rsid w:val="002C3AFE"/>
    <w:rsid w:val="002C646F"/>
    <w:rsid w:val="002D074F"/>
    <w:rsid w:val="002D36C4"/>
    <w:rsid w:val="002D4236"/>
    <w:rsid w:val="002D4E37"/>
    <w:rsid w:val="002D4E7E"/>
    <w:rsid w:val="002D519B"/>
    <w:rsid w:val="002D73B3"/>
    <w:rsid w:val="002E1879"/>
    <w:rsid w:val="002E1D11"/>
    <w:rsid w:val="002E2565"/>
    <w:rsid w:val="002E4B67"/>
    <w:rsid w:val="002E6FE7"/>
    <w:rsid w:val="002E712D"/>
    <w:rsid w:val="002F1DC6"/>
    <w:rsid w:val="002F213A"/>
    <w:rsid w:val="002F2933"/>
    <w:rsid w:val="002F629C"/>
    <w:rsid w:val="002F7888"/>
    <w:rsid w:val="00302EA4"/>
    <w:rsid w:val="003042AA"/>
    <w:rsid w:val="003076C7"/>
    <w:rsid w:val="0031116D"/>
    <w:rsid w:val="0031208B"/>
    <w:rsid w:val="003161CA"/>
    <w:rsid w:val="00317072"/>
    <w:rsid w:val="003179E5"/>
    <w:rsid w:val="003302BF"/>
    <w:rsid w:val="003309E6"/>
    <w:rsid w:val="0033311E"/>
    <w:rsid w:val="00334CDB"/>
    <w:rsid w:val="003472BC"/>
    <w:rsid w:val="00351780"/>
    <w:rsid w:val="00351D38"/>
    <w:rsid w:val="0035519E"/>
    <w:rsid w:val="00356873"/>
    <w:rsid w:val="0036183F"/>
    <w:rsid w:val="00363A54"/>
    <w:rsid w:val="00370C18"/>
    <w:rsid w:val="0037227D"/>
    <w:rsid w:val="00372371"/>
    <w:rsid w:val="00372A50"/>
    <w:rsid w:val="00375759"/>
    <w:rsid w:val="00380E42"/>
    <w:rsid w:val="003815FB"/>
    <w:rsid w:val="003834C6"/>
    <w:rsid w:val="00384CA4"/>
    <w:rsid w:val="00387E84"/>
    <w:rsid w:val="00387EFC"/>
    <w:rsid w:val="003906EA"/>
    <w:rsid w:val="00392651"/>
    <w:rsid w:val="00392F00"/>
    <w:rsid w:val="00393CBC"/>
    <w:rsid w:val="003962D0"/>
    <w:rsid w:val="003A06A6"/>
    <w:rsid w:val="003A189D"/>
    <w:rsid w:val="003A25BF"/>
    <w:rsid w:val="003A48D0"/>
    <w:rsid w:val="003A49C1"/>
    <w:rsid w:val="003A4A8A"/>
    <w:rsid w:val="003B1B0A"/>
    <w:rsid w:val="003B1F0B"/>
    <w:rsid w:val="003B44D2"/>
    <w:rsid w:val="003C0794"/>
    <w:rsid w:val="003C4074"/>
    <w:rsid w:val="003C6676"/>
    <w:rsid w:val="003D13C7"/>
    <w:rsid w:val="003D241A"/>
    <w:rsid w:val="003D25A0"/>
    <w:rsid w:val="003D27A1"/>
    <w:rsid w:val="003D3E3F"/>
    <w:rsid w:val="003D42A8"/>
    <w:rsid w:val="003D43D7"/>
    <w:rsid w:val="003D4BFF"/>
    <w:rsid w:val="003D6379"/>
    <w:rsid w:val="003D7536"/>
    <w:rsid w:val="003E7FF2"/>
    <w:rsid w:val="003F0F95"/>
    <w:rsid w:val="003F1A87"/>
    <w:rsid w:val="003F2482"/>
    <w:rsid w:val="003F2FE2"/>
    <w:rsid w:val="0040299A"/>
    <w:rsid w:val="0040312B"/>
    <w:rsid w:val="0040319B"/>
    <w:rsid w:val="00410976"/>
    <w:rsid w:val="004115B4"/>
    <w:rsid w:val="00422AF7"/>
    <w:rsid w:val="00431B07"/>
    <w:rsid w:val="00436059"/>
    <w:rsid w:val="00436136"/>
    <w:rsid w:val="004377DF"/>
    <w:rsid w:val="0044046C"/>
    <w:rsid w:val="00442041"/>
    <w:rsid w:val="00442749"/>
    <w:rsid w:val="004458CF"/>
    <w:rsid w:val="004500E6"/>
    <w:rsid w:val="00461736"/>
    <w:rsid w:val="00463882"/>
    <w:rsid w:val="0046589C"/>
    <w:rsid w:val="004714DE"/>
    <w:rsid w:val="00476882"/>
    <w:rsid w:val="0048090F"/>
    <w:rsid w:val="0048213E"/>
    <w:rsid w:val="0048497C"/>
    <w:rsid w:val="004920D2"/>
    <w:rsid w:val="004932F8"/>
    <w:rsid w:val="004A0DC4"/>
    <w:rsid w:val="004A34F7"/>
    <w:rsid w:val="004A3B3D"/>
    <w:rsid w:val="004B2F09"/>
    <w:rsid w:val="004B500C"/>
    <w:rsid w:val="004B60AA"/>
    <w:rsid w:val="004B6ED2"/>
    <w:rsid w:val="004C2513"/>
    <w:rsid w:val="004C2529"/>
    <w:rsid w:val="004C7311"/>
    <w:rsid w:val="004C7EFC"/>
    <w:rsid w:val="004D1837"/>
    <w:rsid w:val="004D5089"/>
    <w:rsid w:val="004D5623"/>
    <w:rsid w:val="004D5E1C"/>
    <w:rsid w:val="004D73D9"/>
    <w:rsid w:val="004E1500"/>
    <w:rsid w:val="004E1AFA"/>
    <w:rsid w:val="004E39D7"/>
    <w:rsid w:val="004E7956"/>
    <w:rsid w:val="004F1C93"/>
    <w:rsid w:val="004F2F9C"/>
    <w:rsid w:val="004F71D7"/>
    <w:rsid w:val="0050054B"/>
    <w:rsid w:val="005009C2"/>
    <w:rsid w:val="005027CF"/>
    <w:rsid w:val="00502A37"/>
    <w:rsid w:val="00502FB1"/>
    <w:rsid w:val="00505832"/>
    <w:rsid w:val="0051199E"/>
    <w:rsid w:val="0051502C"/>
    <w:rsid w:val="00531F09"/>
    <w:rsid w:val="00534C76"/>
    <w:rsid w:val="005354D5"/>
    <w:rsid w:val="005370EE"/>
    <w:rsid w:val="00542BAC"/>
    <w:rsid w:val="005436EC"/>
    <w:rsid w:val="00547C62"/>
    <w:rsid w:val="0055155C"/>
    <w:rsid w:val="00551E40"/>
    <w:rsid w:val="00553023"/>
    <w:rsid w:val="0055675C"/>
    <w:rsid w:val="00557F28"/>
    <w:rsid w:val="005603DC"/>
    <w:rsid w:val="00561E8C"/>
    <w:rsid w:val="00575E70"/>
    <w:rsid w:val="00580E27"/>
    <w:rsid w:val="00586A84"/>
    <w:rsid w:val="00591B93"/>
    <w:rsid w:val="00594CDC"/>
    <w:rsid w:val="005A26D1"/>
    <w:rsid w:val="005A425E"/>
    <w:rsid w:val="005A50DC"/>
    <w:rsid w:val="005B2C1C"/>
    <w:rsid w:val="005B39C2"/>
    <w:rsid w:val="005B3BA1"/>
    <w:rsid w:val="005C1FB9"/>
    <w:rsid w:val="005C22C1"/>
    <w:rsid w:val="005C31E0"/>
    <w:rsid w:val="005C75E1"/>
    <w:rsid w:val="005D4A72"/>
    <w:rsid w:val="005D753E"/>
    <w:rsid w:val="005E0360"/>
    <w:rsid w:val="005E1C46"/>
    <w:rsid w:val="005E5403"/>
    <w:rsid w:val="005E5FE6"/>
    <w:rsid w:val="005F01C5"/>
    <w:rsid w:val="005F1326"/>
    <w:rsid w:val="005F1B89"/>
    <w:rsid w:val="005F42D2"/>
    <w:rsid w:val="005F472D"/>
    <w:rsid w:val="005F79E2"/>
    <w:rsid w:val="0060097C"/>
    <w:rsid w:val="006077D1"/>
    <w:rsid w:val="006104E1"/>
    <w:rsid w:val="00611F90"/>
    <w:rsid w:val="00612F92"/>
    <w:rsid w:val="00612FBE"/>
    <w:rsid w:val="00612FE5"/>
    <w:rsid w:val="00620245"/>
    <w:rsid w:val="00621AFD"/>
    <w:rsid w:val="00626E7B"/>
    <w:rsid w:val="00627B71"/>
    <w:rsid w:val="00627E4F"/>
    <w:rsid w:val="00630816"/>
    <w:rsid w:val="00635B96"/>
    <w:rsid w:val="00640080"/>
    <w:rsid w:val="006404F8"/>
    <w:rsid w:val="00645E6D"/>
    <w:rsid w:val="00651AB2"/>
    <w:rsid w:val="00654EB2"/>
    <w:rsid w:val="00655564"/>
    <w:rsid w:val="006617A1"/>
    <w:rsid w:val="00661D0A"/>
    <w:rsid w:val="0066237A"/>
    <w:rsid w:val="00667296"/>
    <w:rsid w:val="00667B6D"/>
    <w:rsid w:val="0067416A"/>
    <w:rsid w:val="00674591"/>
    <w:rsid w:val="00674B0B"/>
    <w:rsid w:val="006754CF"/>
    <w:rsid w:val="00677934"/>
    <w:rsid w:val="00680164"/>
    <w:rsid w:val="00680624"/>
    <w:rsid w:val="00680903"/>
    <w:rsid w:val="00684A75"/>
    <w:rsid w:val="006856FF"/>
    <w:rsid w:val="00690063"/>
    <w:rsid w:val="00691952"/>
    <w:rsid w:val="00692354"/>
    <w:rsid w:val="00692A40"/>
    <w:rsid w:val="00693AD1"/>
    <w:rsid w:val="006A10D1"/>
    <w:rsid w:val="006A304B"/>
    <w:rsid w:val="006B0366"/>
    <w:rsid w:val="006B24C2"/>
    <w:rsid w:val="006B50DD"/>
    <w:rsid w:val="006C30C2"/>
    <w:rsid w:val="006C3275"/>
    <w:rsid w:val="006C37E6"/>
    <w:rsid w:val="006C574F"/>
    <w:rsid w:val="006C617C"/>
    <w:rsid w:val="006E20CC"/>
    <w:rsid w:val="006E7982"/>
    <w:rsid w:val="006E7DE8"/>
    <w:rsid w:val="006F0866"/>
    <w:rsid w:val="006F149B"/>
    <w:rsid w:val="006F477B"/>
    <w:rsid w:val="006F634F"/>
    <w:rsid w:val="006F7274"/>
    <w:rsid w:val="00700F2C"/>
    <w:rsid w:val="00703D7D"/>
    <w:rsid w:val="0070483E"/>
    <w:rsid w:val="0071131B"/>
    <w:rsid w:val="00711637"/>
    <w:rsid w:val="007120C0"/>
    <w:rsid w:val="007125D3"/>
    <w:rsid w:val="00712C80"/>
    <w:rsid w:val="00713326"/>
    <w:rsid w:val="00715168"/>
    <w:rsid w:val="007153C0"/>
    <w:rsid w:val="007171C2"/>
    <w:rsid w:val="00717630"/>
    <w:rsid w:val="00724FDA"/>
    <w:rsid w:val="00725ED6"/>
    <w:rsid w:val="007302B3"/>
    <w:rsid w:val="007368C7"/>
    <w:rsid w:val="00737FF5"/>
    <w:rsid w:val="00740E90"/>
    <w:rsid w:val="00743DC1"/>
    <w:rsid w:val="00757E13"/>
    <w:rsid w:val="00760AB8"/>
    <w:rsid w:val="00760FEA"/>
    <w:rsid w:val="00762A21"/>
    <w:rsid w:val="00762AF5"/>
    <w:rsid w:val="00764103"/>
    <w:rsid w:val="00764F5E"/>
    <w:rsid w:val="00766890"/>
    <w:rsid w:val="00767710"/>
    <w:rsid w:val="00770C4A"/>
    <w:rsid w:val="00771F3A"/>
    <w:rsid w:val="007735B0"/>
    <w:rsid w:val="007741E8"/>
    <w:rsid w:val="0077487B"/>
    <w:rsid w:val="00774EBF"/>
    <w:rsid w:val="00776313"/>
    <w:rsid w:val="007800CB"/>
    <w:rsid w:val="00781698"/>
    <w:rsid w:val="007819EE"/>
    <w:rsid w:val="0078218F"/>
    <w:rsid w:val="00783F01"/>
    <w:rsid w:val="00785BE0"/>
    <w:rsid w:val="00792A26"/>
    <w:rsid w:val="0079390B"/>
    <w:rsid w:val="00793EBF"/>
    <w:rsid w:val="007A01CB"/>
    <w:rsid w:val="007A15B7"/>
    <w:rsid w:val="007A1BDD"/>
    <w:rsid w:val="007A2F1C"/>
    <w:rsid w:val="007A363E"/>
    <w:rsid w:val="007A3B27"/>
    <w:rsid w:val="007A3D96"/>
    <w:rsid w:val="007A528E"/>
    <w:rsid w:val="007A5FEF"/>
    <w:rsid w:val="007A7336"/>
    <w:rsid w:val="007B06AA"/>
    <w:rsid w:val="007B3582"/>
    <w:rsid w:val="007B5D98"/>
    <w:rsid w:val="007B64BD"/>
    <w:rsid w:val="007C0DDE"/>
    <w:rsid w:val="007D15FF"/>
    <w:rsid w:val="007D4D2C"/>
    <w:rsid w:val="007D4EED"/>
    <w:rsid w:val="007E1658"/>
    <w:rsid w:val="007E1FC5"/>
    <w:rsid w:val="007E52E4"/>
    <w:rsid w:val="007F13F9"/>
    <w:rsid w:val="007F1570"/>
    <w:rsid w:val="007F31FF"/>
    <w:rsid w:val="007F550C"/>
    <w:rsid w:val="007F6C02"/>
    <w:rsid w:val="0080226E"/>
    <w:rsid w:val="008039B5"/>
    <w:rsid w:val="008048B1"/>
    <w:rsid w:val="0080495E"/>
    <w:rsid w:val="00806E91"/>
    <w:rsid w:val="008114E5"/>
    <w:rsid w:val="00813845"/>
    <w:rsid w:val="00817EA7"/>
    <w:rsid w:val="00825096"/>
    <w:rsid w:val="00825BF8"/>
    <w:rsid w:val="008266A1"/>
    <w:rsid w:val="00826D7A"/>
    <w:rsid w:val="008320A3"/>
    <w:rsid w:val="008401CB"/>
    <w:rsid w:val="0084508E"/>
    <w:rsid w:val="00846372"/>
    <w:rsid w:val="0085370A"/>
    <w:rsid w:val="00855E49"/>
    <w:rsid w:val="008657F8"/>
    <w:rsid w:val="008739F6"/>
    <w:rsid w:val="00875F60"/>
    <w:rsid w:val="00877C7F"/>
    <w:rsid w:val="00880A3C"/>
    <w:rsid w:val="00881265"/>
    <w:rsid w:val="00882632"/>
    <w:rsid w:val="00883DCF"/>
    <w:rsid w:val="00886BC6"/>
    <w:rsid w:val="00887ADD"/>
    <w:rsid w:val="00890D92"/>
    <w:rsid w:val="008917F0"/>
    <w:rsid w:val="00894CEA"/>
    <w:rsid w:val="008957D5"/>
    <w:rsid w:val="00897069"/>
    <w:rsid w:val="008A0501"/>
    <w:rsid w:val="008A1D82"/>
    <w:rsid w:val="008A2948"/>
    <w:rsid w:val="008A54D6"/>
    <w:rsid w:val="008B0591"/>
    <w:rsid w:val="008B1C64"/>
    <w:rsid w:val="008B395F"/>
    <w:rsid w:val="008B43AD"/>
    <w:rsid w:val="008B5FFB"/>
    <w:rsid w:val="008C148A"/>
    <w:rsid w:val="008C1FC9"/>
    <w:rsid w:val="008D2858"/>
    <w:rsid w:val="008D2D0B"/>
    <w:rsid w:val="008D356C"/>
    <w:rsid w:val="008D3E08"/>
    <w:rsid w:val="008D4692"/>
    <w:rsid w:val="008E0430"/>
    <w:rsid w:val="008F0820"/>
    <w:rsid w:val="008F135F"/>
    <w:rsid w:val="008F47CA"/>
    <w:rsid w:val="008F497E"/>
    <w:rsid w:val="008F53A8"/>
    <w:rsid w:val="008F5FD8"/>
    <w:rsid w:val="008F6497"/>
    <w:rsid w:val="008F7CCA"/>
    <w:rsid w:val="00902EE2"/>
    <w:rsid w:val="0090675A"/>
    <w:rsid w:val="00911749"/>
    <w:rsid w:val="00913A9E"/>
    <w:rsid w:val="00913F57"/>
    <w:rsid w:val="009161E2"/>
    <w:rsid w:val="00917883"/>
    <w:rsid w:val="00921B0F"/>
    <w:rsid w:val="00923F2C"/>
    <w:rsid w:val="00927A64"/>
    <w:rsid w:val="00933AD9"/>
    <w:rsid w:val="00935EDE"/>
    <w:rsid w:val="0093639F"/>
    <w:rsid w:val="0094371F"/>
    <w:rsid w:val="00943BF8"/>
    <w:rsid w:val="00943DB8"/>
    <w:rsid w:val="00944DD5"/>
    <w:rsid w:val="00950912"/>
    <w:rsid w:val="00952625"/>
    <w:rsid w:val="0095279D"/>
    <w:rsid w:val="00961F8B"/>
    <w:rsid w:val="0096496C"/>
    <w:rsid w:val="00965668"/>
    <w:rsid w:val="009657F0"/>
    <w:rsid w:val="00966A92"/>
    <w:rsid w:val="00970A3B"/>
    <w:rsid w:val="00973A74"/>
    <w:rsid w:val="00981C81"/>
    <w:rsid w:val="00982DD1"/>
    <w:rsid w:val="00991B78"/>
    <w:rsid w:val="009925A6"/>
    <w:rsid w:val="00993111"/>
    <w:rsid w:val="009A1E02"/>
    <w:rsid w:val="009A21BE"/>
    <w:rsid w:val="009A7BE2"/>
    <w:rsid w:val="009B4772"/>
    <w:rsid w:val="009C3F22"/>
    <w:rsid w:val="009C6C6F"/>
    <w:rsid w:val="009C738E"/>
    <w:rsid w:val="009D62DB"/>
    <w:rsid w:val="009D6AC3"/>
    <w:rsid w:val="009D75AD"/>
    <w:rsid w:val="009E1BC4"/>
    <w:rsid w:val="009E1CEB"/>
    <w:rsid w:val="009E3C40"/>
    <w:rsid w:val="009E4CA6"/>
    <w:rsid w:val="009E6A67"/>
    <w:rsid w:val="009E6A6C"/>
    <w:rsid w:val="009E7A57"/>
    <w:rsid w:val="009E7B07"/>
    <w:rsid w:val="009F089E"/>
    <w:rsid w:val="009F1C2C"/>
    <w:rsid w:val="009F3BA1"/>
    <w:rsid w:val="00A027C1"/>
    <w:rsid w:val="00A0396B"/>
    <w:rsid w:val="00A051E0"/>
    <w:rsid w:val="00A131F1"/>
    <w:rsid w:val="00A150FB"/>
    <w:rsid w:val="00A15C06"/>
    <w:rsid w:val="00A21F41"/>
    <w:rsid w:val="00A22B4B"/>
    <w:rsid w:val="00A24818"/>
    <w:rsid w:val="00A27820"/>
    <w:rsid w:val="00A30B27"/>
    <w:rsid w:val="00A30FD9"/>
    <w:rsid w:val="00A32232"/>
    <w:rsid w:val="00A33BF4"/>
    <w:rsid w:val="00A374E8"/>
    <w:rsid w:val="00A43939"/>
    <w:rsid w:val="00A439F8"/>
    <w:rsid w:val="00A44822"/>
    <w:rsid w:val="00A46953"/>
    <w:rsid w:val="00A53527"/>
    <w:rsid w:val="00A54419"/>
    <w:rsid w:val="00A54A9A"/>
    <w:rsid w:val="00A5600E"/>
    <w:rsid w:val="00A60781"/>
    <w:rsid w:val="00A64B31"/>
    <w:rsid w:val="00A71C11"/>
    <w:rsid w:val="00A748E8"/>
    <w:rsid w:val="00A80E86"/>
    <w:rsid w:val="00A813EE"/>
    <w:rsid w:val="00A82F37"/>
    <w:rsid w:val="00A839A8"/>
    <w:rsid w:val="00A84D2E"/>
    <w:rsid w:val="00A91802"/>
    <w:rsid w:val="00A9461E"/>
    <w:rsid w:val="00AA0355"/>
    <w:rsid w:val="00AA04DB"/>
    <w:rsid w:val="00AA2B19"/>
    <w:rsid w:val="00AA6C15"/>
    <w:rsid w:val="00AA6C9E"/>
    <w:rsid w:val="00AB65B7"/>
    <w:rsid w:val="00AC0344"/>
    <w:rsid w:val="00AC135F"/>
    <w:rsid w:val="00AC39B5"/>
    <w:rsid w:val="00AC428E"/>
    <w:rsid w:val="00AC5178"/>
    <w:rsid w:val="00AC73C5"/>
    <w:rsid w:val="00AD0230"/>
    <w:rsid w:val="00AD0641"/>
    <w:rsid w:val="00AD1743"/>
    <w:rsid w:val="00AD48BD"/>
    <w:rsid w:val="00AD7780"/>
    <w:rsid w:val="00AE0625"/>
    <w:rsid w:val="00AF001A"/>
    <w:rsid w:val="00AF2F30"/>
    <w:rsid w:val="00AF33F9"/>
    <w:rsid w:val="00AF3B58"/>
    <w:rsid w:val="00AF7E1E"/>
    <w:rsid w:val="00B03E56"/>
    <w:rsid w:val="00B063BE"/>
    <w:rsid w:val="00B1061B"/>
    <w:rsid w:val="00B12DE5"/>
    <w:rsid w:val="00B14696"/>
    <w:rsid w:val="00B14D65"/>
    <w:rsid w:val="00B154B7"/>
    <w:rsid w:val="00B217AD"/>
    <w:rsid w:val="00B24207"/>
    <w:rsid w:val="00B2469C"/>
    <w:rsid w:val="00B30B7B"/>
    <w:rsid w:val="00B30F35"/>
    <w:rsid w:val="00B31337"/>
    <w:rsid w:val="00B33005"/>
    <w:rsid w:val="00B400B8"/>
    <w:rsid w:val="00B41374"/>
    <w:rsid w:val="00B449BC"/>
    <w:rsid w:val="00B47E6D"/>
    <w:rsid w:val="00B51FBA"/>
    <w:rsid w:val="00B53417"/>
    <w:rsid w:val="00B53C92"/>
    <w:rsid w:val="00B55D20"/>
    <w:rsid w:val="00B618A3"/>
    <w:rsid w:val="00B62E76"/>
    <w:rsid w:val="00B63186"/>
    <w:rsid w:val="00B64A04"/>
    <w:rsid w:val="00B708B3"/>
    <w:rsid w:val="00B7213E"/>
    <w:rsid w:val="00B76CF8"/>
    <w:rsid w:val="00B777F3"/>
    <w:rsid w:val="00B854C6"/>
    <w:rsid w:val="00B900B2"/>
    <w:rsid w:val="00B913A7"/>
    <w:rsid w:val="00B926EA"/>
    <w:rsid w:val="00B92F13"/>
    <w:rsid w:val="00B95182"/>
    <w:rsid w:val="00B95825"/>
    <w:rsid w:val="00BA045C"/>
    <w:rsid w:val="00BA2097"/>
    <w:rsid w:val="00BA31D6"/>
    <w:rsid w:val="00BA3977"/>
    <w:rsid w:val="00BA5BDF"/>
    <w:rsid w:val="00BA61AD"/>
    <w:rsid w:val="00BB360C"/>
    <w:rsid w:val="00BB4AE1"/>
    <w:rsid w:val="00BB4E4D"/>
    <w:rsid w:val="00BB4F20"/>
    <w:rsid w:val="00BB56C8"/>
    <w:rsid w:val="00BC206E"/>
    <w:rsid w:val="00BC4A02"/>
    <w:rsid w:val="00BC4EEA"/>
    <w:rsid w:val="00BC696F"/>
    <w:rsid w:val="00BC72F7"/>
    <w:rsid w:val="00BC7577"/>
    <w:rsid w:val="00BD0D00"/>
    <w:rsid w:val="00BD1237"/>
    <w:rsid w:val="00BD1761"/>
    <w:rsid w:val="00BD2239"/>
    <w:rsid w:val="00BD2DF1"/>
    <w:rsid w:val="00BD32DB"/>
    <w:rsid w:val="00BD339F"/>
    <w:rsid w:val="00BD41ED"/>
    <w:rsid w:val="00BD4B5B"/>
    <w:rsid w:val="00BD6A2C"/>
    <w:rsid w:val="00BD7B38"/>
    <w:rsid w:val="00BE17F5"/>
    <w:rsid w:val="00BE19B5"/>
    <w:rsid w:val="00BF1825"/>
    <w:rsid w:val="00BF184C"/>
    <w:rsid w:val="00BF22B8"/>
    <w:rsid w:val="00BF3545"/>
    <w:rsid w:val="00BF4C0C"/>
    <w:rsid w:val="00C04A60"/>
    <w:rsid w:val="00C04C41"/>
    <w:rsid w:val="00C0503B"/>
    <w:rsid w:val="00C1515D"/>
    <w:rsid w:val="00C173B2"/>
    <w:rsid w:val="00C22496"/>
    <w:rsid w:val="00C24F71"/>
    <w:rsid w:val="00C276B4"/>
    <w:rsid w:val="00C32AB3"/>
    <w:rsid w:val="00C41C3F"/>
    <w:rsid w:val="00C43057"/>
    <w:rsid w:val="00C4308D"/>
    <w:rsid w:val="00C476FF"/>
    <w:rsid w:val="00C47D1D"/>
    <w:rsid w:val="00C521B8"/>
    <w:rsid w:val="00C5352E"/>
    <w:rsid w:val="00C5424D"/>
    <w:rsid w:val="00C61DD1"/>
    <w:rsid w:val="00C6571E"/>
    <w:rsid w:val="00C66A8F"/>
    <w:rsid w:val="00C71D7A"/>
    <w:rsid w:val="00C72BB7"/>
    <w:rsid w:val="00C72E4D"/>
    <w:rsid w:val="00C74949"/>
    <w:rsid w:val="00C74F90"/>
    <w:rsid w:val="00C75744"/>
    <w:rsid w:val="00C76967"/>
    <w:rsid w:val="00C820A8"/>
    <w:rsid w:val="00C823C0"/>
    <w:rsid w:val="00C87356"/>
    <w:rsid w:val="00C90552"/>
    <w:rsid w:val="00C940B9"/>
    <w:rsid w:val="00C9491F"/>
    <w:rsid w:val="00C95297"/>
    <w:rsid w:val="00C96988"/>
    <w:rsid w:val="00CA27D6"/>
    <w:rsid w:val="00CA775F"/>
    <w:rsid w:val="00CB0235"/>
    <w:rsid w:val="00CB151D"/>
    <w:rsid w:val="00CB1594"/>
    <w:rsid w:val="00CB188F"/>
    <w:rsid w:val="00CB2061"/>
    <w:rsid w:val="00CB3737"/>
    <w:rsid w:val="00CB3799"/>
    <w:rsid w:val="00CB428C"/>
    <w:rsid w:val="00CB5625"/>
    <w:rsid w:val="00CB7825"/>
    <w:rsid w:val="00CB7A3E"/>
    <w:rsid w:val="00CC0AAE"/>
    <w:rsid w:val="00CC75E1"/>
    <w:rsid w:val="00CD0FD3"/>
    <w:rsid w:val="00CD4B33"/>
    <w:rsid w:val="00CD6B54"/>
    <w:rsid w:val="00CD797F"/>
    <w:rsid w:val="00CE25DE"/>
    <w:rsid w:val="00CE52E3"/>
    <w:rsid w:val="00CE5693"/>
    <w:rsid w:val="00CE7AB8"/>
    <w:rsid w:val="00CF1CCD"/>
    <w:rsid w:val="00CF28B7"/>
    <w:rsid w:val="00CF36AB"/>
    <w:rsid w:val="00CF3D50"/>
    <w:rsid w:val="00CF3E88"/>
    <w:rsid w:val="00CF5A4C"/>
    <w:rsid w:val="00D03B57"/>
    <w:rsid w:val="00D04EAA"/>
    <w:rsid w:val="00D12F6F"/>
    <w:rsid w:val="00D130A0"/>
    <w:rsid w:val="00D1440C"/>
    <w:rsid w:val="00D169DA"/>
    <w:rsid w:val="00D2013D"/>
    <w:rsid w:val="00D25632"/>
    <w:rsid w:val="00D25F9D"/>
    <w:rsid w:val="00D26B62"/>
    <w:rsid w:val="00D316C1"/>
    <w:rsid w:val="00D32517"/>
    <w:rsid w:val="00D332F6"/>
    <w:rsid w:val="00D367AD"/>
    <w:rsid w:val="00D36DD3"/>
    <w:rsid w:val="00D41981"/>
    <w:rsid w:val="00D4557A"/>
    <w:rsid w:val="00D456A0"/>
    <w:rsid w:val="00D47172"/>
    <w:rsid w:val="00D51A4A"/>
    <w:rsid w:val="00D52041"/>
    <w:rsid w:val="00D52D65"/>
    <w:rsid w:val="00D53908"/>
    <w:rsid w:val="00D5446D"/>
    <w:rsid w:val="00D56D94"/>
    <w:rsid w:val="00D6525D"/>
    <w:rsid w:val="00D71F7C"/>
    <w:rsid w:val="00D737B0"/>
    <w:rsid w:val="00D74EAF"/>
    <w:rsid w:val="00D75AFA"/>
    <w:rsid w:val="00D77543"/>
    <w:rsid w:val="00D82F33"/>
    <w:rsid w:val="00D83CD1"/>
    <w:rsid w:val="00D877C3"/>
    <w:rsid w:val="00D90152"/>
    <w:rsid w:val="00D96EC6"/>
    <w:rsid w:val="00D9725C"/>
    <w:rsid w:val="00D9778D"/>
    <w:rsid w:val="00DA25E0"/>
    <w:rsid w:val="00DA2F30"/>
    <w:rsid w:val="00DC5DC6"/>
    <w:rsid w:val="00DD1DD7"/>
    <w:rsid w:val="00DD4DD2"/>
    <w:rsid w:val="00DD5701"/>
    <w:rsid w:val="00DE1537"/>
    <w:rsid w:val="00DE1558"/>
    <w:rsid w:val="00DE44B7"/>
    <w:rsid w:val="00DE6358"/>
    <w:rsid w:val="00DE7E72"/>
    <w:rsid w:val="00DF7295"/>
    <w:rsid w:val="00E01F70"/>
    <w:rsid w:val="00E03462"/>
    <w:rsid w:val="00E041B8"/>
    <w:rsid w:val="00E05CBE"/>
    <w:rsid w:val="00E06D2E"/>
    <w:rsid w:val="00E12670"/>
    <w:rsid w:val="00E14902"/>
    <w:rsid w:val="00E17496"/>
    <w:rsid w:val="00E221B7"/>
    <w:rsid w:val="00E23368"/>
    <w:rsid w:val="00E254DD"/>
    <w:rsid w:val="00E27EE6"/>
    <w:rsid w:val="00E40F38"/>
    <w:rsid w:val="00E417E7"/>
    <w:rsid w:val="00E4340C"/>
    <w:rsid w:val="00E4416D"/>
    <w:rsid w:val="00E458E9"/>
    <w:rsid w:val="00E5702B"/>
    <w:rsid w:val="00E655C5"/>
    <w:rsid w:val="00E65B9C"/>
    <w:rsid w:val="00E67113"/>
    <w:rsid w:val="00E724E7"/>
    <w:rsid w:val="00E72FC1"/>
    <w:rsid w:val="00E74136"/>
    <w:rsid w:val="00E758F7"/>
    <w:rsid w:val="00E77B4A"/>
    <w:rsid w:val="00E82B59"/>
    <w:rsid w:val="00E8346E"/>
    <w:rsid w:val="00E83638"/>
    <w:rsid w:val="00E85375"/>
    <w:rsid w:val="00E85385"/>
    <w:rsid w:val="00E953BF"/>
    <w:rsid w:val="00EA5060"/>
    <w:rsid w:val="00EA75A9"/>
    <w:rsid w:val="00EB3E71"/>
    <w:rsid w:val="00EC0E67"/>
    <w:rsid w:val="00EC45B0"/>
    <w:rsid w:val="00EC5390"/>
    <w:rsid w:val="00ED0A42"/>
    <w:rsid w:val="00ED4A5A"/>
    <w:rsid w:val="00ED5609"/>
    <w:rsid w:val="00EE1A82"/>
    <w:rsid w:val="00EE4E14"/>
    <w:rsid w:val="00EE57F8"/>
    <w:rsid w:val="00EF0DD9"/>
    <w:rsid w:val="00EF13D0"/>
    <w:rsid w:val="00EF7B65"/>
    <w:rsid w:val="00EF7EB8"/>
    <w:rsid w:val="00F05545"/>
    <w:rsid w:val="00F05E91"/>
    <w:rsid w:val="00F0620F"/>
    <w:rsid w:val="00F07546"/>
    <w:rsid w:val="00F11A60"/>
    <w:rsid w:val="00F15083"/>
    <w:rsid w:val="00F166A6"/>
    <w:rsid w:val="00F3162E"/>
    <w:rsid w:val="00F31CE8"/>
    <w:rsid w:val="00F31FE5"/>
    <w:rsid w:val="00F355D2"/>
    <w:rsid w:val="00F40E92"/>
    <w:rsid w:val="00F41717"/>
    <w:rsid w:val="00F41F2F"/>
    <w:rsid w:val="00F425F6"/>
    <w:rsid w:val="00F42A84"/>
    <w:rsid w:val="00F43401"/>
    <w:rsid w:val="00F43960"/>
    <w:rsid w:val="00F43D3D"/>
    <w:rsid w:val="00F45C3A"/>
    <w:rsid w:val="00F47D81"/>
    <w:rsid w:val="00F47F05"/>
    <w:rsid w:val="00F56276"/>
    <w:rsid w:val="00F56544"/>
    <w:rsid w:val="00F609BD"/>
    <w:rsid w:val="00F627A8"/>
    <w:rsid w:val="00F647AA"/>
    <w:rsid w:val="00F66BFB"/>
    <w:rsid w:val="00F71E97"/>
    <w:rsid w:val="00F7648E"/>
    <w:rsid w:val="00F773D3"/>
    <w:rsid w:val="00F8357F"/>
    <w:rsid w:val="00F849EE"/>
    <w:rsid w:val="00F85C44"/>
    <w:rsid w:val="00F85FAD"/>
    <w:rsid w:val="00F87A9E"/>
    <w:rsid w:val="00F9037A"/>
    <w:rsid w:val="00F90769"/>
    <w:rsid w:val="00FA1510"/>
    <w:rsid w:val="00FA1A5D"/>
    <w:rsid w:val="00FA52DC"/>
    <w:rsid w:val="00FA6395"/>
    <w:rsid w:val="00FA6746"/>
    <w:rsid w:val="00FB05EC"/>
    <w:rsid w:val="00FB090A"/>
    <w:rsid w:val="00FB5BA0"/>
    <w:rsid w:val="00FB6E16"/>
    <w:rsid w:val="00FC0CB3"/>
    <w:rsid w:val="00FC529D"/>
    <w:rsid w:val="00FC55C0"/>
    <w:rsid w:val="00FC7D14"/>
    <w:rsid w:val="00FD16D6"/>
    <w:rsid w:val="00FD5604"/>
    <w:rsid w:val="00FD5A34"/>
    <w:rsid w:val="00FE00D6"/>
    <w:rsid w:val="00FE4AA4"/>
    <w:rsid w:val="00FF44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A0E77"/>
  <w15:chartTrackingRefBased/>
  <w15:docId w15:val="{1A8AAAD3-5C2F-436C-A9E5-64FC4D574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5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01A6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75AF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D15F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537"/>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3B44D2"/>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3B44D2"/>
    <w:rPr>
      <w:rFonts w:eastAsiaTheme="minorEastAsia"/>
      <w:kern w:val="0"/>
      <w14:ligatures w14:val="none"/>
    </w:rPr>
  </w:style>
  <w:style w:type="character" w:customStyle="1" w:styleId="Heading2Char">
    <w:name w:val="Heading 2 Char"/>
    <w:basedOn w:val="DefaultParagraphFont"/>
    <w:link w:val="Heading2"/>
    <w:uiPriority w:val="9"/>
    <w:rsid w:val="00101A60"/>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83638"/>
    <w:pPr>
      <w:outlineLvl w:val="9"/>
    </w:pPr>
    <w:rPr>
      <w:kern w:val="0"/>
      <w14:ligatures w14:val="none"/>
    </w:rPr>
  </w:style>
  <w:style w:type="paragraph" w:styleId="TOC1">
    <w:name w:val="toc 1"/>
    <w:basedOn w:val="Normal"/>
    <w:next w:val="Normal"/>
    <w:autoRedefine/>
    <w:uiPriority w:val="39"/>
    <w:unhideWhenUsed/>
    <w:rsid w:val="00E83638"/>
    <w:pPr>
      <w:spacing w:after="100"/>
    </w:pPr>
  </w:style>
  <w:style w:type="paragraph" w:styleId="TOC2">
    <w:name w:val="toc 2"/>
    <w:basedOn w:val="Normal"/>
    <w:next w:val="Normal"/>
    <w:autoRedefine/>
    <w:uiPriority w:val="39"/>
    <w:unhideWhenUsed/>
    <w:rsid w:val="00E83638"/>
    <w:pPr>
      <w:spacing w:after="100"/>
      <w:ind w:left="220"/>
    </w:pPr>
  </w:style>
  <w:style w:type="character" w:styleId="Hyperlink">
    <w:name w:val="Hyperlink"/>
    <w:basedOn w:val="DefaultParagraphFont"/>
    <w:uiPriority w:val="99"/>
    <w:unhideWhenUsed/>
    <w:rsid w:val="00E83638"/>
    <w:rPr>
      <w:color w:val="0563C1" w:themeColor="hyperlink"/>
      <w:u w:val="single"/>
    </w:rPr>
  </w:style>
  <w:style w:type="paragraph" w:styleId="NormalWeb">
    <w:name w:val="Normal (Web)"/>
    <w:basedOn w:val="Normal"/>
    <w:uiPriority w:val="99"/>
    <w:unhideWhenUsed/>
    <w:rsid w:val="0011590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0396B"/>
    <w:rPr>
      <w:b/>
      <w:bCs/>
    </w:rPr>
  </w:style>
  <w:style w:type="character" w:customStyle="1" w:styleId="screenreader-only">
    <w:name w:val="screenreader-only"/>
    <w:basedOn w:val="DefaultParagraphFont"/>
    <w:rsid w:val="00A0396B"/>
  </w:style>
  <w:style w:type="character" w:styleId="Emphasis">
    <w:name w:val="Emphasis"/>
    <w:basedOn w:val="DefaultParagraphFont"/>
    <w:uiPriority w:val="20"/>
    <w:qFormat/>
    <w:rsid w:val="00A0396B"/>
    <w:rPr>
      <w:i/>
      <w:iCs/>
    </w:rPr>
  </w:style>
  <w:style w:type="paragraph" w:styleId="ListParagraph">
    <w:name w:val="List Paragraph"/>
    <w:basedOn w:val="Normal"/>
    <w:uiPriority w:val="34"/>
    <w:qFormat/>
    <w:rsid w:val="009E3C40"/>
    <w:pPr>
      <w:ind w:left="720"/>
      <w:contextualSpacing/>
    </w:pPr>
  </w:style>
  <w:style w:type="paragraph" w:styleId="Header">
    <w:name w:val="header"/>
    <w:basedOn w:val="Normal"/>
    <w:link w:val="HeaderChar"/>
    <w:uiPriority w:val="99"/>
    <w:unhideWhenUsed/>
    <w:rsid w:val="00B03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3E56"/>
  </w:style>
  <w:style w:type="paragraph" w:styleId="Footer">
    <w:name w:val="footer"/>
    <w:basedOn w:val="Normal"/>
    <w:link w:val="FooterChar"/>
    <w:uiPriority w:val="99"/>
    <w:unhideWhenUsed/>
    <w:rsid w:val="00B03E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3E56"/>
  </w:style>
  <w:style w:type="character" w:styleId="UnresolvedMention">
    <w:name w:val="Unresolved Mention"/>
    <w:basedOn w:val="DefaultParagraphFont"/>
    <w:uiPriority w:val="99"/>
    <w:semiHidden/>
    <w:unhideWhenUsed/>
    <w:rsid w:val="00C5352E"/>
    <w:rPr>
      <w:color w:val="605E5C"/>
      <w:shd w:val="clear" w:color="auto" w:fill="E1DFDD"/>
    </w:rPr>
  </w:style>
  <w:style w:type="character" w:customStyle="1" w:styleId="Heading3Char">
    <w:name w:val="Heading 3 Char"/>
    <w:basedOn w:val="DefaultParagraphFont"/>
    <w:link w:val="Heading3"/>
    <w:uiPriority w:val="9"/>
    <w:rsid w:val="00D75AF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2274F"/>
    <w:pPr>
      <w:spacing w:after="100"/>
      <w:ind w:left="440"/>
    </w:pPr>
  </w:style>
  <w:style w:type="table" w:styleId="TableGrid">
    <w:name w:val="Table Grid"/>
    <w:basedOn w:val="TableNormal"/>
    <w:uiPriority w:val="39"/>
    <w:rsid w:val="009656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7D15FF"/>
    <w:rPr>
      <w:rFonts w:asciiTheme="majorHAnsi" w:eastAsiaTheme="majorEastAsia" w:hAnsiTheme="majorHAnsi" w:cstheme="majorBidi"/>
      <w:i/>
      <w:iCs/>
      <w:color w:val="2F5496" w:themeColor="accent1" w:themeShade="BF"/>
    </w:rPr>
  </w:style>
  <w:style w:type="paragraph" w:styleId="BodyText">
    <w:name w:val="Body Text"/>
    <w:basedOn w:val="Normal"/>
    <w:link w:val="BodyTextChar"/>
    <w:qFormat/>
    <w:rsid w:val="002E2565"/>
    <w:pPr>
      <w:spacing w:before="180" w:after="180" w:line="240" w:lineRule="auto"/>
    </w:pPr>
    <w:rPr>
      <w:kern w:val="0"/>
      <w:sz w:val="24"/>
      <w:szCs w:val="24"/>
      <w14:ligatures w14:val="none"/>
    </w:rPr>
  </w:style>
  <w:style w:type="character" w:customStyle="1" w:styleId="BodyTextChar">
    <w:name w:val="Body Text Char"/>
    <w:basedOn w:val="DefaultParagraphFont"/>
    <w:link w:val="BodyText"/>
    <w:rsid w:val="002E2565"/>
    <w:rPr>
      <w:kern w:val="0"/>
      <w:sz w:val="24"/>
      <w:szCs w:val="24"/>
      <w14:ligatures w14:val="none"/>
    </w:rPr>
  </w:style>
  <w:style w:type="paragraph" w:customStyle="1" w:styleId="FirstParagraph">
    <w:name w:val="First Paragraph"/>
    <w:basedOn w:val="BodyText"/>
    <w:next w:val="BodyText"/>
    <w:qFormat/>
    <w:rsid w:val="002E2565"/>
  </w:style>
  <w:style w:type="character" w:customStyle="1" w:styleId="VerbatimChar">
    <w:name w:val="Verbatim Char"/>
    <w:basedOn w:val="DefaultParagraphFont"/>
    <w:link w:val="SourceCode"/>
    <w:rsid w:val="002E2565"/>
    <w:rPr>
      <w:rFonts w:ascii="Consolas" w:hAnsi="Consolas"/>
    </w:rPr>
  </w:style>
  <w:style w:type="paragraph" w:customStyle="1" w:styleId="SourceCode">
    <w:name w:val="Source Code"/>
    <w:basedOn w:val="Normal"/>
    <w:link w:val="VerbatimChar"/>
    <w:rsid w:val="002E2565"/>
    <w:pPr>
      <w:wordWrap w:val="0"/>
      <w:spacing w:after="200" w:line="240" w:lineRule="auto"/>
    </w:pPr>
    <w:rPr>
      <w:rFonts w:ascii="Consolas" w:hAnsi="Consolas"/>
    </w:rPr>
  </w:style>
  <w:style w:type="paragraph" w:customStyle="1" w:styleId="Compact">
    <w:name w:val="Compact"/>
    <w:basedOn w:val="BodyText"/>
    <w:qFormat/>
    <w:rsid w:val="002E2565"/>
    <w:pPr>
      <w:spacing w:before="36" w:after="36"/>
    </w:pPr>
  </w:style>
  <w:style w:type="table" w:customStyle="1" w:styleId="Table">
    <w:name w:val="Table"/>
    <w:semiHidden/>
    <w:unhideWhenUsed/>
    <w:qFormat/>
    <w:rsid w:val="002E2565"/>
    <w:pPr>
      <w:spacing w:after="200" w:line="240" w:lineRule="auto"/>
    </w:pPr>
    <w:rPr>
      <w:kern w:val="0"/>
      <w:sz w:val="24"/>
      <w:szCs w:val="24"/>
      <w14:ligatures w14:val="none"/>
    </w:rPr>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514">
      <w:bodyDiv w:val="1"/>
      <w:marLeft w:val="0"/>
      <w:marRight w:val="0"/>
      <w:marTop w:val="0"/>
      <w:marBottom w:val="0"/>
      <w:divBdr>
        <w:top w:val="none" w:sz="0" w:space="0" w:color="auto"/>
        <w:left w:val="none" w:sz="0" w:space="0" w:color="auto"/>
        <w:bottom w:val="none" w:sz="0" w:space="0" w:color="auto"/>
        <w:right w:val="none" w:sz="0" w:space="0" w:color="auto"/>
      </w:divBdr>
    </w:div>
    <w:div w:id="13699530">
      <w:bodyDiv w:val="1"/>
      <w:marLeft w:val="0"/>
      <w:marRight w:val="0"/>
      <w:marTop w:val="0"/>
      <w:marBottom w:val="0"/>
      <w:divBdr>
        <w:top w:val="none" w:sz="0" w:space="0" w:color="auto"/>
        <w:left w:val="none" w:sz="0" w:space="0" w:color="auto"/>
        <w:bottom w:val="none" w:sz="0" w:space="0" w:color="auto"/>
        <w:right w:val="none" w:sz="0" w:space="0" w:color="auto"/>
      </w:divBdr>
    </w:div>
    <w:div w:id="99447463">
      <w:bodyDiv w:val="1"/>
      <w:marLeft w:val="0"/>
      <w:marRight w:val="0"/>
      <w:marTop w:val="0"/>
      <w:marBottom w:val="0"/>
      <w:divBdr>
        <w:top w:val="none" w:sz="0" w:space="0" w:color="auto"/>
        <w:left w:val="none" w:sz="0" w:space="0" w:color="auto"/>
        <w:bottom w:val="none" w:sz="0" w:space="0" w:color="auto"/>
        <w:right w:val="none" w:sz="0" w:space="0" w:color="auto"/>
      </w:divBdr>
    </w:div>
    <w:div w:id="139999871">
      <w:bodyDiv w:val="1"/>
      <w:marLeft w:val="0"/>
      <w:marRight w:val="0"/>
      <w:marTop w:val="0"/>
      <w:marBottom w:val="0"/>
      <w:divBdr>
        <w:top w:val="none" w:sz="0" w:space="0" w:color="auto"/>
        <w:left w:val="none" w:sz="0" w:space="0" w:color="auto"/>
        <w:bottom w:val="none" w:sz="0" w:space="0" w:color="auto"/>
        <w:right w:val="none" w:sz="0" w:space="0" w:color="auto"/>
      </w:divBdr>
    </w:div>
    <w:div w:id="162821492">
      <w:bodyDiv w:val="1"/>
      <w:marLeft w:val="0"/>
      <w:marRight w:val="0"/>
      <w:marTop w:val="0"/>
      <w:marBottom w:val="0"/>
      <w:divBdr>
        <w:top w:val="none" w:sz="0" w:space="0" w:color="auto"/>
        <w:left w:val="none" w:sz="0" w:space="0" w:color="auto"/>
        <w:bottom w:val="none" w:sz="0" w:space="0" w:color="auto"/>
        <w:right w:val="none" w:sz="0" w:space="0" w:color="auto"/>
      </w:divBdr>
    </w:div>
    <w:div w:id="190343793">
      <w:bodyDiv w:val="1"/>
      <w:marLeft w:val="0"/>
      <w:marRight w:val="0"/>
      <w:marTop w:val="0"/>
      <w:marBottom w:val="0"/>
      <w:divBdr>
        <w:top w:val="none" w:sz="0" w:space="0" w:color="auto"/>
        <w:left w:val="none" w:sz="0" w:space="0" w:color="auto"/>
        <w:bottom w:val="none" w:sz="0" w:space="0" w:color="auto"/>
        <w:right w:val="none" w:sz="0" w:space="0" w:color="auto"/>
      </w:divBdr>
    </w:div>
    <w:div w:id="197864405">
      <w:bodyDiv w:val="1"/>
      <w:marLeft w:val="0"/>
      <w:marRight w:val="0"/>
      <w:marTop w:val="0"/>
      <w:marBottom w:val="0"/>
      <w:divBdr>
        <w:top w:val="none" w:sz="0" w:space="0" w:color="auto"/>
        <w:left w:val="none" w:sz="0" w:space="0" w:color="auto"/>
        <w:bottom w:val="none" w:sz="0" w:space="0" w:color="auto"/>
        <w:right w:val="none" w:sz="0" w:space="0" w:color="auto"/>
      </w:divBdr>
    </w:div>
    <w:div w:id="225383630">
      <w:bodyDiv w:val="1"/>
      <w:marLeft w:val="0"/>
      <w:marRight w:val="0"/>
      <w:marTop w:val="0"/>
      <w:marBottom w:val="0"/>
      <w:divBdr>
        <w:top w:val="none" w:sz="0" w:space="0" w:color="auto"/>
        <w:left w:val="none" w:sz="0" w:space="0" w:color="auto"/>
        <w:bottom w:val="none" w:sz="0" w:space="0" w:color="auto"/>
        <w:right w:val="none" w:sz="0" w:space="0" w:color="auto"/>
      </w:divBdr>
    </w:div>
    <w:div w:id="244077018">
      <w:bodyDiv w:val="1"/>
      <w:marLeft w:val="0"/>
      <w:marRight w:val="0"/>
      <w:marTop w:val="0"/>
      <w:marBottom w:val="0"/>
      <w:divBdr>
        <w:top w:val="none" w:sz="0" w:space="0" w:color="auto"/>
        <w:left w:val="none" w:sz="0" w:space="0" w:color="auto"/>
        <w:bottom w:val="none" w:sz="0" w:space="0" w:color="auto"/>
        <w:right w:val="none" w:sz="0" w:space="0" w:color="auto"/>
      </w:divBdr>
    </w:div>
    <w:div w:id="309789649">
      <w:bodyDiv w:val="1"/>
      <w:marLeft w:val="0"/>
      <w:marRight w:val="0"/>
      <w:marTop w:val="0"/>
      <w:marBottom w:val="0"/>
      <w:divBdr>
        <w:top w:val="none" w:sz="0" w:space="0" w:color="auto"/>
        <w:left w:val="none" w:sz="0" w:space="0" w:color="auto"/>
        <w:bottom w:val="none" w:sz="0" w:space="0" w:color="auto"/>
        <w:right w:val="none" w:sz="0" w:space="0" w:color="auto"/>
      </w:divBdr>
    </w:div>
    <w:div w:id="316954128">
      <w:bodyDiv w:val="1"/>
      <w:marLeft w:val="0"/>
      <w:marRight w:val="0"/>
      <w:marTop w:val="0"/>
      <w:marBottom w:val="0"/>
      <w:divBdr>
        <w:top w:val="none" w:sz="0" w:space="0" w:color="auto"/>
        <w:left w:val="none" w:sz="0" w:space="0" w:color="auto"/>
        <w:bottom w:val="none" w:sz="0" w:space="0" w:color="auto"/>
        <w:right w:val="none" w:sz="0" w:space="0" w:color="auto"/>
      </w:divBdr>
    </w:div>
    <w:div w:id="396634366">
      <w:bodyDiv w:val="1"/>
      <w:marLeft w:val="0"/>
      <w:marRight w:val="0"/>
      <w:marTop w:val="0"/>
      <w:marBottom w:val="0"/>
      <w:divBdr>
        <w:top w:val="none" w:sz="0" w:space="0" w:color="auto"/>
        <w:left w:val="none" w:sz="0" w:space="0" w:color="auto"/>
        <w:bottom w:val="none" w:sz="0" w:space="0" w:color="auto"/>
        <w:right w:val="none" w:sz="0" w:space="0" w:color="auto"/>
      </w:divBdr>
    </w:div>
    <w:div w:id="414516539">
      <w:bodyDiv w:val="1"/>
      <w:marLeft w:val="0"/>
      <w:marRight w:val="0"/>
      <w:marTop w:val="0"/>
      <w:marBottom w:val="0"/>
      <w:divBdr>
        <w:top w:val="none" w:sz="0" w:space="0" w:color="auto"/>
        <w:left w:val="none" w:sz="0" w:space="0" w:color="auto"/>
        <w:bottom w:val="none" w:sz="0" w:space="0" w:color="auto"/>
        <w:right w:val="none" w:sz="0" w:space="0" w:color="auto"/>
      </w:divBdr>
    </w:div>
    <w:div w:id="465122661">
      <w:bodyDiv w:val="1"/>
      <w:marLeft w:val="0"/>
      <w:marRight w:val="0"/>
      <w:marTop w:val="0"/>
      <w:marBottom w:val="0"/>
      <w:divBdr>
        <w:top w:val="none" w:sz="0" w:space="0" w:color="auto"/>
        <w:left w:val="none" w:sz="0" w:space="0" w:color="auto"/>
        <w:bottom w:val="none" w:sz="0" w:space="0" w:color="auto"/>
        <w:right w:val="none" w:sz="0" w:space="0" w:color="auto"/>
      </w:divBdr>
      <w:divsChild>
        <w:div w:id="1031149096">
          <w:marLeft w:val="0"/>
          <w:marRight w:val="0"/>
          <w:marTop w:val="0"/>
          <w:marBottom w:val="0"/>
          <w:divBdr>
            <w:top w:val="none" w:sz="0" w:space="0" w:color="auto"/>
            <w:left w:val="none" w:sz="0" w:space="0" w:color="auto"/>
            <w:bottom w:val="none" w:sz="0" w:space="0" w:color="auto"/>
            <w:right w:val="none" w:sz="0" w:space="0" w:color="auto"/>
          </w:divBdr>
          <w:divsChild>
            <w:div w:id="569999033">
              <w:marLeft w:val="0"/>
              <w:marRight w:val="0"/>
              <w:marTop w:val="0"/>
              <w:marBottom w:val="0"/>
              <w:divBdr>
                <w:top w:val="none" w:sz="0" w:space="0" w:color="auto"/>
                <w:left w:val="none" w:sz="0" w:space="0" w:color="auto"/>
                <w:bottom w:val="none" w:sz="0" w:space="0" w:color="auto"/>
                <w:right w:val="none" w:sz="0" w:space="0" w:color="auto"/>
              </w:divBdr>
              <w:divsChild>
                <w:div w:id="2082485823">
                  <w:marLeft w:val="0"/>
                  <w:marRight w:val="0"/>
                  <w:marTop w:val="0"/>
                  <w:marBottom w:val="0"/>
                  <w:divBdr>
                    <w:top w:val="none" w:sz="0" w:space="0" w:color="auto"/>
                    <w:left w:val="none" w:sz="0" w:space="0" w:color="auto"/>
                    <w:bottom w:val="none" w:sz="0" w:space="0" w:color="auto"/>
                    <w:right w:val="none" w:sz="0" w:space="0" w:color="auto"/>
                  </w:divBdr>
                  <w:divsChild>
                    <w:div w:id="141896730">
                      <w:marLeft w:val="0"/>
                      <w:marRight w:val="0"/>
                      <w:marTop w:val="0"/>
                      <w:marBottom w:val="0"/>
                      <w:divBdr>
                        <w:top w:val="none" w:sz="0" w:space="0" w:color="auto"/>
                        <w:left w:val="none" w:sz="0" w:space="0" w:color="auto"/>
                        <w:bottom w:val="none" w:sz="0" w:space="0" w:color="auto"/>
                        <w:right w:val="none" w:sz="0" w:space="0" w:color="auto"/>
                      </w:divBdr>
                      <w:divsChild>
                        <w:div w:id="1910460432">
                          <w:marLeft w:val="0"/>
                          <w:marRight w:val="0"/>
                          <w:marTop w:val="0"/>
                          <w:marBottom w:val="0"/>
                          <w:divBdr>
                            <w:top w:val="none" w:sz="0" w:space="0" w:color="auto"/>
                            <w:left w:val="none" w:sz="0" w:space="0" w:color="auto"/>
                            <w:bottom w:val="none" w:sz="0" w:space="0" w:color="auto"/>
                            <w:right w:val="none" w:sz="0" w:space="0" w:color="auto"/>
                          </w:divBdr>
                          <w:divsChild>
                            <w:div w:id="41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0043664">
      <w:bodyDiv w:val="1"/>
      <w:marLeft w:val="0"/>
      <w:marRight w:val="0"/>
      <w:marTop w:val="0"/>
      <w:marBottom w:val="0"/>
      <w:divBdr>
        <w:top w:val="none" w:sz="0" w:space="0" w:color="auto"/>
        <w:left w:val="none" w:sz="0" w:space="0" w:color="auto"/>
        <w:bottom w:val="none" w:sz="0" w:space="0" w:color="auto"/>
        <w:right w:val="none" w:sz="0" w:space="0" w:color="auto"/>
      </w:divBdr>
    </w:div>
    <w:div w:id="500856294">
      <w:bodyDiv w:val="1"/>
      <w:marLeft w:val="0"/>
      <w:marRight w:val="0"/>
      <w:marTop w:val="0"/>
      <w:marBottom w:val="0"/>
      <w:divBdr>
        <w:top w:val="none" w:sz="0" w:space="0" w:color="auto"/>
        <w:left w:val="none" w:sz="0" w:space="0" w:color="auto"/>
        <w:bottom w:val="none" w:sz="0" w:space="0" w:color="auto"/>
        <w:right w:val="none" w:sz="0" w:space="0" w:color="auto"/>
      </w:divBdr>
      <w:divsChild>
        <w:div w:id="1801456151">
          <w:marLeft w:val="0"/>
          <w:marRight w:val="0"/>
          <w:marTop w:val="0"/>
          <w:marBottom w:val="0"/>
          <w:divBdr>
            <w:top w:val="none" w:sz="0" w:space="0" w:color="auto"/>
            <w:left w:val="none" w:sz="0" w:space="0" w:color="auto"/>
            <w:bottom w:val="none" w:sz="0" w:space="0" w:color="auto"/>
            <w:right w:val="none" w:sz="0" w:space="0" w:color="auto"/>
          </w:divBdr>
          <w:divsChild>
            <w:div w:id="13700420">
              <w:marLeft w:val="0"/>
              <w:marRight w:val="0"/>
              <w:marTop w:val="0"/>
              <w:marBottom w:val="0"/>
              <w:divBdr>
                <w:top w:val="none" w:sz="0" w:space="0" w:color="auto"/>
                <w:left w:val="none" w:sz="0" w:space="0" w:color="auto"/>
                <w:bottom w:val="none" w:sz="0" w:space="0" w:color="auto"/>
                <w:right w:val="none" w:sz="0" w:space="0" w:color="auto"/>
              </w:divBdr>
              <w:divsChild>
                <w:div w:id="1412968104">
                  <w:marLeft w:val="0"/>
                  <w:marRight w:val="0"/>
                  <w:marTop w:val="0"/>
                  <w:marBottom w:val="0"/>
                  <w:divBdr>
                    <w:top w:val="none" w:sz="0" w:space="0" w:color="auto"/>
                    <w:left w:val="none" w:sz="0" w:space="0" w:color="auto"/>
                    <w:bottom w:val="none" w:sz="0" w:space="0" w:color="auto"/>
                    <w:right w:val="none" w:sz="0" w:space="0" w:color="auto"/>
                  </w:divBdr>
                  <w:divsChild>
                    <w:div w:id="1114249894">
                      <w:marLeft w:val="0"/>
                      <w:marRight w:val="0"/>
                      <w:marTop w:val="0"/>
                      <w:marBottom w:val="0"/>
                      <w:divBdr>
                        <w:top w:val="none" w:sz="0" w:space="0" w:color="auto"/>
                        <w:left w:val="none" w:sz="0" w:space="0" w:color="auto"/>
                        <w:bottom w:val="none" w:sz="0" w:space="0" w:color="auto"/>
                        <w:right w:val="none" w:sz="0" w:space="0" w:color="auto"/>
                      </w:divBdr>
                      <w:divsChild>
                        <w:div w:id="1133477822">
                          <w:marLeft w:val="0"/>
                          <w:marRight w:val="0"/>
                          <w:marTop w:val="0"/>
                          <w:marBottom w:val="0"/>
                          <w:divBdr>
                            <w:top w:val="none" w:sz="0" w:space="0" w:color="auto"/>
                            <w:left w:val="none" w:sz="0" w:space="0" w:color="auto"/>
                            <w:bottom w:val="none" w:sz="0" w:space="0" w:color="auto"/>
                            <w:right w:val="none" w:sz="0" w:space="0" w:color="auto"/>
                          </w:divBdr>
                          <w:divsChild>
                            <w:div w:id="37442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509864">
      <w:bodyDiv w:val="1"/>
      <w:marLeft w:val="0"/>
      <w:marRight w:val="0"/>
      <w:marTop w:val="0"/>
      <w:marBottom w:val="0"/>
      <w:divBdr>
        <w:top w:val="none" w:sz="0" w:space="0" w:color="auto"/>
        <w:left w:val="none" w:sz="0" w:space="0" w:color="auto"/>
        <w:bottom w:val="none" w:sz="0" w:space="0" w:color="auto"/>
        <w:right w:val="none" w:sz="0" w:space="0" w:color="auto"/>
      </w:divBdr>
    </w:div>
    <w:div w:id="569268471">
      <w:bodyDiv w:val="1"/>
      <w:marLeft w:val="0"/>
      <w:marRight w:val="0"/>
      <w:marTop w:val="0"/>
      <w:marBottom w:val="0"/>
      <w:divBdr>
        <w:top w:val="none" w:sz="0" w:space="0" w:color="auto"/>
        <w:left w:val="none" w:sz="0" w:space="0" w:color="auto"/>
        <w:bottom w:val="none" w:sz="0" w:space="0" w:color="auto"/>
        <w:right w:val="none" w:sz="0" w:space="0" w:color="auto"/>
      </w:divBdr>
    </w:div>
    <w:div w:id="615791765">
      <w:bodyDiv w:val="1"/>
      <w:marLeft w:val="0"/>
      <w:marRight w:val="0"/>
      <w:marTop w:val="0"/>
      <w:marBottom w:val="0"/>
      <w:divBdr>
        <w:top w:val="none" w:sz="0" w:space="0" w:color="auto"/>
        <w:left w:val="none" w:sz="0" w:space="0" w:color="auto"/>
        <w:bottom w:val="none" w:sz="0" w:space="0" w:color="auto"/>
        <w:right w:val="none" w:sz="0" w:space="0" w:color="auto"/>
      </w:divBdr>
    </w:div>
    <w:div w:id="648703828">
      <w:bodyDiv w:val="1"/>
      <w:marLeft w:val="0"/>
      <w:marRight w:val="0"/>
      <w:marTop w:val="0"/>
      <w:marBottom w:val="0"/>
      <w:divBdr>
        <w:top w:val="none" w:sz="0" w:space="0" w:color="auto"/>
        <w:left w:val="none" w:sz="0" w:space="0" w:color="auto"/>
        <w:bottom w:val="none" w:sz="0" w:space="0" w:color="auto"/>
        <w:right w:val="none" w:sz="0" w:space="0" w:color="auto"/>
      </w:divBdr>
    </w:div>
    <w:div w:id="663321890">
      <w:bodyDiv w:val="1"/>
      <w:marLeft w:val="0"/>
      <w:marRight w:val="0"/>
      <w:marTop w:val="0"/>
      <w:marBottom w:val="0"/>
      <w:divBdr>
        <w:top w:val="none" w:sz="0" w:space="0" w:color="auto"/>
        <w:left w:val="none" w:sz="0" w:space="0" w:color="auto"/>
        <w:bottom w:val="none" w:sz="0" w:space="0" w:color="auto"/>
        <w:right w:val="none" w:sz="0" w:space="0" w:color="auto"/>
      </w:divBdr>
    </w:div>
    <w:div w:id="767233821">
      <w:bodyDiv w:val="1"/>
      <w:marLeft w:val="0"/>
      <w:marRight w:val="0"/>
      <w:marTop w:val="0"/>
      <w:marBottom w:val="0"/>
      <w:divBdr>
        <w:top w:val="none" w:sz="0" w:space="0" w:color="auto"/>
        <w:left w:val="none" w:sz="0" w:space="0" w:color="auto"/>
        <w:bottom w:val="none" w:sz="0" w:space="0" w:color="auto"/>
        <w:right w:val="none" w:sz="0" w:space="0" w:color="auto"/>
      </w:divBdr>
    </w:div>
    <w:div w:id="785925283">
      <w:bodyDiv w:val="1"/>
      <w:marLeft w:val="0"/>
      <w:marRight w:val="0"/>
      <w:marTop w:val="0"/>
      <w:marBottom w:val="0"/>
      <w:divBdr>
        <w:top w:val="none" w:sz="0" w:space="0" w:color="auto"/>
        <w:left w:val="none" w:sz="0" w:space="0" w:color="auto"/>
        <w:bottom w:val="none" w:sz="0" w:space="0" w:color="auto"/>
        <w:right w:val="none" w:sz="0" w:space="0" w:color="auto"/>
      </w:divBdr>
    </w:div>
    <w:div w:id="859591811">
      <w:bodyDiv w:val="1"/>
      <w:marLeft w:val="0"/>
      <w:marRight w:val="0"/>
      <w:marTop w:val="0"/>
      <w:marBottom w:val="0"/>
      <w:divBdr>
        <w:top w:val="none" w:sz="0" w:space="0" w:color="auto"/>
        <w:left w:val="none" w:sz="0" w:space="0" w:color="auto"/>
        <w:bottom w:val="none" w:sz="0" w:space="0" w:color="auto"/>
        <w:right w:val="none" w:sz="0" w:space="0" w:color="auto"/>
      </w:divBdr>
    </w:div>
    <w:div w:id="913703527">
      <w:bodyDiv w:val="1"/>
      <w:marLeft w:val="0"/>
      <w:marRight w:val="0"/>
      <w:marTop w:val="0"/>
      <w:marBottom w:val="0"/>
      <w:divBdr>
        <w:top w:val="none" w:sz="0" w:space="0" w:color="auto"/>
        <w:left w:val="none" w:sz="0" w:space="0" w:color="auto"/>
        <w:bottom w:val="none" w:sz="0" w:space="0" w:color="auto"/>
        <w:right w:val="none" w:sz="0" w:space="0" w:color="auto"/>
      </w:divBdr>
    </w:div>
    <w:div w:id="933822577">
      <w:bodyDiv w:val="1"/>
      <w:marLeft w:val="0"/>
      <w:marRight w:val="0"/>
      <w:marTop w:val="0"/>
      <w:marBottom w:val="0"/>
      <w:divBdr>
        <w:top w:val="none" w:sz="0" w:space="0" w:color="auto"/>
        <w:left w:val="none" w:sz="0" w:space="0" w:color="auto"/>
        <w:bottom w:val="none" w:sz="0" w:space="0" w:color="auto"/>
        <w:right w:val="none" w:sz="0" w:space="0" w:color="auto"/>
      </w:divBdr>
    </w:div>
    <w:div w:id="971400087">
      <w:bodyDiv w:val="1"/>
      <w:marLeft w:val="0"/>
      <w:marRight w:val="0"/>
      <w:marTop w:val="0"/>
      <w:marBottom w:val="0"/>
      <w:divBdr>
        <w:top w:val="none" w:sz="0" w:space="0" w:color="auto"/>
        <w:left w:val="none" w:sz="0" w:space="0" w:color="auto"/>
        <w:bottom w:val="none" w:sz="0" w:space="0" w:color="auto"/>
        <w:right w:val="none" w:sz="0" w:space="0" w:color="auto"/>
      </w:divBdr>
    </w:div>
    <w:div w:id="983579915">
      <w:bodyDiv w:val="1"/>
      <w:marLeft w:val="0"/>
      <w:marRight w:val="0"/>
      <w:marTop w:val="0"/>
      <w:marBottom w:val="0"/>
      <w:divBdr>
        <w:top w:val="none" w:sz="0" w:space="0" w:color="auto"/>
        <w:left w:val="none" w:sz="0" w:space="0" w:color="auto"/>
        <w:bottom w:val="none" w:sz="0" w:space="0" w:color="auto"/>
        <w:right w:val="none" w:sz="0" w:space="0" w:color="auto"/>
      </w:divBdr>
    </w:div>
    <w:div w:id="994258332">
      <w:bodyDiv w:val="1"/>
      <w:marLeft w:val="0"/>
      <w:marRight w:val="0"/>
      <w:marTop w:val="0"/>
      <w:marBottom w:val="0"/>
      <w:divBdr>
        <w:top w:val="none" w:sz="0" w:space="0" w:color="auto"/>
        <w:left w:val="none" w:sz="0" w:space="0" w:color="auto"/>
        <w:bottom w:val="none" w:sz="0" w:space="0" w:color="auto"/>
        <w:right w:val="none" w:sz="0" w:space="0" w:color="auto"/>
      </w:divBdr>
    </w:div>
    <w:div w:id="1017779587">
      <w:bodyDiv w:val="1"/>
      <w:marLeft w:val="0"/>
      <w:marRight w:val="0"/>
      <w:marTop w:val="0"/>
      <w:marBottom w:val="0"/>
      <w:divBdr>
        <w:top w:val="none" w:sz="0" w:space="0" w:color="auto"/>
        <w:left w:val="none" w:sz="0" w:space="0" w:color="auto"/>
        <w:bottom w:val="none" w:sz="0" w:space="0" w:color="auto"/>
        <w:right w:val="none" w:sz="0" w:space="0" w:color="auto"/>
      </w:divBdr>
    </w:div>
    <w:div w:id="1072115883">
      <w:bodyDiv w:val="1"/>
      <w:marLeft w:val="0"/>
      <w:marRight w:val="0"/>
      <w:marTop w:val="0"/>
      <w:marBottom w:val="0"/>
      <w:divBdr>
        <w:top w:val="none" w:sz="0" w:space="0" w:color="auto"/>
        <w:left w:val="none" w:sz="0" w:space="0" w:color="auto"/>
        <w:bottom w:val="none" w:sz="0" w:space="0" w:color="auto"/>
        <w:right w:val="none" w:sz="0" w:space="0" w:color="auto"/>
      </w:divBdr>
    </w:div>
    <w:div w:id="1081833990">
      <w:bodyDiv w:val="1"/>
      <w:marLeft w:val="0"/>
      <w:marRight w:val="0"/>
      <w:marTop w:val="0"/>
      <w:marBottom w:val="0"/>
      <w:divBdr>
        <w:top w:val="none" w:sz="0" w:space="0" w:color="auto"/>
        <w:left w:val="none" w:sz="0" w:space="0" w:color="auto"/>
        <w:bottom w:val="none" w:sz="0" w:space="0" w:color="auto"/>
        <w:right w:val="none" w:sz="0" w:space="0" w:color="auto"/>
      </w:divBdr>
    </w:div>
    <w:div w:id="1090389743">
      <w:bodyDiv w:val="1"/>
      <w:marLeft w:val="0"/>
      <w:marRight w:val="0"/>
      <w:marTop w:val="0"/>
      <w:marBottom w:val="0"/>
      <w:divBdr>
        <w:top w:val="none" w:sz="0" w:space="0" w:color="auto"/>
        <w:left w:val="none" w:sz="0" w:space="0" w:color="auto"/>
        <w:bottom w:val="none" w:sz="0" w:space="0" w:color="auto"/>
        <w:right w:val="none" w:sz="0" w:space="0" w:color="auto"/>
      </w:divBdr>
    </w:div>
    <w:div w:id="1167281364">
      <w:bodyDiv w:val="1"/>
      <w:marLeft w:val="0"/>
      <w:marRight w:val="0"/>
      <w:marTop w:val="0"/>
      <w:marBottom w:val="0"/>
      <w:divBdr>
        <w:top w:val="none" w:sz="0" w:space="0" w:color="auto"/>
        <w:left w:val="none" w:sz="0" w:space="0" w:color="auto"/>
        <w:bottom w:val="none" w:sz="0" w:space="0" w:color="auto"/>
        <w:right w:val="none" w:sz="0" w:space="0" w:color="auto"/>
      </w:divBdr>
      <w:divsChild>
        <w:div w:id="358971045">
          <w:marLeft w:val="-720"/>
          <w:marRight w:val="0"/>
          <w:marTop w:val="0"/>
          <w:marBottom w:val="0"/>
          <w:divBdr>
            <w:top w:val="none" w:sz="0" w:space="0" w:color="auto"/>
            <w:left w:val="none" w:sz="0" w:space="0" w:color="auto"/>
            <w:bottom w:val="none" w:sz="0" w:space="0" w:color="auto"/>
            <w:right w:val="none" w:sz="0" w:space="0" w:color="auto"/>
          </w:divBdr>
        </w:div>
      </w:divsChild>
    </w:div>
    <w:div w:id="1226258948">
      <w:bodyDiv w:val="1"/>
      <w:marLeft w:val="0"/>
      <w:marRight w:val="0"/>
      <w:marTop w:val="0"/>
      <w:marBottom w:val="0"/>
      <w:divBdr>
        <w:top w:val="none" w:sz="0" w:space="0" w:color="auto"/>
        <w:left w:val="none" w:sz="0" w:space="0" w:color="auto"/>
        <w:bottom w:val="none" w:sz="0" w:space="0" w:color="auto"/>
        <w:right w:val="none" w:sz="0" w:space="0" w:color="auto"/>
      </w:divBdr>
    </w:div>
    <w:div w:id="1229343934">
      <w:bodyDiv w:val="1"/>
      <w:marLeft w:val="0"/>
      <w:marRight w:val="0"/>
      <w:marTop w:val="0"/>
      <w:marBottom w:val="0"/>
      <w:divBdr>
        <w:top w:val="none" w:sz="0" w:space="0" w:color="auto"/>
        <w:left w:val="none" w:sz="0" w:space="0" w:color="auto"/>
        <w:bottom w:val="none" w:sz="0" w:space="0" w:color="auto"/>
        <w:right w:val="none" w:sz="0" w:space="0" w:color="auto"/>
      </w:divBdr>
      <w:divsChild>
        <w:div w:id="598172541">
          <w:marLeft w:val="0"/>
          <w:marRight w:val="0"/>
          <w:marTop w:val="0"/>
          <w:marBottom w:val="0"/>
          <w:divBdr>
            <w:top w:val="none" w:sz="0" w:space="0" w:color="auto"/>
            <w:left w:val="none" w:sz="0" w:space="0" w:color="auto"/>
            <w:bottom w:val="none" w:sz="0" w:space="0" w:color="auto"/>
            <w:right w:val="none" w:sz="0" w:space="0" w:color="auto"/>
          </w:divBdr>
          <w:divsChild>
            <w:div w:id="16954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4350">
      <w:bodyDiv w:val="1"/>
      <w:marLeft w:val="0"/>
      <w:marRight w:val="0"/>
      <w:marTop w:val="0"/>
      <w:marBottom w:val="0"/>
      <w:divBdr>
        <w:top w:val="none" w:sz="0" w:space="0" w:color="auto"/>
        <w:left w:val="none" w:sz="0" w:space="0" w:color="auto"/>
        <w:bottom w:val="none" w:sz="0" w:space="0" w:color="auto"/>
        <w:right w:val="none" w:sz="0" w:space="0" w:color="auto"/>
      </w:divBdr>
      <w:divsChild>
        <w:div w:id="1034308752">
          <w:marLeft w:val="0"/>
          <w:marRight w:val="0"/>
          <w:marTop w:val="0"/>
          <w:marBottom w:val="0"/>
          <w:divBdr>
            <w:top w:val="none" w:sz="0" w:space="0" w:color="auto"/>
            <w:left w:val="none" w:sz="0" w:space="0" w:color="auto"/>
            <w:bottom w:val="none" w:sz="0" w:space="0" w:color="auto"/>
            <w:right w:val="none" w:sz="0" w:space="0" w:color="auto"/>
          </w:divBdr>
          <w:divsChild>
            <w:div w:id="1511213730">
              <w:marLeft w:val="0"/>
              <w:marRight w:val="0"/>
              <w:marTop w:val="0"/>
              <w:marBottom w:val="0"/>
              <w:divBdr>
                <w:top w:val="none" w:sz="0" w:space="0" w:color="auto"/>
                <w:left w:val="none" w:sz="0" w:space="0" w:color="auto"/>
                <w:bottom w:val="none" w:sz="0" w:space="0" w:color="auto"/>
                <w:right w:val="none" w:sz="0" w:space="0" w:color="auto"/>
              </w:divBdr>
              <w:divsChild>
                <w:div w:id="1472753227">
                  <w:marLeft w:val="0"/>
                  <w:marRight w:val="0"/>
                  <w:marTop w:val="0"/>
                  <w:marBottom w:val="0"/>
                  <w:divBdr>
                    <w:top w:val="none" w:sz="0" w:space="0" w:color="auto"/>
                    <w:left w:val="none" w:sz="0" w:space="0" w:color="auto"/>
                    <w:bottom w:val="none" w:sz="0" w:space="0" w:color="auto"/>
                    <w:right w:val="none" w:sz="0" w:space="0" w:color="auto"/>
                  </w:divBdr>
                  <w:divsChild>
                    <w:div w:id="194779243">
                      <w:marLeft w:val="0"/>
                      <w:marRight w:val="0"/>
                      <w:marTop w:val="0"/>
                      <w:marBottom w:val="0"/>
                      <w:divBdr>
                        <w:top w:val="none" w:sz="0" w:space="0" w:color="auto"/>
                        <w:left w:val="none" w:sz="0" w:space="0" w:color="auto"/>
                        <w:bottom w:val="none" w:sz="0" w:space="0" w:color="auto"/>
                        <w:right w:val="none" w:sz="0" w:space="0" w:color="auto"/>
                      </w:divBdr>
                      <w:divsChild>
                        <w:div w:id="43405618">
                          <w:marLeft w:val="0"/>
                          <w:marRight w:val="0"/>
                          <w:marTop w:val="0"/>
                          <w:marBottom w:val="0"/>
                          <w:divBdr>
                            <w:top w:val="none" w:sz="0" w:space="0" w:color="auto"/>
                            <w:left w:val="none" w:sz="0" w:space="0" w:color="auto"/>
                            <w:bottom w:val="none" w:sz="0" w:space="0" w:color="auto"/>
                            <w:right w:val="none" w:sz="0" w:space="0" w:color="auto"/>
                          </w:divBdr>
                          <w:divsChild>
                            <w:div w:id="30350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5913082">
      <w:bodyDiv w:val="1"/>
      <w:marLeft w:val="0"/>
      <w:marRight w:val="0"/>
      <w:marTop w:val="0"/>
      <w:marBottom w:val="0"/>
      <w:divBdr>
        <w:top w:val="none" w:sz="0" w:space="0" w:color="auto"/>
        <w:left w:val="none" w:sz="0" w:space="0" w:color="auto"/>
        <w:bottom w:val="none" w:sz="0" w:space="0" w:color="auto"/>
        <w:right w:val="none" w:sz="0" w:space="0" w:color="auto"/>
      </w:divBdr>
    </w:div>
    <w:div w:id="1333796874">
      <w:bodyDiv w:val="1"/>
      <w:marLeft w:val="0"/>
      <w:marRight w:val="0"/>
      <w:marTop w:val="0"/>
      <w:marBottom w:val="0"/>
      <w:divBdr>
        <w:top w:val="none" w:sz="0" w:space="0" w:color="auto"/>
        <w:left w:val="none" w:sz="0" w:space="0" w:color="auto"/>
        <w:bottom w:val="none" w:sz="0" w:space="0" w:color="auto"/>
        <w:right w:val="none" w:sz="0" w:space="0" w:color="auto"/>
      </w:divBdr>
    </w:div>
    <w:div w:id="1399092295">
      <w:bodyDiv w:val="1"/>
      <w:marLeft w:val="0"/>
      <w:marRight w:val="0"/>
      <w:marTop w:val="0"/>
      <w:marBottom w:val="0"/>
      <w:divBdr>
        <w:top w:val="none" w:sz="0" w:space="0" w:color="auto"/>
        <w:left w:val="none" w:sz="0" w:space="0" w:color="auto"/>
        <w:bottom w:val="none" w:sz="0" w:space="0" w:color="auto"/>
        <w:right w:val="none" w:sz="0" w:space="0" w:color="auto"/>
      </w:divBdr>
    </w:div>
    <w:div w:id="1437554619">
      <w:bodyDiv w:val="1"/>
      <w:marLeft w:val="0"/>
      <w:marRight w:val="0"/>
      <w:marTop w:val="0"/>
      <w:marBottom w:val="0"/>
      <w:divBdr>
        <w:top w:val="none" w:sz="0" w:space="0" w:color="auto"/>
        <w:left w:val="none" w:sz="0" w:space="0" w:color="auto"/>
        <w:bottom w:val="none" w:sz="0" w:space="0" w:color="auto"/>
        <w:right w:val="none" w:sz="0" w:space="0" w:color="auto"/>
      </w:divBdr>
      <w:divsChild>
        <w:div w:id="1942563451">
          <w:marLeft w:val="0"/>
          <w:marRight w:val="0"/>
          <w:marTop w:val="0"/>
          <w:marBottom w:val="0"/>
          <w:divBdr>
            <w:top w:val="none" w:sz="0" w:space="0" w:color="auto"/>
            <w:left w:val="none" w:sz="0" w:space="0" w:color="auto"/>
            <w:bottom w:val="none" w:sz="0" w:space="0" w:color="auto"/>
            <w:right w:val="none" w:sz="0" w:space="0" w:color="auto"/>
          </w:divBdr>
          <w:divsChild>
            <w:div w:id="198924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7742">
      <w:bodyDiv w:val="1"/>
      <w:marLeft w:val="0"/>
      <w:marRight w:val="0"/>
      <w:marTop w:val="0"/>
      <w:marBottom w:val="0"/>
      <w:divBdr>
        <w:top w:val="none" w:sz="0" w:space="0" w:color="auto"/>
        <w:left w:val="none" w:sz="0" w:space="0" w:color="auto"/>
        <w:bottom w:val="none" w:sz="0" w:space="0" w:color="auto"/>
        <w:right w:val="none" w:sz="0" w:space="0" w:color="auto"/>
      </w:divBdr>
    </w:div>
    <w:div w:id="1530921138">
      <w:bodyDiv w:val="1"/>
      <w:marLeft w:val="0"/>
      <w:marRight w:val="0"/>
      <w:marTop w:val="0"/>
      <w:marBottom w:val="0"/>
      <w:divBdr>
        <w:top w:val="none" w:sz="0" w:space="0" w:color="auto"/>
        <w:left w:val="none" w:sz="0" w:space="0" w:color="auto"/>
        <w:bottom w:val="none" w:sz="0" w:space="0" w:color="auto"/>
        <w:right w:val="none" w:sz="0" w:space="0" w:color="auto"/>
      </w:divBdr>
    </w:div>
    <w:div w:id="1566839218">
      <w:bodyDiv w:val="1"/>
      <w:marLeft w:val="0"/>
      <w:marRight w:val="0"/>
      <w:marTop w:val="0"/>
      <w:marBottom w:val="0"/>
      <w:divBdr>
        <w:top w:val="none" w:sz="0" w:space="0" w:color="auto"/>
        <w:left w:val="none" w:sz="0" w:space="0" w:color="auto"/>
        <w:bottom w:val="none" w:sz="0" w:space="0" w:color="auto"/>
        <w:right w:val="none" w:sz="0" w:space="0" w:color="auto"/>
      </w:divBdr>
    </w:div>
    <w:div w:id="1629124461">
      <w:bodyDiv w:val="1"/>
      <w:marLeft w:val="0"/>
      <w:marRight w:val="0"/>
      <w:marTop w:val="0"/>
      <w:marBottom w:val="0"/>
      <w:divBdr>
        <w:top w:val="none" w:sz="0" w:space="0" w:color="auto"/>
        <w:left w:val="none" w:sz="0" w:space="0" w:color="auto"/>
        <w:bottom w:val="none" w:sz="0" w:space="0" w:color="auto"/>
        <w:right w:val="none" w:sz="0" w:space="0" w:color="auto"/>
      </w:divBdr>
      <w:divsChild>
        <w:div w:id="947002502">
          <w:marLeft w:val="-720"/>
          <w:marRight w:val="0"/>
          <w:marTop w:val="0"/>
          <w:marBottom w:val="0"/>
          <w:divBdr>
            <w:top w:val="none" w:sz="0" w:space="0" w:color="auto"/>
            <w:left w:val="none" w:sz="0" w:space="0" w:color="auto"/>
            <w:bottom w:val="none" w:sz="0" w:space="0" w:color="auto"/>
            <w:right w:val="none" w:sz="0" w:space="0" w:color="auto"/>
          </w:divBdr>
        </w:div>
      </w:divsChild>
    </w:div>
    <w:div w:id="1641764105">
      <w:bodyDiv w:val="1"/>
      <w:marLeft w:val="0"/>
      <w:marRight w:val="0"/>
      <w:marTop w:val="0"/>
      <w:marBottom w:val="0"/>
      <w:divBdr>
        <w:top w:val="none" w:sz="0" w:space="0" w:color="auto"/>
        <w:left w:val="none" w:sz="0" w:space="0" w:color="auto"/>
        <w:bottom w:val="none" w:sz="0" w:space="0" w:color="auto"/>
        <w:right w:val="none" w:sz="0" w:space="0" w:color="auto"/>
      </w:divBdr>
    </w:div>
    <w:div w:id="1648363297">
      <w:bodyDiv w:val="1"/>
      <w:marLeft w:val="0"/>
      <w:marRight w:val="0"/>
      <w:marTop w:val="0"/>
      <w:marBottom w:val="0"/>
      <w:divBdr>
        <w:top w:val="none" w:sz="0" w:space="0" w:color="auto"/>
        <w:left w:val="none" w:sz="0" w:space="0" w:color="auto"/>
        <w:bottom w:val="none" w:sz="0" w:space="0" w:color="auto"/>
        <w:right w:val="none" w:sz="0" w:space="0" w:color="auto"/>
      </w:divBdr>
    </w:div>
    <w:div w:id="1679384190">
      <w:bodyDiv w:val="1"/>
      <w:marLeft w:val="0"/>
      <w:marRight w:val="0"/>
      <w:marTop w:val="0"/>
      <w:marBottom w:val="0"/>
      <w:divBdr>
        <w:top w:val="none" w:sz="0" w:space="0" w:color="auto"/>
        <w:left w:val="none" w:sz="0" w:space="0" w:color="auto"/>
        <w:bottom w:val="none" w:sz="0" w:space="0" w:color="auto"/>
        <w:right w:val="none" w:sz="0" w:space="0" w:color="auto"/>
      </w:divBdr>
    </w:div>
    <w:div w:id="1715157581">
      <w:bodyDiv w:val="1"/>
      <w:marLeft w:val="0"/>
      <w:marRight w:val="0"/>
      <w:marTop w:val="0"/>
      <w:marBottom w:val="0"/>
      <w:divBdr>
        <w:top w:val="none" w:sz="0" w:space="0" w:color="auto"/>
        <w:left w:val="none" w:sz="0" w:space="0" w:color="auto"/>
        <w:bottom w:val="none" w:sz="0" w:space="0" w:color="auto"/>
        <w:right w:val="none" w:sz="0" w:space="0" w:color="auto"/>
      </w:divBdr>
    </w:div>
    <w:div w:id="1836649782">
      <w:bodyDiv w:val="1"/>
      <w:marLeft w:val="0"/>
      <w:marRight w:val="0"/>
      <w:marTop w:val="0"/>
      <w:marBottom w:val="0"/>
      <w:divBdr>
        <w:top w:val="none" w:sz="0" w:space="0" w:color="auto"/>
        <w:left w:val="none" w:sz="0" w:space="0" w:color="auto"/>
        <w:bottom w:val="none" w:sz="0" w:space="0" w:color="auto"/>
        <w:right w:val="none" w:sz="0" w:space="0" w:color="auto"/>
      </w:divBdr>
    </w:div>
    <w:div w:id="1947542370">
      <w:bodyDiv w:val="1"/>
      <w:marLeft w:val="0"/>
      <w:marRight w:val="0"/>
      <w:marTop w:val="0"/>
      <w:marBottom w:val="0"/>
      <w:divBdr>
        <w:top w:val="none" w:sz="0" w:space="0" w:color="auto"/>
        <w:left w:val="none" w:sz="0" w:space="0" w:color="auto"/>
        <w:bottom w:val="none" w:sz="0" w:space="0" w:color="auto"/>
        <w:right w:val="none" w:sz="0" w:space="0" w:color="auto"/>
      </w:divBdr>
    </w:div>
    <w:div w:id="1983267533">
      <w:bodyDiv w:val="1"/>
      <w:marLeft w:val="0"/>
      <w:marRight w:val="0"/>
      <w:marTop w:val="0"/>
      <w:marBottom w:val="0"/>
      <w:divBdr>
        <w:top w:val="none" w:sz="0" w:space="0" w:color="auto"/>
        <w:left w:val="none" w:sz="0" w:space="0" w:color="auto"/>
        <w:bottom w:val="none" w:sz="0" w:space="0" w:color="auto"/>
        <w:right w:val="none" w:sz="0" w:space="0" w:color="auto"/>
      </w:divBdr>
    </w:div>
    <w:div w:id="2005431766">
      <w:bodyDiv w:val="1"/>
      <w:marLeft w:val="0"/>
      <w:marRight w:val="0"/>
      <w:marTop w:val="0"/>
      <w:marBottom w:val="0"/>
      <w:divBdr>
        <w:top w:val="none" w:sz="0" w:space="0" w:color="auto"/>
        <w:left w:val="none" w:sz="0" w:space="0" w:color="auto"/>
        <w:bottom w:val="none" w:sz="0" w:space="0" w:color="auto"/>
        <w:right w:val="none" w:sz="0" w:space="0" w:color="auto"/>
      </w:divBdr>
    </w:div>
    <w:div w:id="2024354119">
      <w:bodyDiv w:val="1"/>
      <w:marLeft w:val="0"/>
      <w:marRight w:val="0"/>
      <w:marTop w:val="0"/>
      <w:marBottom w:val="0"/>
      <w:divBdr>
        <w:top w:val="none" w:sz="0" w:space="0" w:color="auto"/>
        <w:left w:val="none" w:sz="0" w:space="0" w:color="auto"/>
        <w:bottom w:val="none" w:sz="0" w:space="0" w:color="auto"/>
        <w:right w:val="none" w:sz="0" w:space="0" w:color="auto"/>
      </w:divBdr>
    </w:div>
    <w:div w:id="2057193781">
      <w:bodyDiv w:val="1"/>
      <w:marLeft w:val="0"/>
      <w:marRight w:val="0"/>
      <w:marTop w:val="0"/>
      <w:marBottom w:val="0"/>
      <w:divBdr>
        <w:top w:val="none" w:sz="0" w:space="0" w:color="auto"/>
        <w:left w:val="none" w:sz="0" w:space="0" w:color="auto"/>
        <w:bottom w:val="none" w:sz="0" w:space="0" w:color="auto"/>
        <w:right w:val="none" w:sz="0" w:space="0" w:color="auto"/>
      </w:divBdr>
    </w:div>
    <w:div w:id="2085835517">
      <w:bodyDiv w:val="1"/>
      <w:marLeft w:val="0"/>
      <w:marRight w:val="0"/>
      <w:marTop w:val="0"/>
      <w:marBottom w:val="0"/>
      <w:divBdr>
        <w:top w:val="none" w:sz="0" w:space="0" w:color="auto"/>
        <w:left w:val="none" w:sz="0" w:space="0" w:color="auto"/>
        <w:bottom w:val="none" w:sz="0" w:space="0" w:color="auto"/>
        <w:right w:val="none" w:sz="0" w:space="0" w:color="auto"/>
      </w:divBdr>
      <w:divsChild>
        <w:div w:id="1711416606">
          <w:marLeft w:val="0"/>
          <w:marRight w:val="0"/>
          <w:marTop w:val="0"/>
          <w:marBottom w:val="0"/>
          <w:divBdr>
            <w:top w:val="none" w:sz="0" w:space="0" w:color="auto"/>
            <w:left w:val="none" w:sz="0" w:space="0" w:color="auto"/>
            <w:bottom w:val="none" w:sz="0" w:space="0" w:color="auto"/>
            <w:right w:val="none" w:sz="0" w:space="0" w:color="auto"/>
          </w:divBdr>
          <w:divsChild>
            <w:div w:id="1976450118">
              <w:marLeft w:val="0"/>
              <w:marRight w:val="0"/>
              <w:marTop w:val="0"/>
              <w:marBottom w:val="0"/>
              <w:divBdr>
                <w:top w:val="none" w:sz="0" w:space="0" w:color="auto"/>
                <w:left w:val="none" w:sz="0" w:space="0" w:color="auto"/>
                <w:bottom w:val="none" w:sz="0" w:space="0" w:color="auto"/>
                <w:right w:val="none" w:sz="0" w:space="0" w:color="auto"/>
              </w:divBdr>
              <w:divsChild>
                <w:div w:id="1955749277">
                  <w:marLeft w:val="0"/>
                  <w:marRight w:val="0"/>
                  <w:marTop w:val="0"/>
                  <w:marBottom w:val="0"/>
                  <w:divBdr>
                    <w:top w:val="none" w:sz="0" w:space="0" w:color="auto"/>
                    <w:left w:val="none" w:sz="0" w:space="0" w:color="auto"/>
                    <w:bottom w:val="none" w:sz="0" w:space="0" w:color="auto"/>
                    <w:right w:val="none" w:sz="0" w:space="0" w:color="auto"/>
                  </w:divBdr>
                  <w:divsChild>
                    <w:div w:id="1636059918">
                      <w:marLeft w:val="0"/>
                      <w:marRight w:val="0"/>
                      <w:marTop w:val="0"/>
                      <w:marBottom w:val="0"/>
                      <w:divBdr>
                        <w:top w:val="none" w:sz="0" w:space="0" w:color="auto"/>
                        <w:left w:val="none" w:sz="0" w:space="0" w:color="auto"/>
                        <w:bottom w:val="none" w:sz="0" w:space="0" w:color="auto"/>
                        <w:right w:val="none" w:sz="0" w:space="0" w:color="auto"/>
                      </w:divBdr>
                      <w:divsChild>
                        <w:div w:id="1273781994">
                          <w:marLeft w:val="0"/>
                          <w:marRight w:val="0"/>
                          <w:marTop w:val="0"/>
                          <w:marBottom w:val="0"/>
                          <w:divBdr>
                            <w:top w:val="none" w:sz="0" w:space="0" w:color="auto"/>
                            <w:left w:val="none" w:sz="0" w:space="0" w:color="auto"/>
                            <w:bottom w:val="none" w:sz="0" w:space="0" w:color="auto"/>
                            <w:right w:val="none" w:sz="0" w:space="0" w:color="auto"/>
                          </w:divBdr>
                          <w:divsChild>
                            <w:div w:id="735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7068975">
      <w:bodyDiv w:val="1"/>
      <w:marLeft w:val="0"/>
      <w:marRight w:val="0"/>
      <w:marTop w:val="0"/>
      <w:marBottom w:val="0"/>
      <w:divBdr>
        <w:top w:val="none" w:sz="0" w:space="0" w:color="auto"/>
        <w:left w:val="none" w:sz="0" w:space="0" w:color="auto"/>
        <w:bottom w:val="none" w:sz="0" w:space="0" w:color="auto"/>
        <w:right w:val="none" w:sz="0" w:space="0" w:color="auto"/>
      </w:divBdr>
    </w:div>
    <w:div w:id="2117820601">
      <w:bodyDiv w:val="1"/>
      <w:marLeft w:val="0"/>
      <w:marRight w:val="0"/>
      <w:marTop w:val="0"/>
      <w:marBottom w:val="0"/>
      <w:divBdr>
        <w:top w:val="none" w:sz="0" w:space="0" w:color="auto"/>
        <w:left w:val="none" w:sz="0" w:space="0" w:color="auto"/>
        <w:bottom w:val="none" w:sz="0" w:space="0" w:color="auto"/>
        <w:right w:val="none" w:sz="0" w:space="0" w:color="auto"/>
      </w:divBdr>
    </w:div>
    <w:div w:id="2119596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8653/v1/N19-1423" TargetMode="External"/><Relationship Id="rId18" Type="http://schemas.openxmlformats.org/officeDocument/2006/relationships/hyperlink" Target="https://doi.org/10.1145/3531146.3533231" TargetMode="External"/><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yperlink" Target="https://arxiv.org/abs/2004.05150" TargetMode="External"/><Relationship Id="rId17" Type="http://schemas.openxmlformats.org/officeDocument/2006/relationships/hyperlink" Target="https://doi.org/10.18653/v1/N18-1100" TargetMode="Externa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hyperlink" Target="https://doi.org/10.1145/3287560.3287596" TargetMode="External"/><Relationship Id="rId20" Type="http://schemas.openxmlformats.org/officeDocument/2006/relationships/image" Target="media/image4.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18653/v1/W19-1909" TargetMode="Externa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doi.org/10.13026/1n74-ne17"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3.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doi.org/10.1038/s41597-022-01899-x"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CF0E789F3C4435BA0046ACF89AA1952"/>
        <w:category>
          <w:name w:val="General"/>
          <w:gallery w:val="placeholder"/>
        </w:category>
        <w:types>
          <w:type w:val="bbPlcHdr"/>
        </w:types>
        <w:behaviors>
          <w:behavior w:val="content"/>
        </w:behaviors>
        <w:guid w:val="{757DB6DB-3F11-4422-98E2-F55EA4760DA9}"/>
      </w:docPartPr>
      <w:docPartBody>
        <w:p w:rsidR="00FF4E97" w:rsidRDefault="0053486F" w:rsidP="0053486F">
          <w:pPr>
            <w:pStyle w:val="5CF0E789F3C4435BA0046ACF89AA1952"/>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86F"/>
    <w:rsid w:val="00023F30"/>
    <w:rsid w:val="000A1ABC"/>
    <w:rsid w:val="001B6A4A"/>
    <w:rsid w:val="002D2D36"/>
    <w:rsid w:val="00374339"/>
    <w:rsid w:val="004B3FBE"/>
    <w:rsid w:val="0053486F"/>
    <w:rsid w:val="00572626"/>
    <w:rsid w:val="005F1326"/>
    <w:rsid w:val="00667296"/>
    <w:rsid w:val="0071131B"/>
    <w:rsid w:val="00854516"/>
    <w:rsid w:val="008B3169"/>
    <w:rsid w:val="008F497E"/>
    <w:rsid w:val="00AC135F"/>
    <w:rsid w:val="00C04C41"/>
    <w:rsid w:val="00C820A8"/>
    <w:rsid w:val="00C9583D"/>
    <w:rsid w:val="00D47172"/>
    <w:rsid w:val="00DD4DD2"/>
    <w:rsid w:val="00E7152C"/>
    <w:rsid w:val="00EE7D38"/>
    <w:rsid w:val="00FF4E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CF0E789F3C4435BA0046ACF89AA1952">
    <w:name w:val="5CF0E789F3C4435BA0046ACF89AA1952"/>
    <w:rsid w:val="0053486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2026-04-21T00:00:00</PublishDate>
  <Abstract/>
  <CompanyAddress>DATA EXPLORATORY AND ANALYSIS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A7297B-77C0-4662-B357-E7469EC174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17</Pages>
  <Words>5147</Words>
  <Characters>29341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Project:  MIMIC ICD CODER ANALYSIS</vt:lpstr>
    </vt:vector>
  </TitlesOfParts>
  <Company>nancy tanaka</Company>
  <LinksUpToDate>false</LinksUpToDate>
  <CharactersWithSpaces>34420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exploratory data analysis of mimic-iv-note V2.2: cohort construction for multi-label icd-10 auto-coding</dc:title>
  <dc:subject>MSDS458- Nancy Tanak</dc:subject>
  <dc:creator>Nancy Tanaka</dc:creator>
  <cp:keywords/>
  <dc:description/>
  <cp:lastModifiedBy>Nancy Tanaka</cp:lastModifiedBy>
  <cp:revision>13</cp:revision>
  <cp:lastPrinted>2024-10-12T21:19:00Z</cp:lastPrinted>
  <dcterms:created xsi:type="dcterms:W3CDTF">2026-04-21T21:43:00Z</dcterms:created>
  <dcterms:modified xsi:type="dcterms:W3CDTF">2026-04-22T02:27:00Z</dcterms:modified>
</cp:coreProperties>
</file>