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40"/>
      </w:pPr>
      <w:r>
        <w:rPr>
          <w:rFonts w:ascii="Georgia" w:hAnsi="Georgia" w:cs="Georgia"/>
          <w:sz w:val="48"/>
          <w:sz-cs w:val="48"/>
          <w:b/>
          <w:spacing w:val="0"/>
          <w:color w:val="0F0E0B"/>
        </w:rPr>
        <w:t xml:space="preserve">Alpha Hours: Executive one-pager</w:t>
      </w:r>
    </w:p>
    <w:p>
      <w:pPr>
        <w:spacing w:after="168"/>
      </w:pPr>
      <w:r>
        <w:rPr>
          <w:rFonts w:ascii="Georgia" w:hAnsi="Georgia" w:cs="Georgia"/>
          <w:sz w:val="24"/>
          <w:sz-cs w:val="24"/>
          <w:b/>
          <w:spacing w:val="0"/>
          <w:color w:val="0F0E0B"/>
        </w:rPr>
        <w:t xml:space="preserve">Owner:</w:t>
      </w:r>
      <w:r>
        <w:rPr>
          <w:rFonts w:ascii="Georgia" w:hAnsi="Georgia" w:cs="Georgia"/>
          <w:sz w:val="24"/>
          <w:sz-cs w:val="24"/>
          <w:spacing w:val="0"/>
          <w:color w:val="0F0E0B"/>
        </w:rPr>
        <w:t xml:space="preserve"> Nancy Wisniewski Torvund, proposed Head of Alpha Hours. Revision August 27, 2026.</w:t>
      </w:r>
    </w:p>
    <w:p>
      <w:pPr>
        <w:spacing w:after="168"/>
      </w:pPr>
      <w:r>
        <w:rPr>
          <w:rFonts w:ascii="Georgia" w:hAnsi="Georgia" w:cs="Georgia"/>
          <w:sz w:val="33"/>
          <w:sz-cs w:val="33"/>
          <w:b/>
          <w:spacing w:val="0"/>
          <w:color w:val="0F0E0B"/>
        </w:rPr>
        <w:t xml:space="preserve">What it is</w:t>
      </w:r>
    </w:p>
    <w:p>
      <w:pPr>
        <w:spacing w:after="168"/>
      </w:pPr>
      <w:r>
        <w:rPr>
          <w:rFonts w:ascii="Georgia" w:hAnsi="Georgia" w:cs="Georgia"/>
          <w:sz w:val="24"/>
          <w:sz-cs w:val="24"/>
          <w:spacing w:val="0"/>
          <w:color w:val="0F0E0B"/>
        </w:rPr>
        <w:t xml:space="preserve">A mastery learning center inside Alpha campuses after the school day, built on the Kumon model and the Timeback platform. A member comes twice a week for a one-hour guided visit (two 25-minute mastery sessions in math and reading, a floor guide holding focus, Alpha bucks and shoutouts), practices 25 minutes a day at home on Timeback, and stays for as long as the family wants. Monthly membership, $1,750 in premium markets, $1,250 standard, $750 enrollment fee. Every seat serves ten members.</w:t>
      </w:r>
    </w:p>
    <w:p>
      <w:pPr>
        <w:spacing w:after="168"/>
      </w:pPr>
      <w:r>
        <w:rPr>
          <w:rFonts w:ascii="Georgia" w:hAnsi="Georgia" w:cs="Georgia"/>
          <w:sz w:val="33"/>
          <w:sz-cs w:val="33"/>
          <w:b/>
          <w:spacing w:val="0"/>
          <w:color w:val="0F0E0B"/>
        </w:rPr>
        <w:t xml:space="preserve">Who it is for</w:t>
      </w:r>
    </w:p>
    <w:p>
      <w:pPr>
        <w:spacing w:after="168"/>
      </w:pPr>
      <w:r>
        <w:rPr>
          <w:rFonts w:ascii="Georgia" w:hAnsi="Georgia" w:cs="Georgia"/>
          <w:sz w:val="24"/>
          <w:sz-cs w:val="24"/>
          <w:spacing w:val="0"/>
          <w:color w:val="0F0E0B"/>
        </w:rPr>
        <w:t xml:space="preserve">Three lanes in one room, same price, same visit. Stay: families who will never enroll at Alpha and want the best hour in the city after school; the largest lane, worth $21,000 a year for years. Considering: families deciding on Alpha, who pay while they try it and whose conversion conversation fires on monthly data. Path to yes: families Alpha told "not yet," who pay for a roadmap with measurable thresholds and a re-evaluation date instead of a letter. Current Alpha families join at 5 percent off.</w:t>
      </w:r>
    </w:p>
    <w:p>
      <w:pPr>
        <w:spacing w:after="168"/>
      </w:pPr>
      <w:r>
        <w:rPr>
          <w:rFonts w:ascii="Georgia" w:hAnsi="Georgia" w:cs="Georgia"/>
          <w:sz w:val="33"/>
          <w:sz-cs w:val="33"/>
          <w:b/>
          <w:spacing w:val="0"/>
          <w:color w:val="0F0E0B"/>
        </w:rPr>
        <w:t xml:space="preserve">Why Kumon</w:t>
      </w:r>
    </w:p>
    <w:p>
      <w:pPr>
        <w:spacing w:after="168"/>
      </w:pPr>
      <w:r>
        <w:rPr>
          <w:rFonts w:ascii="Georgia" w:hAnsi="Georgia" w:cs="Georgia"/>
          <w:sz w:val="24"/>
          <w:sz-cs w:val="24"/>
          <w:spacing w:val="0"/>
          <w:color w:val="0F0E0B"/>
        </w:rPr>
        <w:t xml:space="preserve">Kumon built the largest after-school business in the world (about four million students, about 25,000 centers, no teachers) on throughput per seat, short visits, daily practice, monthly billing and multi-year tenure. Alpha Hours keeps the business model and replaces the worksheet with Timeback, the instructor with a guide, and the gold star with Alpha's motivation system, at eight times the price.</w:t>
      </w:r>
    </w:p>
    <w:p>
      <w:pPr>
        <w:spacing w:after="168"/>
      </w:pPr>
      <w:r>
        <w:rPr>
          <w:rFonts w:ascii="Georgia" w:hAnsi="Georgia" w:cs="Georgia"/>
          <w:sz w:val="33"/>
          <w:sz-cs w:val="33"/>
          <w:b/>
          <w:spacing w:val="0"/>
          <w:color w:val="0F0E0B"/>
        </w:rPr>
        <w:t xml:space="preserve">The numbers</w:t>
      </w:r>
    </w:p>
    <w:p>
      <w:pPr>
        <w:ind w:left="720" w:first-line="-720"/>
      </w:pPr>
      <w:r>
        <w:rPr>
          <w:rFonts w:ascii="Georgia" w:hAnsi="Georgia" w:cs="Georgia"/>
          <w:sz w:val="24"/>
          <w:sz-cs w:val="24"/>
          <w:color w:val="0F0E0B"/>
        </w:rPr>
        <w:t xml:space="preserve"/>
        <w:tab/>
        <w:t xml:space="preserve">•</w:t>
        <w:tab/>
        <w:t xml:space="preserve"/>
      </w:r>
      <w:r>
        <w:rPr>
          <w:rFonts w:ascii="Georgia" w:hAnsi="Georgia" w:cs="Georgia"/>
          <w:sz w:val="24"/>
          <w:sz-cs w:val="24"/>
          <w:spacing w:val="0"/>
          <w:color w:val="0F0E0B"/>
        </w:rPr>
        <w:t xml:space="preserve">Pilot: October 19, 2026, six campuses (New York, Austin, Miami, Chicago, Greenwich, Boston), 400 seats, 4,000 members at capacity, $78M revenue, $67.6M net at capacity.</w:t>
      </w:r>
    </w:p>
    <w:p>
      <w:pPr>
        <w:ind w:left="720" w:first-line="-720"/>
      </w:pPr>
      <w:r>
        <w:rPr>
          <w:rFonts w:ascii="Georgia" w:hAnsi="Georgia" w:cs="Georgia"/>
          <w:sz w:val="24"/>
          <w:sz-cs w:val="24"/>
          <w:color w:val="0F0E0B"/>
        </w:rPr>
        <w:t xml:space="preserve"/>
        <w:tab/>
        <w:t xml:space="preserve">•</w:t>
        <w:tab/>
        <w:t xml:space="preserve"/>
      </w:r>
      <w:r>
        <w:rPr>
          <w:rFonts w:ascii="Georgia" w:hAnsi="Georgia" w:cs="Georgia"/>
          <w:sz w:val="24"/>
          <w:sz-cs w:val="24"/>
          <w:spacing w:val="0"/>
          <w:color w:val="0F0E0B"/>
        </w:rPr>
        <w:t xml:space="preserve">Year 1 plan, ramping to half full by October 2027: $25.9M revenue, $20.3M net, $39M exit run rate. Floor case nets $7.8M. Strong case nets $35.9M.</w:t>
      </w:r>
    </w:p>
    <w:p>
      <w:pPr>
        <w:ind w:left="720" w:first-line="-720"/>
      </w:pPr>
      <w:r>
        <w:rPr>
          <w:rFonts w:ascii="Georgia" w:hAnsi="Georgia" w:cs="Georgia"/>
          <w:sz w:val="24"/>
          <w:sz-cs w:val="24"/>
          <w:color w:val="0F0E0B"/>
        </w:rPr>
        <w:t xml:space="preserve"/>
        <w:tab/>
        <w:t xml:space="preserve">•</w:t>
        <w:tab/>
        <w:t xml:space="preserve"/>
      </w:r>
      <w:r>
        <w:rPr>
          <w:rFonts w:ascii="Georgia" w:hAnsi="Georgia" w:cs="Georgia"/>
          <w:sz w:val="24"/>
          <w:sz-cs w:val="24"/>
          <w:spacing w:val="0"/>
          <w:color w:val="0F0E0B"/>
        </w:rPr>
        <w:t xml:space="preserve">Contribution per premium member $19,180 a year (91 percent). Break-even 11 members a campus. Launch budget about $500K, covered by the first two months.</w:t>
      </w:r>
    </w:p>
    <w:p>
      <w:pPr>
        <w:ind w:left="720" w:first-line="-720"/>
      </w:pPr>
      <w:r>
        <w:rPr>
          <w:rFonts w:ascii="Georgia" w:hAnsi="Georgia" w:cs="Georgia"/>
          <w:sz w:val="24"/>
          <w:sz-cs w:val="24"/>
          <w:color w:val="0F0E0B"/>
        </w:rPr>
        <w:t xml:space="preserve"/>
        <w:tab/>
        <w:t xml:space="preserve">•</w:t>
        <w:tab/>
        <w:t xml:space="preserve"/>
      </w:r>
      <w:r>
        <w:rPr>
          <w:rFonts w:ascii="Georgia" w:hAnsi="Georgia" w:cs="Georgia"/>
          <w:sz w:val="24"/>
          <w:sz-cs w:val="24"/>
          <w:spacing w:val="0"/>
          <w:color w:val="0F0E0B"/>
        </w:rPr>
        <w:t xml:space="preserve">Feeder at plan peak: 800 families in the two conversion lanes; at 10 percent, 80 full-Alpha enrollments and about $19M of lifetime tuition. The P&amp;L clears at zero conversions.</w:t>
      </w:r>
    </w:p>
    <w:p>
      <w:pPr>
        <w:ind w:left="720" w:first-line="-720"/>
      </w:pPr>
      <w:r>
        <w:rPr>
          <w:rFonts w:ascii="Georgia" w:hAnsi="Georgia" w:cs="Georgia"/>
          <w:sz w:val="24"/>
          <w:sz-cs w:val="24"/>
          <w:color w:val="0F0E0B"/>
        </w:rPr>
        <w:t xml:space="preserve"/>
        <w:tab/>
        <w:t xml:space="preserve">•</w:t>
        <w:tab/>
        <w:t xml:space="preserve"/>
      </w:r>
      <w:r>
        <w:rPr>
          <w:rFonts w:ascii="Georgia" w:hAnsi="Georgia" w:cs="Georgia"/>
          <w:sz w:val="24"/>
          <w:sz-cs w:val="24"/>
          <w:spacing w:val="0"/>
          <w:color w:val="0F0E0B"/>
        </w:rPr>
        <w:t xml:space="preserve">Year 2, every campus (about 40): $230M revenue and $196M net at 50 percent fill; $461M and $403M at capacity. Company-owned satellites at $2.5M profit each.</w:t>
      </w:r>
    </w:p>
    <w:p>
      <w:pPr>
        <w:spacing w:after="168"/>
      </w:pPr>
      <w:r>
        <w:rPr>
          <w:rFonts w:ascii="Georgia" w:hAnsi="Georgia" w:cs="Georgia"/>
          <w:sz w:val="33"/>
          <w:sz-cs w:val="33"/>
          <w:b/>
          <w:spacing w:val="0"/>
          <w:color w:val="0F0E0B"/>
        </w:rPr>
        <w:t xml:space="preserve">Franchise verdict</w:t>
      </w:r>
    </w:p>
    <w:p>
      <w:pPr>
        <w:spacing w:after="168"/>
      </w:pPr>
      <w:r>
        <w:rPr>
          <w:rFonts w:ascii="Georgia" w:hAnsi="Georgia" w:cs="Georgia"/>
          <w:sz w:val="24"/>
          <w:sz-cs w:val="24"/>
          <w:spacing w:val="0"/>
          <w:color w:val="0F0E0B"/>
        </w:rPr>
        <w:t xml:space="preserve">No. A 150-member center earns Alpha $2.5M owned and $0.6M franchised. Kumon franchised because $200-a-month tuition could not fund company-owned centers. Alpha Hours has no such problem. Company-owned satellites from Year 2; franchising evaluated once, in Year 3, only for standard-tier markets Alpha will never enter.</w:t>
      </w:r>
    </w:p>
    <w:p>
      <w:pPr>
        <w:spacing w:after="168"/>
      </w:pPr>
      <w:r>
        <w:rPr>
          <w:rFonts w:ascii="Georgia" w:hAnsi="Georgia" w:cs="Georgia"/>
          <w:sz w:val="33"/>
          <w:sz-cs w:val="33"/>
          <w:b/>
          <w:spacing w:val="0"/>
          <w:color w:val="0F0E0B"/>
        </w:rPr>
        <w:t xml:space="preserve">Decision asked</w:t>
      </w:r>
    </w:p>
    <w:p>
      <w:pPr>
        <w:spacing w:after="168"/>
      </w:pPr>
      <w:r>
        <w:rPr>
          <w:rFonts w:ascii="Georgia" w:hAnsi="Georgia" w:cs="Georgia"/>
          <w:sz w:val="24"/>
          <w:sz-cs w:val="24"/>
          <w:spacing w:val="0"/>
          <w:color w:val="0F0E0B"/>
        </w:rPr>
        <w:t xml:space="preserve">Approve the six-campus October 19 launch, the central team ($1.35M), the $500K launch budget, and the admissions routing policy (every not-yet becomes a Path to yes membership). Wave 2 (14 more campuses, February 24, 2027) releases on the month-3 checkpoint: 20 percent fill, 92 percent monthly retention, no campus below 11 members.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CocoaOOXMLWriter/2487.3</generator>
</meta>
</file>