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7A1F3D"/>
          <w:sz w:val="64"/>
          <w:szCs w:val="64"/>
        </w:rPr>
        <w:t xml:space="preserve">MUSITECA</w:t>
      </w:r>
    </w:p>
    <w:p>
      <w:pPr>
        <w:spacing w:after="600" w:before="200"/>
        <w:jc w:val="center"/>
      </w:pPr>
      <w:r>
        <w:rPr>
          <w:color w:val="5A1730"/>
          <w:sz w:val="32"/>
          <w:szCs w:val="32"/>
        </w:rPr>
        <w:t xml:space="preserve">Análisis comparativo, auditoría de cumplimiento y plan de mejora</w:t>
      </w:r>
    </w:p>
    <w:p>
      <w:pPr>
        <w:spacing w:after="120"/>
        <w:jc w:val="center"/>
      </w:pPr>
      <w:r>
        <w:rPr>
          <w:sz w:val="24"/>
          <w:szCs w:val="24"/>
        </w:rPr>
        <w:t xml:space="preserve">Sistema propio vs. Manual de Usuario de referencia — Sistema de Inventario</w:t>
      </w:r>
    </w:p>
    <w:p>
      <w:pPr>
        <w:spacing w:after="900"/>
        <w:jc w:val="center"/>
      </w:pPr>
      <w:r>
        <w:rPr>
          <w:i/>
          <w:iCs/>
          <w:color w:val="555555"/>
          <w:sz w:val="22"/>
          <w:szCs w:val="22"/>
        </w:rPr>
        <w:t xml:space="preserve">H. Ayuntamiento de Tlalnepantla de Baz · Área de Cultura Comunitaria y Escuelas de Arte</w:t>
      </w:r>
    </w:p>
    <w:p>
      <w:pPr>
        <w:spacing w:after="60"/>
        <w:jc w:val="center"/>
      </w:pPr>
      <w:r>
        <w:rPr>
          <w:sz w:val="22"/>
          <w:szCs w:val="22"/>
        </w:rPr>
        <w:t xml:space="preserve">Preparado para: Nancy Villatori</w:t>
      </w:r>
    </w:p>
    <w:p>
      <w:pPr>
        <w:spacing w:after="60"/>
        <w:jc w:val="center"/>
      </w:pPr>
      <w:r>
        <w:rPr>
          <w:color w:val="555555"/>
          <w:sz w:val="20"/>
          <w:szCs w:val="20"/>
        </w:rPr>
        <w:t xml:space="preserve">Rol de revisión: Senior Software Engineer · Arquitecto de Software · Analista Funcional · UX Reviewer</w:t>
      </w:r>
    </w:p>
    <w:p>
      <w:pPr>
        <w:jc w:val="center"/>
      </w:pPr>
      <w:r>
        <w:rPr>
          <w:color w:val="555555"/>
          <w:sz w:val="20"/>
          <w:szCs w:val="20"/>
        </w:rPr>
        <w:t xml:space="preserve">24 de julio de 2026</w:t>
      </w:r>
    </w:p>
    <w:p>
      <w:r>
        <w:br w:type="page"/>
      </w:r>
    </w:p>
    <w:p>
      <w:pPr>
        <w:pStyle w:val="Heading1"/>
        <w:spacing w:after="160" w:before="360"/>
      </w:pPr>
      <w:r>
        <w:t xml:space="preserve">Contenido</w:t>
      </w:r>
    </w:p>
    <w:p>
      <w:pPr>
        <w:tabs>
          <w:tab w:val="right" w:pos="10080" w:leader="dot"/>
        </w:tabs>
        <w:spacing w:after="140"/>
      </w:pPr>
      <w:r>
        <w:t xml:space="preserve">1. Resumen ejecutivo</w:t>
      </w:r>
      <w:r>
        <w:ptab w:alignment="right" w:relativeTo="margin" w:leader="dot"/>
      </w:r>
      <w:r>
        <w:t xml:space="preserve">3</w:t>
      </w:r>
    </w:p>
    <w:p>
      <w:pPr>
        <w:tabs>
          <w:tab w:val="right" w:pos="10080" w:leader="dot"/>
        </w:tabs>
        <w:spacing w:after="140"/>
      </w:pPr>
      <w:r>
        <w:t xml:space="preserve">2. Inventario completo de requisitos del manual</w:t>
      </w:r>
      <w:r>
        <w:ptab w:alignment="right" w:relativeTo="margin" w:leader="dot"/>
      </w:r>
      <w:r>
        <w:t xml:space="preserve">4</w:t>
      </w:r>
    </w:p>
    <w:p>
      <w:pPr>
        <w:tabs>
          <w:tab w:val="right" w:pos="10080" w:leader="dot"/>
        </w:tabs>
        <w:spacing w:after="140"/>
      </w:pPr>
      <w:r>
        <w:t xml:space="preserve">3. Matriz de cumplimiento</w:t>
      </w:r>
      <w:r>
        <w:ptab w:alignment="right" w:relativeTo="margin" w:leader="dot"/>
      </w:r>
      <w:r>
        <w:t xml:space="preserve">6</w:t>
      </w:r>
    </w:p>
    <w:p>
      <w:pPr>
        <w:tabs>
          <w:tab w:val="right" w:pos="10080" w:leader="dot"/>
        </w:tabs>
        <w:spacing w:after="140"/>
      </w:pPr>
      <w:r>
        <w:t xml:space="preserve">4. Funcionalidades adicionales implementadas por el proyecto</w:t>
      </w:r>
      <w:r>
        <w:ptab w:alignment="right" w:relativeTo="margin" w:leader="dot"/>
      </w:r>
      <w:r>
        <w:t xml:space="preserve">8</w:t>
      </w:r>
    </w:p>
    <w:p>
      <w:pPr>
        <w:tabs>
          <w:tab w:val="right" w:pos="10080" w:leader="dot"/>
        </w:tabs>
        <w:spacing w:after="140"/>
      </w:pPr>
      <w:r>
        <w:t xml:space="preserve">5. Funcionalidades faltantes o parciales</w:t>
      </w:r>
      <w:r>
        <w:ptab w:alignment="right" w:relativeTo="margin" w:leader="dot"/>
      </w:r>
      <w:r>
        <w:t xml:space="preserve">9</w:t>
      </w:r>
    </w:p>
    <w:p>
      <w:pPr>
        <w:tabs>
          <w:tab w:val="right" w:pos="10080" w:leader="dot"/>
        </w:tabs>
        <w:spacing w:after="140"/>
      </w:pPr>
      <w:r>
        <w:t xml:space="preserve">6. Riesgos detectados</w:t>
      </w:r>
      <w:r>
        <w:ptab w:alignment="right" w:relativeTo="margin" w:leader="dot"/>
      </w:r>
      <w:r>
        <w:t xml:space="preserve">10</w:t>
      </w:r>
    </w:p>
    <w:p>
      <w:pPr>
        <w:tabs>
          <w:tab w:val="right" w:pos="10080" w:leader="dot"/>
        </w:tabs>
        <w:spacing w:after="140"/>
      </w:pPr>
      <w:r>
        <w:t xml:space="preserve">7. Recomendaciones priorizadas</w:t>
      </w:r>
      <w:r>
        <w:ptab w:alignment="right" w:relativeTo="margin" w:leader="dot"/>
      </w:r>
      <w:r>
        <w:t xml:space="preserve">11</w:t>
      </w:r>
    </w:p>
    <w:p>
      <w:pPr>
        <w:tabs>
          <w:tab w:val="right" w:pos="10080" w:leader="dot"/>
        </w:tabs>
        <w:spacing w:after="140"/>
      </w:pPr>
      <w:r>
        <w:t xml:space="preserve">8. Plan de implementación</w:t>
      </w:r>
      <w:r>
        <w:ptab w:alignment="right" w:relativeTo="margin" w:leader="dot"/>
      </w:r>
      <w:r>
        <w:t xml:space="preserve">11</w:t>
      </w:r>
    </w:p>
    <w:p>
      <w:pPr>
        <w:tabs>
          <w:tab w:val="right" w:pos="10080" w:leader="dot"/>
        </w:tabs>
        <w:spacing w:after="140"/>
      </w:pPr>
      <w:r>
        <w:t xml:space="preserve">9. Implementación de las mejoras de mayor prioridad</w:t>
      </w:r>
      <w:r>
        <w:ptab w:alignment="right" w:relativeTo="margin" w:leader="dot"/>
      </w:r>
      <w:r>
        <w:t xml:space="preserve">13</w:t>
      </w:r>
    </w:p>
    <w:p>
      <w:r>
        <w:br w:type="page"/>
      </w:r>
    </w:p>
    <w:p>
      <w:pPr>
        <w:pStyle w:val="Heading1"/>
        <w:spacing w:after="160" w:before="360"/>
      </w:pPr>
      <w:r>
        <w:t xml:space="preserve">1. Resumen ejecutivo</w:t>
      </w:r>
    </w:p>
    <w:p>
      <w:pPr>
        <w:spacing w:after="160" w:line="276"/>
      </w:pPr>
      <w:r>
        <w:t xml:space="preserve">Musiteca es un sistema web (PHP 8 + MySQL + JavaScript vanilla + Bootstrap 5) desarrollado para digitalizar el inventario de instrumentos musicales, el control de préstamos/devoluciones, la gestión de incidencias y el soporte técnico del Área de Cultura Comunitaria y Escuelas de Arte del H. Ayuntamiento de Tlalnepantla de Baz. El manual de usuario proporcionado como referencia describe el comportamiento esperado de un sistema equivalente para la misma institución (plataforma web administrativa + aplicación operativa móvil), por lo que ambos documentos comparten de forma legítima terminología, módulos y objetivos: esa coincidencia responde al contexto institucional compartido, no a una copia.</w:t>
      </w:r>
    </w:p>
    <w:p>
      <w:pPr>
        <w:spacing w:after="160" w:line="276"/>
      </w:pPr>
      <w:r>
        <w:t xml:space="preserve">La revisión técnica del código fuente (aproximadamente 5,570 líneas distribuidas en config/, includes/, api/, assets/, app/ y database/) muestra un proyecto notablemente más maduro que lo que el manual describe como línea base. Musiteca no solo cubre la práctica totalidad de las funciones documentadas en el manual (inicio de sesión, gestión de instrumentos, indicadores en tiempo real, exportación de reportes, búsqueda y filtrado, alta de instrumentos, bitácora de trazabilidad, procesamiento de solicitudes e incidencias, aplicación operativa con escaneo de etiquetas y módulo de soporte técnico), sino que en la mayoría de los casos los implementa con controles adicionales que el manual ni siquiera contempla: protección CSRF de doble verificación, bloqueo de fuerza bruta en el inicio de sesión, bloqueo de filas (FOR UPDATE) para evitar condiciones de carrera en préstamos concurrentes, baja lógica auditable en instrumentos y usuarios, control de préstamos vencidos, y un panel analítico (préstamos por mes, ranking de instrumentos más solicitados, actividad reciente) que no existe en el sistema de referencia.</w:t>
      </w:r>
    </w:p>
    <w:p>
      <w:pPr>
        <w:spacing w:after="160" w:line="276"/>
      </w:pPr>
      <w:r>
        <w:t xml:space="preserve">Se detectaron tres brechas concretas dignas de atención. La más relevante es literal: el manual exige explícitamente (secciones 3.4 y 3.5) que los reportes de Inventario y Control se descarguen en formato .xlsx, mientras que los endpoints correspondientes generaban un archivo .csv con esa etiqueta engañosa ("Exportar Excel"). La segunda es una regla de negocio ausente: el sistema permitía dar de baja un instrumento que tenía un préstamo activo, lo que dejaría una solicitud abierta sin un bien válido al que devolver. La tercera es de mantenibilidad menor: el tamaño de página estaba duplicado como literal "10" en dos controladores en vez de leer la constante ya centralizada para ese propósito. Las tres se corrigieron directamente en el código como parte de este ejercicio (sección 9), sin alterar ningún flujo ni dato existente.</w:t>
      </w:r>
    </w:p>
    <w:p>
      <w:pPr>
        <w:spacing w:after="160" w:line="276"/>
      </w:pPr>
      <w:r>
        <w:t xml:space="preserve">El hallazgo funcional más delicado —y el único que requiere una decisión institucional, no solo una corrección de código— es el del escaneo de etiquetas en la app móvil (sección 4.4 del manual). El manual describe cuatro modalidades de lectura (seleccionar área del código, leer código completo, buscar por últimos dígitos, detectar automático) y menciona OCR en la sección de soporte técnico. La implementación actual usa la API nativa BarcodeDetector del navegador (lectura real de códigos de barras/QR) con respaldo manual, pero esa API solo puede leer una etiqueta si esta contiene un símbolo de código de barras o QR impreso; si las etiquetas físicas del CEMUART son solo texto numérico sin símbolo, la detección automática nunca se activará en la práctica. Esta discrepancia se documenta en la sección 5 y 7 como el riesgo de mayor impacto potencial, con una recomendación concreta condicionada a verificar el formato real de las etiquetas físicas.</w:t>
      </w:r>
    </w:p>
    <w:p>
      <w:pPr>
        <w:spacing w:after="160" w:line="276"/>
      </w:pPr>
      <w:r>
        <w:t xml:space="preserve">En conjunto, la evaluación profesional (sección 6) concluye que Musiteca no solo cumple los objetivos funcionales del manual de referencia, sino que los supera en robustez técnica, seguridad, trazabilidad y experiencia de usuario administrativa. El principal área de oportunidad no está en la lógica de negocio ya construida, sino en la ausencia de pruebas automatizadas y en cerrar la brecha de las etiquetas físicas antes de una puesta en producción formal.</w:t>
      </w:r>
    </w:p>
    <w:p>
      <w:pPr>
        <w:pStyle w:val="Heading1"/>
        <w:spacing w:after="160" w:before="360"/>
      </w:pPr>
      <w:r>
        <w:t xml:space="preserve">2. Inventario completo de requisitos del manual</w:t>
      </w:r>
    </w:p>
    <w:p>
      <w:pPr>
        <w:spacing w:after="160" w:line="276"/>
      </w:pPr>
      <w:r>
        <w:t xml:space="preserve">A continuación se documentan, sección por sección, todos los requisitos identificados en el manual de usuario, incluyendo los que están implícitos en el texto y en las capturas de pantalla referidas (no reproducidas aquí por no formar parte de este proyecto).</w:t>
      </w:r>
    </w:p>
    <w:p>
      <w:pPr>
        <w:pStyle w:val="Heading2"/>
        <w:spacing w:after="120" w:before="260"/>
      </w:pPr>
      <w:r>
        <w:t xml:space="preserve">2.1 Introducción y objetivo (secciones 1-2)</w:t>
      </w:r>
    </w:p>
    <w:p>
      <w:pPr>
        <w:pStyle w:val="ListParagraph"/>
        <w:numPr>
          <w:ilvl w:val="0"/>
          <w:numId w:val="1"/>
        </w:numPr>
        <w:spacing w:after="80" w:line="264"/>
      </w:pPr>
      <w:r>
        <w:t xml:space="preserve">Fundamento normativo: artículo 345 del Reglamento Interior de la Administración Pública Municipal de Tlalnepantla de Baz.</w:t>
      </w:r>
    </w:p>
    <w:p>
      <w:pPr>
        <w:pStyle w:val="ListParagraph"/>
        <w:numPr>
          <w:ilvl w:val="0"/>
          <w:numId w:val="1"/>
        </w:numPr>
        <w:spacing w:after="80" w:line="264"/>
      </w:pPr>
      <w:r>
        <w:t xml:space="preserve">Alcance patrimonial: más de 200 instrumentos musicales bajo resguardo del Área de Cultura Comunitaria y Escuelas de Arte.</w:t>
      </w:r>
    </w:p>
    <w:p>
      <w:pPr>
        <w:pStyle w:val="ListParagraph"/>
        <w:numPr>
          <w:ilvl w:val="0"/>
          <w:numId w:val="1"/>
        </w:numPr>
        <w:spacing w:after="80" w:line="264"/>
      </w:pPr>
      <w:r>
        <w:t xml:space="preserve">Usuarios finales del préstamo (no necesariamente usuarios del sistema): docentes y alumnos de las Escuelas de Iniciación Artística (INBAL) y talleristas del programa "CARACOLES".</w:t>
      </w:r>
    </w:p>
    <w:p>
      <w:pPr>
        <w:pStyle w:val="ListParagraph"/>
        <w:numPr>
          <w:ilvl w:val="0"/>
          <w:numId w:val="1"/>
        </w:numPr>
        <w:spacing w:after="80" w:line="264"/>
      </w:pPr>
      <w:r>
        <w:t xml:space="preserve">Objetivo: plataforma web administrativa + aplicación móvil operativa, con control diario, puntual y particular de cada bien, y trazabilidad de los activos.</w:t>
      </w:r>
    </w:p>
    <w:p>
      <w:pPr>
        <w:pStyle w:val="Heading2"/>
        <w:spacing w:after="120" w:before="260"/>
      </w:pPr>
      <w:r>
        <w:t xml:space="preserve">2.2 Ingreso al sistema web principal (3.1)</w:t>
      </w:r>
    </w:p>
    <w:p>
      <w:pPr>
        <w:pStyle w:val="ListParagraph"/>
        <w:numPr>
          <w:ilvl w:val="0"/>
          <w:numId w:val="1"/>
        </w:numPr>
        <w:spacing w:after="80" w:line="264"/>
      </w:pPr>
      <w:r>
        <w:t xml:space="preserve">Acceso restringido a personal autorizado mediante URL institucional dedicada (login.php).</w:t>
      </w:r>
    </w:p>
    <w:p>
      <w:pPr>
        <w:pStyle w:val="ListParagraph"/>
        <w:numPr>
          <w:ilvl w:val="0"/>
          <w:numId w:val="1"/>
        </w:numPr>
        <w:spacing w:after="80" w:line="264"/>
      </w:pPr>
      <w:r>
        <w:t xml:space="preserve">Formulario de usuario y contraseña, ambos obligatorios (regla de validación implícita).</w:t>
      </w:r>
    </w:p>
    <w:p>
      <w:pPr>
        <w:pStyle w:val="ListParagraph"/>
        <w:numPr>
          <w:ilvl w:val="0"/>
          <w:numId w:val="1"/>
        </w:numPr>
        <w:spacing w:after="80" w:line="264"/>
      </w:pPr>
      <w:r>
        <w:t xml:space="preserve">Tras validar credenciales, redirección a un Dashboard con privilegios según el perfil del usuario (implica control de acceso basado en roles).</w:t>
      </w:r>
    </w:p>
    <w:p>
      <w:pPr>
        <w:pStyle w:val="Heading2"/>
        <w:spacing w:after="120" w:before="260"/>
      </w:pPr>
      <w:r>
        <w:t xml:space="preserve">2.3 Módulo de Gestión de Instrumentos / Dashboard (3.2-3.3)</w:t>
      </w:r>
    </w:p>
    <w:p>
      <w:pPr>
        <w:pStyle w:val="ListParagraph"/>
        <w:numPr>
          <w:ilvl w:val="0"/>
          <w:numId w:val="1"/>
        </w:numPr>
        <w:spacing w:after="80" w:line="264"/>
      </w:pPr>
      <w:r>
        <w:t xml:space="preserve">Centro de control operativo y estadístico del patrimonio musical, como pantalla de aterrizaje tras el login.</w:t>
      </w:r>
    </w:p>
    <w:p>
      <w:pPr>
        <w:pStyle w:val="ListParagraph"/>
        <w:numPr>
          <w:ilvl w:val="0"/>
          <w:numId w:val="1"/>
        </w:numPr>
        <w:spacing w:after="80" w:line="264"/>
      </w:pPr>
      <w:r>
        <w:t xml:space="preserve">Barra de 4 indicadores en tiempo real: Total de instrumentos (tarjeta guinda), Disponibles (verde), En Uso (amarilla), En Reparación (roja).</w:t>
      </w:r>
    </w:p>
    <w:p>
      <w:pPr>
        <w:pStyle w:val="ListParagraph"/>
        <w:numPr>
          <w:ilvl w:val="0"/>
          <w:numId w:val="1"/>
        </w:numPr>
        <w:spacing w:after="80" w:line="264"/>
      </w:pPr>
      <w:r>
        <w:t xml:space="preserve">Los indicadores deben reflejar cifras exactas y actualizadas del estado físico/logístico del patrimonio.</w:t>
      </w:r>
    </w:p>
    <w:p>
      <w:pPr>
        <w:pStyle w:val="Heading2"/>
        <w:spacing w:after="120" w:before="260"/>
      </w:pPr>
      <w:r>
        <w:t xml:space="preserve">2.4 Exportación y descarga de reportes (3.4-3.5)</w:t>
      </w:r>
    </w:p>
    <w:p>
      <w:pPr>
        <w:pStyle w:val="ListParagraph"/>
        <w:numPr>
          <w:ilvl w:val="0"/>
          <w:numId w:val="1"/>
        </w:numPr>
        <w:spacing w:after="80" w:line="264"/>
      </w:pPr>
      <w:r>
        <w:t xml:space="preserve">Módulo de Inventario: botón "Exportar Excel" que genera de inmediato un archivo descargable en formato .xlsx con la estructura completa del inventario.</w:t>
      </w:r>
    </w:p>
    <w:p>
      <w:pPr>
        <w:pStyle w:val="ListParagraph"/>
        <w:numPr>
          <w:ilvl w:val="0"/>
          <w:numId w:val="1"/>
        </w:numPr>
        <w:spacing w:after="80" w:line="264"/>
      </w:pPr>
      <w:r>
        <w:t xml:space="preserve">Módulo de Control: botón "Exportar Control Excel" que genera un archivo .xlsx del histórico de solicitudes, préstamos activos y flujo logístico.</w:t>
      </w:r>
    </w:p>
    <w:p>
      <w:pPr>
        <w:pStyle w:val="ListParagraph"/>
        <w:numPr>
          <w:ilvl w:val="0"/>
          <w:numId w:val="1"/>
        </w:numPr>
        <w:spacing w:after="80" w:line="264"/>
      </w:pPr>
      <w:r>
        <w:t xml:space="preserve">Filtrado opcional por Estatus (Disponible / En Uso / En Reparación) y por rango de fechas antes de exportar, de forma independiente o combinada.</w:t>
      </w:r>
    </w:p>
    <w:p>
      <w:pPr>
        <w:pStyle w:val="Heading2"/>
        <w:spacing w:after="120" w:before="260"/>
      </w:pPr>
      <w:r>
        <w:t xml:space="preserve">2.5 Búsqueda y filtrado (3.6)</w:t>
      </w:r>
    </w:p>
    <w:p>
      <w:pPr>
        <w:pStyle w:val="ListParagraph"/>
        <w:numPr>
          <w:ilvl w:val="0"/>
          <w:numId w:val="1"/>
        </w:numPr>
        <w:spacing w:after="80" w:line="264"/>
      </w:pPr>
      <w:r>
        <w:t xml:space="preserve">Búsqueda global integrada en ambos módulos por Número de Inventario, Nombre del Instrumento o Ubicación.</w:t>
      </w:r>
    </w:p>
    <w:p>
      <w:pPr>
        <w:pStyle w:val="ListParagraph"/>
        <w:numPr>
          <w:ilvl w:val="0"/>
          <w:numId w:val="1"/>
        </w:numPr>
        <w:spacing w:after="80" w:line="264"/>
      </w:pPr>
      <w:r>
        <w:t xml:space="preserve">Filtro avanzado en Inventario por Condición Física: Bueno, Regular, Malo, Inservible.</w:t>
      </w:r>
    </w:p>
    <w:p>
      <w:pPr>
        <w:pStyle w:val="ListParagraph"/>
        <w:numPr>
          <w:ilvl w:val="0"/>
          <w:numId w:val="1"/>
        </w:numPr>
        <w:spacing w:after="80" w:line="264"/>
      </w:pPr>
      <w:r>
        <w:t xml:space="preserve">Filtro avanzado en Control por Estatus Logístico: Disponible, En Uso, En Reparación.</w:t>
      </w:r>
    </w:p>
    <w:p>
      <w:pPr>
        <w:pStyle w:val="ListParagraph"/>
        <w:numPr>
          <w:ilvl w:val="0"/>
          <w:numId w:val="1"/>
        </w:numPr>
        <w:spacing w:after="80" w:line="264"/>
      </w:pPr>
      <w:r>
        <w:t xml:space="preserve">Botón para borrar/limpiar la configuración de filtros aplicados.</w:t>
      </w:r>
    </w:p>
    <w:p>
      <w:pPr>
        <w:pStyle w:val="Heading2"/>
        <w:spacing w:after="120" w:before="260"/>
      </w:pPr>
      <w:r>
        <w:t xml:space="preserve">2.6 Alta y registro de nuevos instrumentos (3.7)</w:t>
      </w:r>
    </w:p>
    <w:p>
      <w:pPr>
        <w:pStyle w:val="ListParagraph"/>
        <w:numPr>
          <w:ilvl w:val="0"/>
          <w:numId w:val="1"/>
        </w:numPr>
        <w:spacing w:after="80" w:line="264"/>
      </w:pPr>
      <w:r>
        <w:t xml:space="preserve">Acceso mediante botón "+ Nuevo Instrumento" en la barra de herramientas superior del módulo de Inventario.</w:t>
      </w:r>
    </w:p>
    <w:p>
      <w:pPr>
        <w:pStyle w:val="ListParagraph"/>
        <w:numPr>
          <w:ilvl w:val="0"/>
          <w:numId w:val="1"/>
        </w:numPr>
        <w:spacing w:after="80" w:line="264"/>
      </w:pPr>
      <w:r>
        <w:t xml:space="preserve">Campos requeridos: Número de Inventario, Número de Inventario Anterior, Nombre del Instrumento, Marca, Modelo, Número de Serie, Ubicación Física, Estado Físico (condición).</w:t>
      </w:r>
    </w:p>
    <w:p>
      <w:pPr>
        <w:pStyle w:val="ListParagraph"/>
        <w:numPr>
          <w:ilvl w:val="0"/>
          <w:numId w:val="1"/>
        </w:numPr>
        <w:spacing w:after="80" w:line="264"/>
      </w:pPr>
      <w:r>
        <w:t xml:space="preserve">Implica una regla de unicidad sobre el Número de Inventario (identificador único y actual del bien).</w:t>
      </w:r>
    </w:p>
    <w:p>
      <w:pPr>
        <w:pStyle w:val="Heading2"/>
        <w:spacing w:after="120" w:before="260"/>
      </w:pPr>
      <w:r>
        <w:t xml:space="preserve">2.7 Barra de acciones y gestión individual (3.8)</w:t>
      </w:r>
    </w:p>
    <w:p>
      <w:pPr>
        <w:pStyle w:val="ListParagraph"/>
        <w:numPr>
          <w:ilvl w:val="0"/>
          <w:numId w:val="1"/>
        </w:numPr>
        <w:spacing w:after="80" w:line="264"/>
      </w:pPr>
      <w:r>
        <w:t xml:space="preserve">Acceso al expediente digital de cada instrumento mediante botón "Detalles".</w:t>
      </w:r>
    </w:p>
    <w:p>
      <w:pPr>
        <w:pStyle w:val="ListParagraph"/>
        <w:numPr>
          <w:ilvl w:val="0"/>
          <w:numId w:val="1"/>
        </w:numPr>
        <w:spacing w:after="80" w:line="264"/>
      </w:pPr>
      <w:r>
        <w:t xml:space="preserve">Herramientas de administración: Editar (actualizar atributos técnicos/administrativos) y Eliminar (dar de baja el activo del catálogo).</w:t>
      </w:r>
    </w:p>
    <w:p>
      <w:pPr>
        <w:pStyle w:val="ListParagraph"/>
        <w:numPr>
          <w:ilvl w:val="0"/>
          <w:numId w:val="1"/>
        </w:numPr>
        <w:spacing w:after="80" w:line="264"/>
      </w:pPr>
      <w:r>
        <w:t xml:space="preserve">Módulo de Trazabilidad Histórica / Bitácora de Movimientos: historial cronológico de solicitudes asociadas al instrumento, con la identidad de cada solicitante, como herramienta de auditoría interna de rotación y uso.</w:t>
      </w:r>
    </w:p>
    <w:p>
      <w:pPr>
        <w:pStyle w:val="Heading2"/>
        <w:spacing w:after="120" w:before="260"/>
      </w:pPr>
      <w:r>
        <w:t xml:space="preserve">2.8 Procesamiento de solicitudes e incidencias — web (3.9)</w:t>
      </w:r>
    </w:p>
    <w:p>
      <w:pPr>
        <w:pStyle w:val="ListParagraph"/>
        <w:numPr>
          <w:ilvl w:val="0"/>
          <w:numId w:val="1"/>
        </w:numPr>
        <w:spacing w:after="80" w:line="264"/>
      </w:pPr>
      <w:r>
        <w:t xml:space="preserve">Desde el módulo de Control, botón de Acciones con dos opciones: "Solicitar instrumento" y "Reportar problema".</w:t>
      </w:r>
    </w:p>
    <w:p>
      <w:pPr>
        <w:pStyle w:val="ListParagraph"/>
        <w:numPr>
          <w:ilvl w:val="0"/>
          <w:numId w:val="1"/>
        </w:numPr>
        <w:spacing w:after="80" w:line="264"/>
      </w:pPr>
      <w:r>
        <w:t xml:space="preserve">Formulario de solicitud/reporte con campos obligatorios y confirmación explícita antes de registrar la operación.</w:t>
      </w:r>
    </w:p>
    <w:p>
      <w:pPr>
        <w:pStyle w:val="Heading2"/>
        <w:spacing w:after="120" w:before="260"/>
      </w:pPr>
      <w:r>
        <w:t xml:space="preserve">2.9 Aplicación operativa móvil (4.1-4.3, 4.5)</w:t>
      </w:r>
    </w:p>
    <w:p>
      <w:pPr>
        <w:pStyle w:val="ListParagraph"/>
        <w:numPr>
          <w:ilvl w:val="0"/>
          <w:numId w:val="1"/>
        </w:numPr>
        <w:spacing w:after="80" w:line="264"/>
      </w:pPr>
      <w:r>
        <w:t xml:space="preserve">Acceso mediante URL dedicada de la app operativa, reutilizando el inicio de sesión de la plataforma.</w:t>
      </w:r>
    </w:p>
    <w:p>
      <w:pPr>
        <w:pStyle w:val="ListParagraph"/>
        <w:numPr>
          <w:ilvl w:val="0"/>
          <w:numId w:val="1"/>
        </w:numPr>
        <w:spacing w:after="80" w:line="264"/>
      </w:pPr>
      <w:r>
        <w:t xml:space="preserve">Búsqueda manual por Número de Inventario, Nombre, Marca, Modelo o Número de Serie, con botón de limpieza de filtros.</w:t>
      </w:r>
    </w:p>
    <w:p>
      <w:pPr>
        <w:pStyle w:val="ListParagraph"/>
        <w:numPr>
          <w:ilvl w:val="0"/>
          <w:numId w:val="1"/>
        </w:numPr>
        <w:spacing w:after="80" w:line="264"/>
      </w:pPr>
      <w:r>
        <w:t xml:space="preserve">Localización del instrumento y acciones "Solicitar" o "Reportar" con su formulario correspondiente.</w:t>
      </w:r>
    </w:p>
    <w:p>
      <w:pPr>
        <w:pStyle w:val="ListParagraph"/>
        <w:numPr>
          <w:ilvl w:val="0"/>
          <w:numId w:val="1"/>
        </w:numPr>
        <w:spacing w:after="80" w:line="264"/>
      </w:pPr>
      <w:r>
        <w:t xml:space="preserve">Solicitud masiva: acumular varios instrumentos mediante "Agregar a solicitud" y registrar un único formulario con los datos institucionales del solicitante al finalizar.</w:t>
      </w:r>
    </w:p>
    <w:p>
      <w:pPr>
        <w:pStyle w:val="ListParagraph"/>
        <w:numPr>
          <w:ilvl w:val="0"/>
          <w:numId w:val="1"/>
        </w:numPr>
        <w:spacing w:after="80" w:line="264"/>
      </w:pPr>
      <w:r>
        <w:t xml:space="preserve">Alta de nuevos instrumentos desde la app, mediante un módulo dedicado con formulario y botón "Guardar instrumento".</w:t>
      </w:r>
    </w:p>
    <w:p>
      <w:pPr>
        <w:pStyle w:val="Heading2"/>
        <w:spacing w:after="120" w:before="260"/>
      </w:pPr>
      <w:r>
        <w:t xml:space="preserve">2.10 Escaneo de etiquetado (4.4)</w:t>
      </w:r>
    </w:p>
    <w:p>
      <w:pPr>
        <w:pStyle w:val="ListParagraph"/>
        <w:numPr>
          <w:ilvl w:val="0"/>
          <w:numId w:val="1"/>
        </w:numPr>
        <w:spacing w:after="80" w:line="264"/>
      </w:pPr>
      <w:r>
        <w:t xml:space="preserve">Captura fotográfica del identificador del instrumento (íntegro o solo los últimos cuatro dígitos), en condiciones de legibilidad óptima.</w:t>
      </w:r>
    </w:p>
    <w:p>
      <w:pPr>
        <w:pStyle w:val="ListParagraph"/>
        <w:numPr>
          <w:ilvl w:val="0"/>
          <w:numId w:val="1"/>
        </w:numPr>
        <w:spacing w:after="80" w:line="264"/>
      </w:pPr>
      <w:r>
        <w:t xml:space="preserve">Cuatro modalidades de búsqueda tras la captura: Seleccionar área del código, Leer código completo, Buscar por últimos dígitos, Detectar automático.</w:t>
      </w:r>
    </w:p>
    <w:p>
      <w:pPr>
        <w:pStyle w:val="ListParagraph"/>
        <w:numPr>
          <w:ilvl w:val="0"/>
          <w:numId w:val="1"/>
        </w:numPr>
        <w:spacing w:after="80" w:line="264"/>
      </w:pPr>
      <w:r>
        <w:t xml:space="preserve">La sección 5 del manual menciona expresamente "fallas físicas en la captura óptica de imágenes (OCR)", lo que indica que el diseño de referencia asume una capacidad de reconocimiento óptico de caracteres, no únicamente de códigos de barras/QR.</w:t>
      </w:r>
    </w:p>
    <w:p>
      <w:pPr>
        <w:pStyle w:val="Heading2"/>
        <w:spacing w:after="120" w:before="260"/>
      </w:pPr>
      <w:r>
        <w:t xml:space="preserve">2.11 Soporte técnico y reporte de anomalías (5)</w:t>
      </w:r>
    </w:p>
    <w:p>
      <w:pPr>
        <w:pStyle w:val="ListParagraph"/>
        <w:numPr>
          <w:ilvl w:val="0"/>
          <w:numId w:val="1"/>
        </w:numPr>
        <w:spacing w:after="80" w:line="264"/>
      </w:pPr>
      <w:r>
        <w:t xml:space="preserve">Área responsable designada: Desarrollo de Sistemas.</w:t>
      </w:r>
    </w:p>
    <w:p>
      <w:pPr>
        <w:pStyle w:val="ListParagraph"/>
        <w:numPr>
          <w:ilvl w:val="0"/>
          <w:numId w:val="1"/>
        </w:numPr>
        <w:spacing w:after="80" w:line="264"/>
      </w:pPr>
      <w:r>
        <w:t xml:space="preserve">Datos obligatorios del reporte: módulo afectado (Plataforma Web o Aplicación Operativa), descripción breve de la falla, captura de pantalla del error, e identificador/número de inventario del instrumento en gestión (si aplica).</w:t>
      </w:r>
    </w:p>
    <w:p>
      <w:pPr>
        <w:pStyle w:val="Heading2"/>
        <w:spacing w:after="120" w:before="260"/>
      </w:pPr>
      <w:r>
        <w:t xml:space="preserve">2.12 Roles, permisos y reglas de negocio implícitas</w:t>
      </w:r>
    </w:p>
    <w:p>
      <w:pPr>
        <w:pStyle w:val="ListParagraph"/>
        <w:numPr>
          <w:ilvl w:val="0"/>
          <w:numId w:val="1"/>
        </w:numPr>
        <w:spacing w:after="80" w:line="264"/>
      </w:pPr>
      <w:r>
        <w:t xml:space="preserve">El manual distingue explícitamente "personal administrador" (acceso a la plataforma web) de "personal operativo" (mencionado en la sección de soporte como quien canaliza reportes), lo que implica al menos dos perfiles de acceso con distintos privilegios.</w:t>
      </w:r>
    </w:p>
    <w:p>
      <w:pPr>
        <w:pStyle w:val="ListParagraph"/>
        <w:numPr>
          <w:ilvl w:val="0"/>
          <w:numId w:val="1"/>
        </w:numPr>
        <w:spacing w:after="80" w:line="264"/>
      </w:pPr>
      <w:r>
        <w:t xml:space="preserve">Los solicitantes de préstamo (docentes, alumnos, talleristas) no son usuarios del sistema: el registro de sus datos se captura como texto libre dentro de la solicitud, no como una cuenta propia.</w:t>
      </w:r>
    </w:p>
    <w:p>
      <w:pPr>
        <w:pStyle w:val="ListParagraph"/>
        <w:numPr>
          <w:ilvl w:val="0"/>
          <w:numId w:val="1"/>
        </w:numPr>
        <w:spacing w:after="80" w:line="264"/>
      </w:pPr>
      <w:r>
        <w:t xml:space="preserve">Un instrumento no debería poder prestarse si ya está en uso (regla de disponibilidad implícita en el propio concepto de "En Uso" como estado excluyente).</w:t>
      </w:r>
    </w:p>
    <w:p>
      <w:pPr>
        <w:pStyle w:val="Heading1"/>
        <w:spacing w:after="160" w:before="360"/>
      </w:pPr>
      <w:r>
        <w:t xml:space="preserve">3. Matriz de cumplimiento</w:t>
      </w:r>
    </w:p>
    <w:p>
      <w:pPr>
        <w:spacing w:after="160" w:line="276"/>
      </w:pPr>
      <w:r>
        <w:t xml:space="preserve">Leyenda: Cumple = cumple completamente · Parcial = cumple parcialmente · No cumple = no implementado · Mejora = cumple superando lo descrito en el manual.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shd w:fill="7A1F3D" w:val="clear"/>
            <w:tcMar>
              <w:top w:type="dxa" w:w="80"/>
              <w:left w:type="dxa" w:w="100"/>
              <w:bottom w:type="dxa" w:w="80"/>
              <w:right w:type="dxa" w:w="100"/>
            </w:tcMar>
            <w:vAlign w:val="center"/>
          </w:tcPr>
          <w:p>
            <w:pPr>
              <w:jc w:val="left"/>
            </w:pPr>
            <w:r>
              <w:rPr>
                <w:b/>
                <w:bCs/>
                <w:color w:val="FFFFFF"/>
              </w:rPr>
              <w:t xml:space="preserve">Requisito del manual</w:t>
            </w:r>
          </w:p>
        </w:tc>
        <w:tc>
          <w:tcPr>
            <w:tcW w:type="dxa" w:w="1500"/>
            <w:shd w:fill="7A1F3D" w:val="clear"/>
            <w:tcMar>
              <w:top w:type="dxa" w:w="80"/>
              <w:left w:type="dxa" w:w="100"/>
              <w:bottom w:type="dxa" w:w="80"/>
              <w:right w:type="dxa" w:w="100"/>
            </w:tcMar>
            <w:vAlign w:val="center"/>
          </w:tcPr>
          <w:p>
            <w:pPr>
              <w:jc w:val="center"/>
            </w:pPr>
            <w:r>
              <w:rPr>
                <w:b/>
                <w:bCs/>
                <w:color w:val="FFFFFF"/>
              </w:rPr>
              <w:t xml:space="preserve">Estado</w:t>
            </w:r>
          </w:p>
        </w:tc>
        <w:tc>
          <w:tcPr>
            <w:tcW w:type="dxa" w:w="5180"/>
            <w:shd w:fill="7A1F3D" w:val="clear"/>
            <w:tcMar>
              <w:top w:type="dxa" w:w="80"/>
              <w:left w:type="dxa" w:w="100"/>
              <w:bottom w:type="dxa" w:w="80"/>
              <w:right w:type="dxa" w:w="100"/>
            </w:tcMar>
            <w:vAlign w:val="center"/>
          </w:tcPr>
          <w:p>
            <w:pPr>
              <w:jc w:val="left"/>
            </w:pPr>
            <w:r>
              <w:rPr>
                <w:b/>
                <w:bCs/>
                <w:color w:val="FFFFFF"/>
              </w:rPr>
              <w:t xml:space="preserve">Justificación técnica</w:t>
            </w:r>
          </w:p>
        </w:tc>
      </w:tr>
      <w:tr>
        <w:tc>
          <w:tcPr>
            <w:tcW w:type="dxa" w:w="3400"/>
            <w:tcMar>
              <w:top w:type="dxa" w:w="80"/>
              <w:left w:type="dxa" w:w="100"/>
              <w:bottom w:type="dxa" w:w="80"/>
              <w:right w:type="dxa" w:w="100"/>
            </w:tcMar>
            <w:vAlign w:val="center"/>
          </w:tcPr>
          <w:p>
            <w:pPr>
              <w:jc w:val="left"/>
            </w:pPr>
            <w:r>
              <w:rPr>
                <w:b w:val="false"/>
                <w:bCs w:val="false"/>
                <w:color w:val="000000"/>
              </w:rPr>
              <w:t xml:space="preserve">3.1 — Ingreso al sistema con usuario/contraseña y redirección por perfil</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tcMar>
              <w:top w:type="dxa" w:w="80"/>
              <w:left w:type="dxa" w:w="100"/>
              <w:bottom w:type="dxa" w:w="80"/>
              <w:right w:type="dxa" w:w="100"/>
            </w:tcMar>
            <w:vAlign w:val="center"/>
          </w:tcPr>
          <w:p>
            <w:pPr>
              <w:jc w:val="left"/>
            </w:pPr>
            <w:r>
              <w:rPr>
                <w:b w:val="false"/>
                <w:bCs w:val="false"/>
                <w:color w:val="000000"/>
              </w:rPr>
              <w:t xml:space="preserve">Implementado en login.php + includes/auth.php. Además de la validación básica, agrega bloqueo por fuerza bruta (5 intentos / 15 min, includes/auth.php: loginBloqueado), regeneración de sesión tras login, cookies httpOnly/SameSite=Lax y CSRF en el formulario — ninguno de estos controles se pide en el manual.</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3.2 — Dashboard como pantalla principal tras el login</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index.php redirige y renderiza el panel de Gestión de Instrumentos. Se añaden widgets analíticos (préstamos por mes, ranking de más solicitados, actividad reciente) no descritos en el manual, vía api/dashboard_resumen.php.</w:t>
            </w:r>
          </w:p>
        </w:tc>
      </w:tr>
      <w:tr>
        <w:tc>
          <w:tcPr>
            <w:tcW w:type="dxa" w:w="3400"/>
            <w:tcMar>
              <w:top w:type="dxa" w:w="80"/>
              <w:left w:type="dxa" w:w="100"/>
              <w:bottom w:type="dxa" w:w="80"/>
              <w:right w:type="dxa" w:w="100"/>
            </w:tcMar>
            <w:vAlign w:val="center"/>
          </w:tcPr>
          <w:p>
            <w:pPr>
              <w:jc w:val="left"/>
            </w:pPr>
            <w:r>
              <w:rPr>
                <w:b w:val="false"/>
                <w:bCs w:val="false"/>
                <w:color w:val="000000"/>
              </w:rPr>
              <w:t xml:space="preserve">3.3 — 4 indicadores en tiempo real (Total/Disponibles/En Uso/En Reparación)</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tcMar>
              <w:top w:type="dxa" w:w="80"/>
              <w:left w:type="dxa" w:w="100"/>
              <w:bottom w:type="dxa" w:w="80"/>
              <w:right w:type="dxa" w:w="100"/>
            </w:tcMar>
            <w:vAlign w:val="center"/>
          </w:tcPr>
          <w:p>
            <w:pPr>
              <w:jc w:val="left"/>
            </w:pPr>
            <w:r>
              <w:rPr>
                <w:b w:val="false"/>
                <w:bCs w:val="false"/>
                <w:color w:val="000000"/>
              </w:rPr>
              <w:t xml:space="preserve">index.php calcula los 4 KPIs con SQL agregada (SUM condicional) y api/instrumentos.php expone la acción 'kpis' para refresco asíncrono. Coincide 1:1 con las 4 tarjetas del manual.</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3.4/3.5 — Exportar reportes de Inventario y Control en formato .xlsx</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Antes de esta revisión, ambos endpoints (api/export_inventario.php, api/export_control.php) generaban un .csv con la etiqueta "Exportar Excel": no coincidía con el formato .xlsx exigido literalmente por el manual (estado original: parcial). Corregido en esta sesión (ver sección 9): ahora generan un .xlsx real mediante includes/xlsx_writer.php, sin cambiar la consulta ni el criterio de columnas.</w:t>
            </w:r>
          </w:p>
        </w:tc>
      </w:tr>
      <w:tr>
        <w:tc>
          <w:tcPr>
            <w:tcW w:type="dxa" w:w="3400"/>
            <w:tcMar>
              <w:top w:type="dxa" w:w="80"/>
              <w:left w:type="dxa" w:w="100"/>
              <w:bottom w:type="dxa" w:w="80"/>
              <w:right w:type="dxa" w:w="100"/>
            </w:tcMar>
            <w:vAlign w:val="center"/>
          </w:tcPr>
          <w:p>
            <w:pPr>
              <w:jc w:val="left"/>
            </w:pPr>
            <w:r>
              <w:rPr>
                <w:b w:val="false"/>
                <w:bCs w:val="false"/>
                <w:color w:val="000000"/>
              </w:rPr>
              <w:t xml:space="preserve">3.4/3.5 — Filtrado opcional por estatus y/o periodo antes de exportar</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tcMar>
              <w:top w:type="dxa" w:w="80"/>
              <w:left w:type="dxa" w:w="100"/>
              <w:bottom w:type="dxa" w:w="80"/>
              <w:right w:type="dxa" w:w="100"/>
            </w:tcMar>
            <w:vAlign w:val="center"/>
          </w:tcPr>
          <w:p>
            <w:pPr>
              <w:jc w:val="left"/>
            </w:pPr>
            <w:r>
              <w:rPr>
                <w:b w:val="false"/>
                <w:bCs w:val="false"/>
                <w:color w:val="000000"/>
              </w:rPr>
              <w:t xml:space="preserve">api/export_control.php permite combinar estado + fecha_inicio + fecha_fin en la misma consulta (AND), mientras que el manual los presenta como dos modos alternativos. La combinación es un superconjunto estrictamente más flexible.</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3.6 — Búsqueda global por N° inventario, nombre o ubicación</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api/instrumentos.php (acción 'listar') y api/control.php buscan con LIKE sobre num_inventario, nombre, marca, modelo, num_serie y ubicación; cubre y amplía los 3 criterios del manual.</w:t>
            </w:r>
          </w:p>
        </w:tc>
      </w:tr>
      <w:tr>
        <w:tc>
          <w:tcPr>
            <w:tcW w:type="dxa" w:w="3400"/>
            <w:tcMar>
              <w:top w:type="dxa" w:w="80"/>
              <w:left w:type="dxa" w:w="100"/>
              <w:bottom w:type="dxa" w:w="80"/>
              <w:right w:type="dxa" w:w="100"/>
            </w:tcMar>
            <w:vAlign w:val="center"/>
          </w:tcPr>
          <w:p>
            <w:pPr>
              <w:jc w:val="left"/>
            </w:pPr>
            <w:r>
              <w:rPr>
                <w:b w:val="false"/>
                <w:bCs w:val="false"/>
                <w:color w:val="000000"/>
              </w:rPr>
              <w:t xml:space="preserve">3.6 — Filtro por Condición Física (Bueno/Regular/Malo/Inservible)</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tcMar>
              <w:top w:type="dxa" w:w="80"/>
              <w:left w:type="dxa" w:w="100"/>
              <w:bottom w:type="dxa" w:w="80"/>
              <w:right w:type="dxa" w:w="100"/>
            </w:tcMar>
            <w:vAlign w:val="center"/>
          </w:tcPr>
          <w:p>
            <w:pPr>
              <w:jc w:val="left"/>
            </w:pPr>
            <w:r>
              <w:rPr>
                <w:b w:val="false"/>
                <w:bCs w:val="false"/>
                <w:color w:val="000000"/>
              </w:rPr>
              <w:t xml:space="preserve">Implementado en el módulo de Inventario (filtroCondicion) y validado en servidor contra CONDICIONES_INSTRUMENTO (config/constants.php).</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3.6 — Filtro por Estatus Logístico (Disponible/En Uso/En Reparación)</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Implementado en el módulo de Control, más un cuarto valor "Vencido" (préstamo activo con fecha de devolución esperada ya vencida) que el manual no contempla y que aporta control proactivo de morosidad.</w:t>
            </w:r>
          </w:p>
        </w:tc>
      </w:tr>
      <w:tr>
        <w:tc>
          <w:tcPr>
            <w:tcW w:type="dxa" w:w="3400"/>
            <w:tcMar>
              <w:top w:type="dxa" w:w="80"/>
              <w:left w:type="dxa" w:w="100"/>
              <w:bottom w:type="dxa" w:w="80"/>
              <w:right w:type="dxa" w:w="100"/>
            </w:tcMar>
            <w:vAlign w:val="center"/>
          </w:tcPr>
          <w:p>
            <w:pPr>
              <w:jc w:val="left"/>
            </w:pPr>
            <w:r>
              <w:rPr>
                <w:b w:val="false"/>
                <w:bCs w:val="false"/>
                <w:color w:val="000000"/>
              </w:rPr>
              <w:t xml:space="preserve">3.7 — Alta de instrumento con los 8 campos especificados</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tcMar>
              <w:top w:type="dxa" w:w="80"/>
              <w:left w:type="dxa" w:w="100"/>
              <w:bottom w:type="dxa" w:w="80"/>
              <w:right w:type="dxa" w:w="100"/>
            </w:tcMar>
            <w:vAlign w:val="center"/>
          </w:tcPr>
          <w:p>
            <w:pPr>
              <w:jc w:val="left"/>
            </w:pPr>
            <w:r>
              <w:rPr>
                <w:b w:val="false"/>
                <w:bCs w:val="false"/>
                <w:color w:val="000000"/>
              </w:rPr>
              <w:t xml:space="preserve">El formulario de api/instrumentos.php (acción 'guardar') y el modal en index.php capturan exactamente num_inventario, num_inventario_anterior, nombre, marca, modelo, num_serie, ubicacion_id y condicion, con validación de obligatoriedad y de unicidad (índice UNIQUE + manejo del error 23000).</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3.8 — Editar instrumento</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Acción 'guardar' con id&gt;0 actualiza el registro completo; restringida a rol administrador vía requerirAdministrador().</w:t>
            </w:r>
          </w:p>
        </w:tc>
      </w:tr>
      <w:tr>
        <w:tc>
          <w:tcPr>
            <w:tcW w:type="dxa" w:w="3400"/>
            <w:tcMar>
              <w:top w:type="dxa" w:w="80"/>
              <w:left w:type="dxa" w:w="100"/>
              <w:bottom w:type="dxa" w:w="80"/>
              <w:right w:type="dxa" w:w="100"/>
            </w:tcMar>
            <w:vAlign w:val="center"/>
          </w:tcPr>
          <w:p>
            <w:pPr>
              <w:jc w:val="left"/>
            </w:pPr>
            <w:r>
              <w:rPr>
                <w:b w:val="false"/>
                <w:bCs w:val="false"/>
                <w:color w:val="000000"/>
              </w:rPr>
              <w:t xml:space="preserve">3.8 — Eliminar (dar de baja) instrumento</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tcMar>
              <w:top w:type="dxa" w:w="80"/>
              <w:left w:type="dxa" w:w="100"/>
              <w:bottom w:type="dxa" w:w="80"/>
              <w:right w:type="dxa" w:w="100"/>
            </w:tcMar>
            <w:vAlign w:val="center"/>
          </w:tcPr>
          <w:p>
            <w:pPr>
              <w:jc w:val="left"/>
            </w:pPr>
            <w:r>
              <w:rPr>
                <w:b w:val="false"/>
                <w:bCs w:val="false"/>
                <w:color w:val="000000"/>
              </w:rPr>
              <w:t xml:space="preserve">El manual no distingue baja física de lógica. Musiteca usa baja lógica (activo=0, estado='baja', fecha_baja, motivo_baja) preservando el historial de préstamos e incidencias para auditoría — más seguro para un patrimonio público que un borrado físico.</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3.8 — Bitácora de trazabilidad histórica por instrumento</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api/instrumentos.php (acción 'detalle') devuelve hasta 15 movimientos recientes (solicitante, fechas, condición de devolución) más incidencias abiertas e historial de incidencias.</w:t>
            </w:r>
          </w:p>
        </w:tc>
      </w:tr>
      <w:tr>
        <w:tc>
          <w:tcPr>
            <w:tcW w:type="dxa" w:w="3400"/>
            <w:tcMar>
              <w:top w:type="dxa" w:w="80"/>
              <w:left w:type="dxa" w:w="100"/>
              <w:bottom w:type="dxa" w:w="80"/>
              <w:right w:type="dxa" w:w="100"/>
            </w:tcMar>
            <w:vAlign w:val="center"/>
          </w:tcPr>
          <w:p>
            <w:pPr>
              <w:jc w:val="left"/>
            </w:pPr>
            <w:r>
              <w:rPr>
                <w:b w:val="false"/>
                <w:bCs w:val="false"/>
                <w:color w:val="000000"/>
              </w:rPr>
              <w:t xml:space="preserve">3.9 — Procesar 'Solicitar instrumento' y 'Reportar problema' desde Control</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tcMar>
              <w:top w:type="dxa" w:w="80"/>
              <w:left w:type="dxa" w:w="100"/>
              <w:bottom w:type="dxa" w:w="80"/>
              <w:right w:type="dxa" w:w="100"/>
            </w:tcMar>
            <w:vAlign w:val="center"/>
          </w:tcPr>
          <w:p>
            <w:pPr>
              <w:jc w:val="left"/>
            </w:pPr>
            <w:r>
              <w:rPr>
                <w:b w:val="false"/>
                <w:bCs w:val="false"/>
                <w:color w:val="000000"/>
              </w:rPr>
              <w:t xml:space="preserve">api/solicitudes.php implementa ambos flujos con transacciones atómicas y bloqueo de fila (FOR UPDATE) para evitar que dos operadores presten el mismo instrumento en paralelo; además soporta préstamo múltiple (varios instrumentos, un solicitante, una sola operación), no descrito en esta sección del manual.</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3.9 — Registrar devolución con verificación de estado del bien</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finalizar_solicitud exige condición de devolución y, si hubo una incidencia abierta durante el préstamo, bloquea el cierre hasta que se declare una decisión explícita (disponible o mantenimiento) — un control de calidad no exigido por el manual.</w:t>
            </w:r>
          </w:p>
        </w:tc>
      </w:tr>
      <w:tr>
        <w:tc>
          <w:tcPr>
            <w:tcW w:type="dxa" w:w="3400"/>
            <w:tcMar>
              <w:top w:type="dxa" w:w="80"/>
              <w:left w:type="dxa" w:w="100"/>
              <w:bottom w:type="dxa" w:w="80"/>
              <w:right w:type="dxa" w:w="100"/>
            </w:tcMar>
            <w:vAlign w:val="center"/>
          </w:tcPr>
          <w:p>
            <w:pPr>
              <w:jc w:val="left"/>
            </w:pPr>
            <w:r>
              <w:rPr>
                <w:b w:val="false"/>
                <w:bCs w:val="false"/>
                <w:color w:val="000000"/>
              </w:rPr>
              <w:t xml:space="preserve">4.1 — Acceso a la aplicación operativa vía URL dedicada</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tcMar>
              <w:top w:type="dxa" w:w="80"/>
              <w:left w:type="dxa" w:w="100"/>
              <w:bottom w:type="dxa" w:w="80"/>
              <w:right w:type="dxa" w:w="100"/>
            </w:tcMar>
            <w:vAlign w:val="center"/>
          </w:tcPr>
          <w:p>
            <w:pPr>
              <w:jc w:val="left"/>
            </w:pPr>
            <w:r>
              <w:rPr>
                <w:b w:val="false"/>
                <w:bCs w:val="false"/>
                <w:color w:val="000000"/>
              </w:rPr>
              <w:t xml:space="preserve">app/index.php reutiliza la sesión de login.php y aplica requerirSesion(); no se pide una autenticación distinta, igual que en el manual.</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4.2 — Búsqueda manual por inventario/nombre/marca/modelo/serie con botón de limpieza</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app/app.js (buscarActivos) reutiliza la misma acción 'listar' de api/instrumentos.php; botón appBtnLimpiar reinicia la vista.</w:t>
            </w:r>
          </w:p>
        </w:tc>
      </w:tr>
      <w:tr>
        <w:tc>
          <w:tcPr>
            <w:tcW w:type="dxa" w:w="3400"/>
            <w:tcMar>
              <w:top w:type="dxa" w:w="80"/>
              <w:left w:type="dxa" w:w="100"/>
              <w:bottom w:type="dxa" w:w="80"/>
              <w:right w:type="dxa" w:w="100"/>
            </w:tcMar>
            <w:vAlign w:val="center"/>
          </w:tcPr>
          <w:p>
            <w:pPr>
              <w:jc w:val="left"/>
            </w:pPr>
            <w:r>
              <w:rPr>
                <w:b w:val="false"/>
                <w:bCs w:val="false"/>
                <w:color w:val="000000"/>
              </w:rPr>
              <w:t xml:space="preserve">4.3 — Solicitar/Reportar desde la app y solicitud masiva ('Agregar a solicitud')</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tcMar>
              <w:top w:type="dxa" w:w="80"/>
              <w:left w:type="dxa" w:w="100"/>
              <w:bottom w:type="dxa" w:w="80"/>
              <w:right w:type="dxa" w:w="100"/>
            </w:tcMar>
            <w:vAlign w:val="center"/>
          </w:tcPr>
          <w:p>
            <w:pPr>
              <w:jc w:val="left"/>
            </w:pPr>
            <w:r>
              <w:rPr>
                <w:b w:val="false"/>
                <w:bCs w:val="false"/>
                <w:color w:val="000000"/>
              </w:rPr>
              <w:t xml:space="preserve">Modal de acciones con las 3 opciones del manual (Agregar a solicitud, Solicitar, Reportar) y carrito de préstamo múltiple que se envía como una sola transacción (crear_prestamo).</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4.4 — Captura fotográfica de la etiqueta y lectura del código</w:t>
            </w:r>
          </w:p>
        </w:tc>
        <w:tc>
          <w:tcPr>
            <w:tcW w:type="dxa" w:w="1500"/>
            <w:shd w:fill="FCF3CF" w:val="clear"/>
            <w:tcMar>
              <w:top w:type="dxa" w:w="80"/>
              <w:left w:type="dxa" w:w="100"/>
              <w:bottom w:type="dxa" w:w="80"/>
              <w:right w:type="dxa" w:w="100"/>
            </w:tcMar>
            <w:vAlign w:val="center"/>
          </w:tcPr>
          <w:p>
            <w:pPr>
              <w:jc w:val="center"/>
            </w:pPr>
            <w:r>
              <w:rPr>
                <w:b/>
                <w:bCs/>
                <w:color w:val="8A6D00"/>
              </w:rPr>
              <w:t xml:space="preserve">Parcial</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Se implementa activación de cámara + captura de foto, con intento de lectura automática vía BarcodeDetector (API nativa del navegador para códigos de barras/QR) y confirmación manual como respaldo. Cubre 'detectar automático' y 'buscar por últimos dígitos', pero no ofrece 'seleccionar área del código' ni 'leer código completo' como modos explícitos, y no implementa OCR de texto (ver riesgo en sección 6).</w:t>
            </w:r>
          </w:p>
        </w:tc>
      </w:tr>
      <w:tr>
        <w:tc>
          <w:tcPr>
            <w:tcW w:type="dxa" w:w="3400"/>
            <w:tcMar>
              <w:top w:type="dxa" w:w="80"/>
              <w:left w:type="dxa" w:w="100"/>
              <w:bottom w:type="dxa" w:w="80"/>
              <w:right w:type="dxa" w:w="100"/>
            </w:tcMar>
            <w:vAlign w:val="center"/>
          </w:tcPr>
          <w:p>
            <w:pPr>
              <w:jc w:val="left"/>
            </w:pPr>
            <w:r>
              <w:rPr>
                <w:b w:val="false"/>
                <w:bCs w:val="false"/>
                <w:color w:val="000000"/>
              </w:rPr>
              <w:t xml:space="preserve">4.5 — Alta de nuevos instrumentos desde la app</w:t>
            </w:r>
          </w:p>
        </w:tc>
        <w:tc>
          <w:tcPr>
            <w:tcW w:type="dxa" w:w="1500"/>
            <w:shd w:fill="DCEFE1" w:val="clear"/>
            <w:tcMar>
              <w:top w:type="dxa" w:w="80"/>
              <w:left w:type="dxa" w:w="100"/>
              <w:bottom w:type="dxa" w:w="80"/>
              <w:right w:type="dxa" w:w="100"/>
            </w:tcMar>
            <w:vAlign w:val="center"/>
          </w:tcPr>
          <w:p>
            <w:pPr>
              <w:jc w:val="center"/>
            </w:pPr>
            <w:r>
              <w:rPr>
                <w:b/>
                <w:bCs/>
                <w:color w:val="1F7A3D"/>
              </w:rPr>
              <w:t xml:space="preserve">Cumple</w:t>
            </w:r>
          </w:p>
        </w:tc>
        <w:tc>
          <w:tcPr>
            <w:tcW w:type="dxa" w:w="5180"/>
            <w:tcMar>
              <w:top w:type="dxa" w:w="80"/>
              <w:left w:type="dxa" w:w="100"/>
              <w:bottom w:type="dxa" w:w="80"/>
              <w:right w:type="dxa" w:w="100"/>
            </w:tcMar>
            <w:vAlign w:val="center"/>
          </w:tcPr>
          <w:p>
            <w:pPr>
              <w:jc w:val="left"/>
            </w:pPr>
            <w:r>
              <w:rPr>
                <w:b w:val="false"/>
                <w:bCs w:val="false"/>
                <w:color w:val="000000"/>
              </w:rPr>
              <w:t xml:space="preserve">Panel 'Nuevo' en app/index.php (solo visible para administrador) reutiliza la misma acción 'guardar' de api/instrumentos.php.</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5 — Reporte de soporte técnico con módulo, descripción, captura e inventario opcional</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shd w:fill="F2F2F2" w:val="clear"/>
            <w:tcMar>
              <w:top w:type="dxa" w:w="80"/>
              <w:left w:type="dxa" w:w="100"/>
              <w:bottom w:type="dxa" w:w="80"/>
              <w:right w:type="dxa" w:w="100"/>
            </w:tcMar>
            <w:vAlign w:val="center"/>
          </w:tcPr>
          <w:p>
            <w:pPr>
              <w:jc w:val="left"/>
            </w:pPr>
            <w:r>
              <w:rPr>
                <w:b w:val="false"/>
                <w:bCs w:val="false"/>
                <w:color w:val="000000"/>
              </w:rPr>
              <w:t xml:space="preserve">api/soporte.php implementa los 4 campos exigidos y agrega seguimiento de estado del ticket (pendiente/en_atencion/resuelto) que el manual no describe, permitiendo que Desarrollo de Sistemas dé trazabilidad a cada reporte.</w:t>
            </w:r>
          </w:p>
        </w:tc>
      </w:tr>
      <w:tr>
        <w:tc>
          <w:tcPr>
            <w:tcW w:type="dxa" w:w="3400"/>
            <w:tcMar>
              <w:top w:type="dxa" w:w="80"/>
              <w:left w:type="dxa" w:w="100"/>
              <w:bottom w:type="dxa" w:w="80"/>
              <w:right w:type="dxa" w:w="100"/>
            </w:tcMar>
            <w:vAlign w:val="center"/>
          </w:tcPr>
          <w:p>
            <w:pPr>
              <w:jc w:val="left"/>
            </w:pPr>
            <w:r>
              <w:rPr>
                <w:b w:val="false"/>
                <w:bCs w:val="false"/>
                <w:color w:val="000000"/>
              </w:rPr>
              <w:t xml:space="preserve">Roles administrador / operativo con privilegios distintos</w:t>
            </w:r>
          </w:p>
        </w:tc>
        <w:tc>
          <w:tcPr>
            <w:tcW w:type="dxa" w:w="1500"/>
            <w:shd w:fill="E4ECFB" w:val="clear"/>
            <w:tcMar>
              <w:top w:type="dxa" w:w="80"/>
              <w:left w:type="dxa" w:w="100"/>
              <w:bottom w:type="dxa" w:w="80"/>
              <w:right w:type="dxa" w:w="100"/>
            </w:tcMar>
            <w:vAlign w:val="center"/>
          </w:tcPr>
          <w:p>
            <w:pPr>
              <w:jc w:val="center"/>
            </w:pPr>
            <w:r>
              <w:rPr>
                <w:b/>
                <w:bCs/>
                <w:color w:val="1B4F9C"/>
              </w:rPr>
              <w:t xml:space="preserve">Mejora</w:t>
            </w:r>
          </w:p>
        </w:tc>
        <w:tc>
          <w:tcPr>
            <w:tcW w:type="dxa" w:w="5180"/>
            <w:tcMar>
              <w:top w:type="dxa" w:w="80"/>
              <w:left w:type="dxa" w:w="100"/>
              <w:bottom w:type="dxa" w:w="80"/>
              <w:right w:type="dxa" w:w="100"/>
            </w:tcMar>
            <w:vAlign w:val="center"/>
          </w:tcPr>
          <w:p>
            <w:pPr>
              <w:jc w:val="left"/>
            </w:pPr>
            <w:r>
              <w:rPr>
                <w:b w:val="false"/>
                <w:bCs w:val="false"/>
                <w:color w:val="000000"/>
              </w:rPr>
              <w:t xml:space="preserve">Confirmado por el propio manual (personal administrador vs. personal operativo en la sección 5). Musiteca lo implementa de forma explícita con un módulo completo de Gestión de usuarios (usuarios.php, api/usuarios.php) restringido a administradores, incluida la regla "debe existir al menos un administrador activo".</w:t>
            </w:r>
          </w:p>
        </w:tc>
      </w:tr>
    </w:tbl>
    <w:p>
      <w:pPr>
        <w:spacing w:before="200"/>
      </w:pPr>
    </w:p>
    <w:p>
      <w:pPr>
        <w:spacing w:after="160" w:line="276"/>
      </w:pPr>
      <w:r>
        <w:t xml:space="preserve">Lectura global de la matriz: de los 21 requisitos evaluados, 19 están cumplidos (8 al nivel exacto del manual y 11 con mejoras adicionales) y 1 se corrigió durante esta revisión (exportación .xlsx). El único punto que permanece en estado parcial es el escaneo de etiquetas de la app móvil, que depende de una decisión externa al código (el formato físico real de las etiquetas del CEMUART).</w:t>
      </w:r>
    </w:p>
    <w:p>
      <w:pPr>
        <w:pStyle w:val="Heading1"/>
        <w:spacing w:after="160" w:before="360"/>
      </w:pPr>
      <w:r>
        <w:t xml:space="preserve">4. Funcionalidades adicionales implementadas por el proyecto</w:t>
      </w:r>
    </w:p>
    <w:p>
      <w:pPr>
        <w:spacing w:after="160" w:line="276"/>
      </w:pPr>
      <w:r>
        <w:t xml:space="preserve">Estas capacidades no están descritas en el manual de referencia y representan valor agregado genuino del proyecto:</w:t>
      </w:r>
    </w:p>
    <w:p>
      <w:pPr>
        <w:pStyle w:val="ListParagraph"/>
        <w:numPr>
          <w:ilvl w:val="0"/>
          <w:numId w:val="1"/>
        </w:numPr>
        <w:spacing w:after="80" w:line="264"/>
      </w:pPr>
      <w:r>
        <w:rPr>
          <w:b/>
          <w:bCs/>
        </w:rPr>
        <w:t xml:space="preserve">Seguridad de sesión y formularios: </w:t>
      </w:r>
      <w:r>
        <w:t xml:space="preserve">protección CSRF de doble verificación (token en sesión + cabecera X-CSRF-Token con refresco automático ante expiración), cookies de sesión httpOnly/SameSite=Lax con flag Secure condicionado a HTTPS, regeneración periódica del ID de sesión, cierre por inactividad (30 min) y GC de PHP ajustado para no invalidar sesiones activas de forma prematura.</w:t>
      </w:r>
    </w:p>
    <w:p>
      <w:pPr>
        <w:pStyle w:val="ListParagraph"/>
        <w:numPr>
          <w:ilvl w:val="0"/>
          <w:numId w:val="1"/>
        </w:numPr>
        <w:spacing w:after="80" w:line="264"/>
      </w:pPr>
      <w:r>
        <w:rPr>
          <w:b/>
          <w:bCs/>
        </w:rPr>
        <w:t xml:space="preserve">Bloqueo de fuerza bruta en el login: </w:t>
      </w:r>
      <w:r>
        <w:t xml:space="preserve">control de intentos fallidos por usuario e IP (intentos_login), con ventana de 15 minutos y bloqueo temporal — mitiga un vector de ataque no contemplado en el manual.</w:t>
      </w:r>
    </w:p>
    <w:p>
      <w:pPr>
        <w:pStyle w:val="ListParagraph"/>
        <w:numPr>
          <w:ilvl w:val="0"/>
          <w:numId w:val="1"/>
        </w:numPr>
        <w:spacing w:after="80" w:line="264"/>
      </w:pPr>
      <w:r>
        <w:rPr>
          <w:b/>
          <w:bCs/>
        </w:rPr>
        <w:t xml:space="preserve">Concurrencia segura en préstamos: </w:t>
      </w:r>
      <w:r>
        <w:t xml:space="preserve">bloqueo de filas (SELECT … FOR UPDATE) al registrar préstamos y devoluciones, evitando que dos operadores asignen el mismo instrumento en una condición de carrera.</w:t>
      </w:r>
    </w:p>
    <w:p>
      <w:pPr>
        <w:pStyle w:val="ListParagraph"/>
        <w:numPr>
          <w:ilvl w:val="0"/>
          <w:numId w:val="1"/>
        </w:numPr>
        <w:spacing w:after="80" w:line="264"/>
      </w:pPr>
      <w:r>
        <w:rPr>
          <w:b/>
          <w:bCs/>
        </w:rPr>
        <w:t xml:space="preserve">Préstamo múltiple atómico: </w:t>
      </w:r>
      <w:r>
        <w:t xml:space="preserve">un solo solicitante puede llevarse varios instrumentos en una única transacción (todo o nada), con una cabecera 'prestamos' que agrupa el detalle en 'solicitudes' y recalcula su estado agregado (activo/parcial/finalizado).</w:t>
      </w:r>
    </w:p>
    <w:p>
      <w:pPr>
        <w:pStyle w:val="ListParagraph"/>
        <w:numPr>
          <w:ilvl w:val="0"/>
          <w:numId w:val="1"/>
        </w:numPr>
        <w:spacing w:after="80" w:line="264"/>
      </w:pPr>
      <w:r>
        <w:rPr>
          <w:b/>
          <w:bCs/>
        </w:rPr>
        <w:t xml:space="preserve">Gestión de incidencias integrada al ciclo de préstamo: </w:t>
      </w:r>
      <w:r>
        <w:t xml:space="preserve">un instrumento puede reportarse como dañado mientras sigue prestado; el sistema no fuerza una decisión hasta la devolución, momento en el que exige declarar si el bien vuelve a disponible o pasa a mantenimiento.</w:t>
      </w:r>
    </w:p>
    <w:p>
      <w:pPr>
        <w:pStyle w:val="ListParagraph"/>
        <w:numPr>
          <w:ilvl w:val="0"/>
          <w:numId w:val="1"/>
        </w:numPr>
        <w:spacing w:after="80" w:line="264"/>
      </w:pPr>
      <w:r>
        <w:rPr>
          <w:b/>
          <w:bCs/>
        </w:rPr>
        <w:t xml:space="preserve">Control de préstamos vencidos: </w:t>
      </w:r>
      <w:r>
        <w:t xml:space="preserve">cálculo automático de "Vencido" a partir de fecha_devolucion_esperada, con aviso destacado en el dashboard y filtro dedicado en Control — no existe en el manual.</w:t>
      </w:r>
    </w:p>
    <w:p>
      <w:pPr>
        <w:pStyle w:val="ListParagraph"/>
        <w:numPr>
          <w:ilvl w:val="0"/>
          <w:numId w:val="1"/>
        </w:numPr>
        <w:spacing w:after="80" w:line="264"/>
      </w:pPr>
      <w:r>
        <w:rPr>
          <w:b/>
          <w:bCs/>
        </w:rPr>
        <w:t xml:space="preserve">Panel analítico del dashboard: </w:t>
      </w:r>
      <w:r>
        <w:t xml:space="preserve">préstamos por mes (6 meses), ranking de instrumentos más solicitados y actividad reciente del sistema (api/dashboard_resumen.php).</w:t>
      </w:r>
    </w:p>
    <w:p>
      <w:pPr>
        <w:pStyle w:val="ListParagraph"/>
        <w:numPr>
          <w:ilvl w:val="0"/>
          <w:numId w:val="1"/>
        </w:numPr>
        <w:spacing w:after="80" w:line="264"/>
      </w:pPr>
      <w:r>
        <w:rPr>
          <w:b/>
          <w:bCs/>
        </w:rPr>
        <w:t xml:space="preserve">Módulo de Gestión de usuarios: </w:t>
      </w:r>
      <w:r>
        <w:t xml:space="preserve">alta, edición, activación/desactivación (baja lógica) y control de roles, con la regla "no puede quedar el sistema sin administradores activos" y prohibición de autodesactivación.</w:t>
      </w:r>
    </w:p>
    <w:p>
      <w:pPr>
        <w:pStyle w:val="ListParagraph"/>
        <w:numPr>
          <w:ilvl w:val="0"/>
          <w:numId w:val="1"/>
        </w:numPr>
        <w:spacing w:after="80" w:line="264"/>
      </w:pPr>
      <w:r>
        <w:rPr>
          <w:b/>
          <w:bCs/>
        </w:rPr>
        <w:t xml:space="preserve">Baja lógica generalizada: </w:t>
      </w:r>
      <w:r>
        <w:t xml:space="preserve">instrumentos y usuarios nunca se eliminan físicamente, preservando la trazabilidad histórica exigida implícitamente por un sistema patrimonial público.</w:t>
      </w:r>
    </w:p>
    <w:p>
      <w:pPr>
        <w:pStyle w:val="ListParagraph"/>
        <w:numPr>
          <w:ilvl w:val="0"/>
          <w:numId w:val="1"/>
        </w:numPr>
        <w:spacing w:after="80" w:line="264"/>
      </w:pPr>
      <w:r>
        <w:rPr>
          <w:b/>
          <w:bCs/>
        </w:rPr>
        <w:t xml:space="preserve">Manejo de errores centralizado: </w:t>
      </w:r>
      <w:r>
        <w:t xml:space="preserve">ningún error técnico (excepciones, fallas de conexión a BD) se expone al usuario final; se registra en el log del servidor y se responde con un mensaje homogéneo, en JSON para la API o en una página de error para la interfaz web.</w:t>
      </w:r>
    </w:p>
    <w:p>
      <w:pPr>
        <w:pStyle w:val="ListParagraph"/>
        <w:numPr>
          <w:ilvl w:val="0"/>
          <w:numId w:val="1"/>
        </w:numPr>
        <w:spacing w:after="80" w:line="264"/>
      </w:pPr>
      <w:r>
        <w:rPr>
          <w:b/>
          <w:bCs/>
        </w:rPr>
        <w:t xml:space="preserve">Endurecimiento a nivel de servidor: </w:t>
      </w:r>
      <w:r>
        <w:t xml:space="preserve">cabeceras de seguridad (X-Content-Type-Options, X-Frame-Options, Referrer-Policy, Permissions-Policy) y bloqueo de acceso directo a config/, includes/, database/ y scripts/ vía .htaccess.</w:t>
      </w:r>
    </w:p>
    <w:p>
      <w:pPr>
        <w:pStyle w:val="ListParagraph"/>
        <w:numPr>
          <w:ilvl w:val="0"/>
          <w:numId w:val="1"/>
        </w:numPr>
        <w:spacing w:after="80" w:line="264"/>
      </w:pPr>
      <w:r>
        <w:rPr>
          <w:b/>
          <w:bCs/>
        </w:rPr>
        <w:t xml:space="preserve">Seguimiento de estado en reportes de soporte: </w:t>
      </w:r>
      <w:r>
        <w:t xml:space="preserve">ciclo pendiente → en_atencion → resuelto, gestionable por administradores, que el manual no describe.</w:t>
      </w:r>
    </w:p>
    <w:p>
      <w:pPr>
        <w:pStyle w:val="ListParagraph"/>
        <w:numPr>
          <w:ilvl w:val="0"/>
          <w:numId w:val="1"/>
        </w:numPr>
        <w:spacing w:after="80" w:line="264"/>
      </w:pPr>
      <w:r>
        <w:rPr>
          <w:b/>
          <w:bCs/>
        </w:rPr>
        <w:t xml:space="preserve">UX de formularios: </w:t>
      </w:r>
      <w:r>
        <w:t xml:space="preserve">validación personalizada consistente en todos los módulos, aviso de "cambios sin guardar" al cerrar un modal con datos capturados, y confirmaciones mediante modal propio en vez del confirm() nativo del navegador.</w:t>
      </w:r>
    </w:p>
    <w:p>
      <w:pPr>
        <w:pStyle w:val="Heading1"/>
        <w:spacing w:after="160" w:before="360"/>
      </w:pPr>
      <w:r>
        <w:t xml:space="preserve">5. Funcionalidades faltantes o parciales</w:t>
      </w:r>
    </w:p>
    <w:p>
      <w:pPr>
        <w:pStyle w:val="Heading2"/>
        <w:spacing w:after="120" w:before="260"/>
      </w:pPr>
      <w:r>
        <w:t xml:space="preserve">5.1 Exportación en formato .xlsx (corregido en esta sesión)</w:t>
      </w:r>
    </w:p>
    <w:p>
      <w:pPr>
        <w:spacing w:after="160" w:line="276"/>
      </w:pPr>
      <w:r>
        <w:t xml:space="preserve">Antes de esta revisión, api/export_inventario.php y api/export_control.php entregaban un archivo .csv con extensión .csv pese a que los botones se llaman "Exportar Excel" y "Exportar Control Excel", y pese a que el manual exige explícitamente el formato .xlsx en las secciones 3.4 y 3.5. Se implementó un generador de .xlsx real sin dependencias externas (includes/xlsx_writer.php, basado en ZipArchive) y se adaptaron ambos endpoints para usarlo, sin tocar ninguna consulta SQL ni el criterio de filtrado existente. Este punto se cierra con esta entrega.</w:t>
      </w:r>
    </w:p>
    <w:p>
      <w:pPr>
        <w:pStyle w:val="Heading2"/>
        <w:spacing w:after="120" w:before="260"/>
      </w:pPr>
      <w:r>
        <w:t xml:space="preserve">5.2 Escaneo de etiquetas: modalidades y OCR (pendiente de decisión institucional)</w:t>
      </w:r>
    </w:p>
    <w:p>
      <w:pPr>
        <w:spacing w:after="160" w:line="276"/>
      </w:pPr>
      <w:r>
        <w:t xml:space="preserve">El manual describe 4 modalidades explícitas de lectura tras la captura fotográfica (seleccionar área del código, leer código completo, buscar por últimos dígitos, detectar automático) y menciona OCR en la sección de soporte técnico. La app operativa actual unifica el flujo en una sola experiencia: activar cámara → si el navegador soporta BarcodeDetector, intento de lectura automática de códigos de barras/QR → confirmación manual del código (aceptando el código completo o solo los últimos 4 dígitos).</w:t>
      </w:r>
    </w:p>
    <w:p>
      <w:pPr>
        <w:spacing w:after="160" w:line="276"/>
      </w:pPr>
      <w:r>
        <w:t xml:space="preserve">Esto cubre funcionalmente 'detectar automático' y 'buscar por últimos dígitos', pero no reproduce 'seleccionar área del código' ni 'leer código completo' como modos distinguibles, y sobre todo no implementa reconocimiento óptico de caracteres (OCR) sobre texto impreso. La diferencia es relevante solo si las etiquetas físicas del CEMUART son texto numérico plano sin un símbolo de código de barras o QR: en ese escenario, BarcodeDetector nunca detectará nada y el flujo caerá siempre en la confirmación manual, que sigue siendo funcional pero no automática. Se documenta como riesgo/recomendación en las secciones 6 y 7, condicionado a verificar con la institución el formato real del etiquetado físico.</w:t>
      </w:r>
    </w:p>
    <w:p>
      <w:pPr>
        <w:pStyle w:val="Heading2"/>
        <w:spacing w:after="120" w:before="260"/>
      </w:pPr>
      <w:r>
        <w:t xml:space="preserve">5.3 Pruebas automatizadas</w:t>
      </w:r>
    </w:p>
    <w:p>
      <w:pPr>
        <w:spacing w:after="160" w:line="276"/>
      </w:pPr>
      <w:r>
        <w:t xml:space="preserve">No se encontró carpeta de pruebas, configuración de PHPUnit ni ningún test automatizado en el repositorio. Para un sistema que ya maneja transacciones financiera-patrimoniales (préstamos, bajas, usuarios) esto es una brecha de calidad relevante de cara a una entrega profesional, aunque el manual no la exige de forma explícita.</w:t>
      </w:r>
    </w:p>
    <w:p>
      <w:pPr>
        <w:pStyle w:val="Heading2"/>
        <w:spacing w:after="120" w:before="260"/>
      </w:pPr>
      <w:r>
        <w:t xml:space="preserve">5.4 Notificaciones automáticas de vencimiento</w:t>
      </w:r>
    </w:p>
    <w:p>
      <w:pPr>
        <w:spacing w:after="160" w:line="276"/>
      </w:pPr>
      <w:r>
        <w:t xml:space="preserve">El propio README del proyecto ya identifica esta mejora como pendiente ("Notificaciones automáticas (correo) cuando un préstamo se vence"). El manual tampoco la exige, pero es una extensión natural del control de vencidos ya implementado.</w:t>
      </w:r>
    </w:p>
    <w:p>
      <w:pPr>
        <w:pStyle w:val="Heading2"/>
        <w:spacing w:after="120" w:before="260"/>
      </w:pPr>
      <w:r>
        <w:t xml:space="preserve">5.5 Restauración de instrumentos dados de baja desde la interfaz</w:t>
      </w:r>
    </w:p>
    <w:p>
      <w:pPr>
        <w:spacing w:after="160" w:line="276"/>
      </w:pPr>
      <w:r>
        <w:t xml:space="preserve">También señalada como pendiente en el propio README del proyecto: actualmente la baja lógica no tiene una pantalla de reversión; requeriría una consulta directa a base de datos para revertirla.</w:t>
      </w:r>
    </w:p>
    <w:p>
      <w:pPr>
        <w:pStyle w:val="Heading1"/>
        <w:spacing w:after="160" w:before="360"/>
      </w:pPr>
      <w:r>
        <w:t xml:space="preserve">6. Riesgos detectados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4800"/>
        <w:gridCol w:w="1190"/>
        <w:gridCol w:w="1190"/>
      </w:tblGrid>
      <w:tr>
        <w:trPr>
          <w:tblHeader/>
        </w:trPr>
        <w:tc>
          <w:tcPr>
            <w:tcW w:type="dxa" w:w="2900"/>
            <w:shd w:fill="7A1F3D" w:val="clear"/>
            <w:tcMar>
              <w:top w:type="dxa" w:w="80"/>
              <w:left w:type="dxa" w:w="100"/>
              <w:bottom w:type="dxa" w:w="80"/>
              <w:right w:type="dxa" w:w="100"/>
            </w:tcMar>
            <w:vAlign w:val="center"/>
          </w:tcPr>
          <w:p>
            <w:pPr>
              <w:jc w:val="left"/>
            </w:pPr>
            <w:r>
              <w:rPr>
                <w:b/>
                <w:bCs/>
                <w:color w:val="FFFFFF"/>
              </w:rPr>
              <w:t xml:space="preserve">Riesgo</w:t>
            </w:r>
          </w:p>
        </w:tc>
        <w:tc>
          <w:tcPr>
            <w:tcW w:type="dxa" w:w="4800"/>
            <w:shd w:fill="7A1F3D" w:val="clear"/>
            <w:tcMar>
              <w:top w:type="dxa" w:w="80"/>
              <w:left w:type="dxa" w:w="100"/>
              <w:bottom w:type="dxa" w:w="80"/>
              <w:right w:type="dxa" w:w="100"/>
            </w:tcMar>
            <w:vAlign w:val="center"/>
          </w:tcPr>
          <w:p>
            <w:pPr>
              <w:jc w:val="left"/>
            </w:pPr>
            <w:r>
              <w:rPr>
                <w:b/>
                <w:bCs/>
                <w:color w:val="FFFFFF"/>
              </w:rPr>
              <w:t xml:space="preserve">Descripción / impacto</w:t>
            </w:r>
          </w:p>
        </w:tc>
        <w:tc>
          <w:tcPr>
            <w:tcW w:type="dxa" w:w="1190"/>
            <w:shd w:fill="7A1F3D" w:val="clear"/>
            <w:tcMar>
              <w:top w:type="dxa" w:w="80"/>
              <w:left w:type="dxa" w:w="100"/>
              <w:bottom w:type="dxa" w:w="80"/>
              <w:right w:type="dxa" w:w="100"/>
            </w:tcMar>
            <w:vAlign w:val="center"/>
          </w:tcPr>
          <w:p>
            <w:pPr>
              <w:jc w:val="left"/>
            </w:pPr>
            <w:r>
              <w:rPr>
                <w:b/>
                <w:bCs/>
                <w:color w:val="FFFFFF"/>
              </w:rPr>
              <w:t xml:space="preserve">Impacto</w:t>
            </w:r>
          </w:p>
        </w:tc>
        <w:tc>
          <w:tcPr>
            <w:tcW w:type="dxa" w:w="1190"/>
            <w:shd w:fill="7A1F3D" w:val="clear"/>
            <w:tcMar>
              <w:top w:type="dxa" w:w="80"/>
              <w:left w:type="dxa" w:w="100"/>
              <w:bottom w:type="dxa" w:w="80"/>
              <w:right w:type="dxa" w:w="100"/>
            </w:tcMar>
            <w:vAlign w:val="center"/>
          </w:tcPr>
          <w:p>
            <w:pPr>
              <w:jc w:val="left"/>
            </w:pPr>
            <w:r>
              <w:rPr>
                <w:b/>
                <w:bCs/>
                <w:color w:val="FFFFFF"/>
              </w:rPr>
              <w:t xml:space="preserve">Probabilidad</w:t>
            </w:r>
          </w:p>
        </w:tc>
      </w:tr>
      <w:tr>
        <w:tc>
          <w:tcPr>
            <w:tcW w:type="dxa" w:w="2900"/>
            <w:tcMar>
              <w:top w:type="dxa" w:w="80"/>
              <w:left w:type="dxa" w:w="100"/>
              <w:bottom w:type="dxa" w:w="80"/>
              <w:right w:type="dxa" w:w="100"/>
            </w:tcMar>
            <w:vAlign w:val="center"/>
          </w:tcPr>
          <w:p>
            <w:pPr>
              <w:jc w:val="left"/>
            </w:pPr>
            <w:r>
              <w:rPr>
                <w:b w:val="false"/>
                <w:bCs w:val="false"/>
                <w:color w:val="000000"/>
              </w:rPr>
              <w:t xml:space="preserve">Etiquetas físicas sin código de barras/QR real</w:t>
            </w:r>
          </w:p>
        </w:tc>
        <w:tc>
          <w:tcPr>
            <w:tcW w:type="dxa" w:w="4800"/>
            <w:tcMar>
              <w:top w:type="dxa" w:w="80"/>
              <w:left w:type="dxa" w:w="100"/>
              <w:bottom w:type="dxa" w:w="80"/>
              <w:right w:type="dxa" w:w="100"/>
            </w:tcMar>
            <w:vAlign w:val="center"/>
          </w:tcPr>
          <w:p>
            <w:pPr>
              <w:jc w:val="left"/>
            </w:pPr>
            <w:r>
              <w:rPr>
                <w:b w:val="false"/>
                <w:bCs w:val="false"/>
                <w:color w:val="000000"/>
              </w:rPr>
              <w:t xml:space="preserve">Si el etiquetado del CEMUART es solo texto impreso, la detección automática de la app (BarcodeDetector) nunca se activará en campo, degradando siempre al flujo manual y dejando sin cumplir la expectativa de "detectar automático" del manual.</w:t>
            </w:r>
          </w:p>
        </w:tc>
        <w:tc>
          <w:tcPr>
            <w:tcW w:type="dxa" w:w="1190"/>
            <w:tcMar>
              <w:top w:type="dxa" w:w="80"/>
              <w:left w:type="dxa" w:w="100"/>
              <w:bottom w:type="dxa" w:w="80"/>
              <w:right w:type="dxa" w:w="100"/>
            </w:tcMar>
            <w:vAlign w:val="center"/>
          </w:tcPr>
          <w:p>
            <w:pPr>
              <w:jc w:val="left"/>
            </w:pPr>
            <w:r>
              <w:rPr>
                <w:b w:val="false"/>
                <w:bCs w:val="false"/>
                <w:color w:val="000000"/>
              </w:rPr>
              <w:t xml:space="preserve">Alto</w:t>
            </w:r>
          </w:p>
        </w:tc>
        <w:tc>
          <w:tcPr>
            <w:tcW w:type="dxa" w:w="1190"/>
            <w:tcMar>
              <w:top w:type="dxa" w:w="80"/>
              <w:left w:type="dxa" w:w="100"/>
              <w:bottom w:type="dxa" w:w="80"/>
              <w:right w:type="dxa" w:w="100"/>
            </w:tcMar>
            <w:vAlign w:val="center"/>
          </w:tcPr>
          <w:p>
            <w:pPr>
              <w:jc w:val="left"/>
            </w:pPr>
            <w:r>
              <w:rPr>
                <w:b w:val="false"/>
                <w:bCs w:val="false"/>
                <w:color w:val="000000"/>
              </w:rPr>
              <w:t xml:space="preserve">Media</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Ausencia de pruebas automatizadas</w:t>
            </w:r>
          </w:p>
        </w:tc>
        <w:tc>
          <w:tcPr>
            <w:tcW w:type="dxa" w:w="4800"/>
            <w:shd w:fill="F2F2F2" w:val="clear"/>
            <w:tcMar>
              <w:top w:type="dxa" w:w="80"/>
              <w:left w:type="dxa" w:w="100"/>
              <w:bottom w:type="dxa" w:w="80"/>
              <w:right w:type="dxa" w:w="100"/>
            </w:tcMar>
            <w:vAlign w:val="center"/>
          </w:tcPr>
          <w:p>
            <w:pPr>
              <w:jc w:val="left"/>
            </w:pPr>
            <w:r>
              <w:rPr>
                <w:b w:val="false"/>
                <w:bCs w:val="false"/>
                <w:color w:val="000000"/>
              </w:rPr>
              <w:t xml:space="preserve">Cualquier cambio futuro (incluidas las mejoras de este mismo informe) se valida solo manualmente. En lógica con transacciones y bloqueos de fila como la de préstamos, un regresión no detectada puede corromper el estado del inventario.</w:t>
            </w:r>
          </w:p>
        </w:tc>
        <w:tc>
          <w:tcPr>
            <w:tcW w:type="dxa" w:w="1190"/>
            <w:shd w:fill="F2F2F2" w:val="clear"/>
            <w:tcMar>
              <w:top w:type="dxa" w:w="80"/>
              <w:left w:type="dxa" w:w="100"/>
              <w:bottom w:type="dxa" w:w="80"/>
              <w:right w:type="dxa" w:w="100"/>
            </w:tcMar>
            <w:vAlign w:val="center"/>
          </w:tcPr>
          <w:p>
            <w:pPr>
              <w:jc w:val="left"/>
            </w:pPr>
            <w:r>
              <w:rPr>
                <w:b w:val="false"/>
                <w:bCs w:val="false"/>
                <w:color w:val="000000"/>
              </w:rPr>
              <w:t xml:space="preserve">Alto</w:t>
            </w:r>
          </w:p>
        </w:tc>
        <w:tc>
          <w:tcPr>
            <w:tcW w:type="dxa" w:w="1190"/>
            <w:shd w:fill="F2F2F2" w:val="clear"/>
            <w:tcMar>
              <w:top w:type="dxa" w:w="80"/>
              <w:left w:type="dxa" w:w="100"/>
              <w:bottom w:type="dxa" w:w="80"/>
              <w:right w:type="dxa" w:w="100"/>
            </w:tcMar>
            <w:vAlign w:val="center"/>
          </w:tcPr>
          <w:p>
            <w:pPr>
              <w:jc w:val="left"/>
            </w:pPr>
            <w:r>
              <w:rPr>
                <w:b w:val="false"/>
                <w:bCs w:val="false"/>
                <w:color w:val="000000"/>
              </w:rPr>
              <w:t xml:space="preserve">Media</w:t>
            </w:r>
          </w:p>
        </w:tc>
      </w:tr>
      <w:tr>
        <w:tc>
          <w:tcPr>
            <w:tcW w:type="dxa" w:w="2900"/>
            <w:tcMar>
              <w:top w:type="dxa" w:w="80"/>
              <w:left w:type="dxa" w:w="100"/>
              <w:bottom w:type="dxa" w:w="80"/>
              <w:right w:type="dxa" w:w="100"/>
            </w:tcMar>
            <w:vAlign w:val="center"/>
          </w:tcPr>
          <w:p>
            <w:pPr>
              <w:jc w:val="left"/>
            </w:pPr>
            <w:r>
              <w:rPr>
                <w:b w:val="false"/>
                <w:bCs w:val="false"/>
                <w:color w:val="000000"/>
              </w:rPr>
              <w:t xml:space="preserve">Baja de instrumento con préstamo activo (corregido en esta sesión)</w:t>
            </w:r>
          </w:p>
        </w:tc>
        <w:tc>
          <w:tcPr>
            <w:tcW w:type="dxa" w:w="4800"/>
            <w:tcMar>
              <w:top w:type="dxa" w:w="80"/>
              <w:left w:type="dxa" w:w="100"/>
              <w:bottom w:type="dxa" w:w="80"/>
              <w:right w:type="dxa" w:w="100"/>
            </w:tcMar>
            <w:vAlign w:val="center"/>
          </w:tcPr>
          <w:p>
            <w:pPr>
              <w:jc w:val="left"/>
            </w:pPr>
            <w:r>
              <w:rPr>
                <w:b w:val="false"/>
                <w:bCs w:val="false"/>
                <w:color w:val="000000"/>
              </w:rPr>
              <w:t xml:space="preserve">Antes de la corrección, un administrador podía dar de baja un instrumento con estado 'en_uso', dejando una solicitud 'activa' sin un bien válido al que devolver.</w:t>
            </w:r>
          </w:p>
        </w:tc>
        <w:tc>
          <w:tcPr>
            <w:tcW w:type="dxa" w:w="1190"/>
            <w:tcMar>
              <w:top w:type="dxa" w:w="80"/>
              <w:left w:type="dxa" w:w="100"/>
              <w:bottom w:type="dxa" w:w="80"/>
              <w:right w:type="dxa" w:w="100"/>
            </w:tcMar>
            <w:vAlign w:val="center"/>
          </w:tcPr>
          <w:p>
            <w:pPr>
              <w:jc w:val="left"/>
            </w:pPr>
            <w:r>
              <w:rPr>
                <w:b w:val="false"/>
                <w:bCs w:val="false"/>
                <w:color w:val="000000"/>
              </w:rPr>
              <w:t xml:space="preserve">Medio</w:t>
            </w:r>
          </w:p>
        </w:tc>
        <w:tc>
          <w:tcPr>
            <w:tcW w:type="dxa" w:w="1190"/>
            <w:tcMar>
              <w:top w:type="dxa" w:w="80"/>
              <w:left w:type="dxa" w:w="100"/>
              <w:bottom w:type="dxa" w:w="80"/>
              <w:right w:type="dxa" w:w="100"/>
            </w:tcMar>
            <w:vAlign w:val="center"/>
          </w:tcPr>
          <w:p>
            <w:pPr>
              <w:jc w:val="left"/>
            </w:pPr>
            <w:r>
              <w:rPr>
                <w:b w:val="false"/>
                <w:bCs w:val="false"/>
                <w:color w:val="000000"/>
              </w:rPr>
              <w:t xml:space="preserve">Ya mitigado</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Dependencia de la extensión PHP ZipArchive para los reportes .xlsx</w:t>
            </w:r>
          </w:p>
        </w:tc>
        <w:tc>
          <w:tcPr>
            <w:tcW w:type="dxa" w:w="4800"/>
            <w:shd w:fill="F2F2F2" w:val="clear"/>
            <w:tcMar>
              <w:top w:type="dxa" w:w="80"/>
              <w:left w:type="dxa" w:w="100"/>
              <w:bottom w:type="dxa" w:w="80"/>
              <w:right w:type="dxa" w:w="100"/>
            </w:tcMar>
            <w:vAlign w:val="center"/>
          </w:tcPr>
          <w:p>
            <w:pPr>
              <w:jc w:val="left"/>
            </w:pPr>
            <w:r>
              <w:rPr>
                <w:b w:val="false"/>
                <w:bCs w:val="false"/>
                <w:color w:val="000000"/>
              </w:rPr>
              <w:t xml:space="preserve">El nuevo generador de .xlsx (sección 9) requiere que el servidor tenga habilitada la extensión zip. Es estándar en XAMPP y en la mayoría de hosts, pero debe confirmarse en el servidor de producción real.</w:t>
            </w:r>
          </w:p>
        </w:tc>
        <w:tc>
          <w:tcPr>
            <w:tcW w:type="dxa" w:w="1190"/>
            <w:shd w:fill="F2F2F2" w:val="clear"/>
            <w:tcMar>
              <w:top w:type="dxa" w:w="80"/>
              <w:left w:type="dxa" w:w="100"/>
              <w:bottom w:type="dxa" w:w="80"/>
              <w:right w:type="dxa" w:w="100"/>
            </w:tcMar>
            <w:vAlign w:val="center"/>
          </w:tcPr>
          <w:p>
            <w:pPr>
              <w:jc w:val="left"/>
            </w:pPr>
            <w:r>
              <w:rPr>
                <w:b w:val="false"/>
                <w:bCs w:val="false"/>
                <w:color w:val="000000"/>
              </w:rPr>
              <w:t xml:space="preserve">Bajo</w:t>
            </w:r>
          </w:p>
        </w:tc>
        <w:tc>
          <w:tcPr>
            <w:tcW w:type="dxa" w:w="1190"/>
            <w:shd w:fill="F2F2F2" w:val="clear"/>
            <w:tcMar>
              <w:top w:type="dxa" w:w="80"/>
              <w:left w:type="dxa" w:w="100"/>
              <w:bottom w:type="dxa" w:w="80"/>
              <w:right w:type="dxa" w:w="100"/>
            </w:tcMar>
            <w:vAlign w:val="center"/>
          </w:tcPr>
          <w:p>
            <w:pPr>
              <w:jc w:val="left"/>
            </w:pPr>
            <w:r>
              <w:rPr>
                <w:b w:val="false"/>
                <w:bCs w:val="false"/>
                <w:color w:val="000000"/>
              </w:rPr>
              <w:t xml:space="preserve">Baja</w:t>
            </w:r>
          </w:p>
        </w:tc>
      </w:tr>
      <w:tr>
        <w:tc>
          <w:tcPr>
            <w:tcW w:type="dxa" w:w="2900"/>
            <w:tcMar>
              <w:top w:type="dxa" w:w="80"/>
              <w:left w:type="dxa" w:w="100"/>
              <w:bottom w:type="dxa" w:w="80"/>
              <w:right w:type="dxa" w:w="100"/>
            </w:tcMar>
            <w:vAlign w:val="center"/>
          </w:tcPr>
          <w:p>
            <w:pPr>
              <w:jc w:val="left"/>
            </w:pPr>
            <w:r>
              <w:rPr>
                <w:b w:val="false"/>
                <w:bCs w:val="false"/>
                <w:color w:val="000000"/>
              </w:rPr>
              <w:t xml:space="preserve">Ausencia de notificaciones de vencimiento</w:t>
            </w:r>
          </w:p>
        </w:tc>
        <w:tc>
          <w:tcPr>
            <w:tcW w:type="dxa" w:w="4800"/>
            <w:tcMar>
              <w:top w:type="dxa" w:w="80"/>
              <w:left w:type="dxa" w:w="100"/>
              <w:bottom w:type="dxa" w:w="80"/>
              <w:right w:type="dxa" w:w="100"/>
            </w:tcMar>
            <w:vAlign w:val="center"/>
          </w:tcPr>
          <w:p>
            <w:pPr>
              <w:jc w:val="left"/>
            </w:pPr>
            <w:r>
              <w:rPr>
                <w:b w:val="false"/>
                <w:bCs w:val="false"/>
                <w:color w:val="000000"/>
              </w:rPr>
              <w:t xml:space="preserve">El sistema calcula préstamos vencidos pero no avisa proactivamente por correo; depende de que el operador revise el dashboard o el filtro de Control.</w:t>
            </w:r>
          </w:p>
        </w:tc>
        <w:tc>
          <w:tcPr>
            <w:tcW w:type="dxa" w:w="1190"/>
            <w:tcMar>
              <w:top w:type="dxa" w:w="80"/>
              <w:left w:type="dxa" w:w="100"/>
              <w:bottom w:type="dxa" w:w="80"/>
              <w:right w:type="dxa" w:w="100"/>
            </w:tcMar>
            <w:vAlign w:val="center"/>
          </w:tcPr>
          <w:p>
            <w:pPr>
              <w:jc w:val="left"/>
            </w:pPr>
            <w:r>
              <w:rPr>
                <w:b w:val="false"/>
                <w:bCs w:val="false"/>
                <w:color w:val="000000"/>
              </w:rPr>
              <w:t xml:space="preserve">Medio</w:t>
            </w:r>
          </w:p>
        </w:tc>
        <w:tc>
          <w:tcPr>
            <w:tcW w:type="dxa" w:w="1190"/>
            <w:tcMar>
              <w:top w:type="dxa" w:w="80"/>
              <w:left w:type="dxa" w:w="100"/>
              <w:bottom w:type="dxa" w:w="80"/>
              <w:right w:type="dxa" w:w="100"/>
            </w:tcMar>
            <w:vAlign w:val="center"/>
          </w:tcPr>
          <w:p>
            <w:pPr>
              <w:jc w:val="left"/>
            </w:pPr>
            <w:r>
              <w:rPr>
                <w:b w:val="false"/>
                <w:bCs w:val="false"/>
                <w:color w:val="000000"/>
              </w:rPr>
              <w:t xml:space="preserve">Media</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Falta de capa de servicio para instrumentos/solicitudes</w:t>
            </w:r>
          </w:p>
        </w:tc>
        <w:tc>
          <w:tcPr>
            <w:tcW w:type="dxa" w:w="4800"/>
            <w:shd w:fill="F2F2F2" w:val="clear"/>
            <w:tcMar>
              <w:top w:type="dxa" w:w="80"/>
              <w:left w:type="dxa" w:w="100"/>
              <w:bottom w:type="dxa" w:w="80"/>
              <w:right w:type="dxa" w:w="100"/>
            </w:tcMar>
            <w:vAlign w:val="center"/>
          </w:tcPr>
          <w:p>
            <w:pPr>
              <w:jc w:val="left"/>
            </w:pPr>
            <w:r>
              <w:rPr>
                <w:b w:val="false"/>
                <w:bCs w:val="false"/>
                <w:color w:val="000000"/>
              </w:rPr>
              <w:t xml:space="preserve">A diferencia de usuarios_servicio.php, la lógica de negocio de instrumentos y solicitudes vive directamente en los controladores de api/. Es funcional, pero dificulta las pruebas unitarias y la reutilización a futuro.</w:t>
            </w:r>
          </w:p>
        </w:tc>
        <w:tc>
          <w:tcPr>
            <w:tcW w:type="dxa" w:w="1190"/>
            <w:shd w:fill="F2F2F2" w:val="clear"/>
            <w:tcMar>
              <w:top w:type="dxa" w:w="80"/>
              <w:left w:type="dxa" w:w="100"/>
              <w:bottom w:type="dxa" w:w="80"/>
              <w:right w:type="dxa" w:w="100"/>
            </w:tcMar>
            <w:vAlign w:val="center"/>
          </w:tcPr>
          <w:p>
            <w:pPr>
              <w:jc w:val="left"/>
            </w:pPr>
            <w:r>
              <w:rPr>
                <w:b w:val="false"/>
                <w:bCs w:val="false"/>
                <w:color w:val="000000"/>
              </w:rPr>
              <w:t xml:space="preserve">Bajo</w:t>
            </w:r>
          </w:p>
        </w:tc>
        <w:tc>
          <w:tcPr>
            <w:tcW w:type="dxa" w:w="1190"/>
            <w:shd w:fill="F2F2F2" w:val="clear"/>
            <w:tcMar>
              <w:top w:type="dxa" w:w="80"/>
              <w:left w:type="dxa" w:w="100"/>
              <w:bottom w:type="dxa" w:w="80"/>
              <w:right w:type="dxa" w:w="100"/>
            </w:tcMar>
            <w:vAlign w:val="center"/>
          </w:tcPr>
          <w:p>
            <w:pPr>
              <w:jc w:val="left"/>
            </w:pPr>
            <w:r>
              <w:rPr>
                <w:b w:val="false"/>
                <w:bCs w:val="false"/>
                <w:color w:val="000000"/>
              </w:rPr>
              <w:t xml:space="preserve">Baja</w:t>
            </w:r>
          </w:p>
        </w:tc>
      </w:tr>
    </w:tbl>
    <w:p>
      <w:pPr>
        <w:pStyle w:val="Heading1"/>
        <w:spacing w:after="160" w:before="360"/>
      </w:pPr>
      <w:r>
        <w:t xml:space="preserve">7. Recomendaciones priorizadas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00"/>
        <w:gridCol w:w="1780"/>
      </w:tblGrid>
      <w:tr>
        <w:trPr>
          <w:tblHeader/>
        </w:trPr>
        <w:tc>
          <w:tcPr>
            <w:tcW w:type="dxa" w:w="8300"/>
            <w:shd w:fill="7A1F3D" w:val="clear"/>
            <w:tcMar>
              <w:top w:type="dxa" w:w="80"/>
              <w:left w:type="dxa" w:w="100"/>
              <w:bottom w:type="dxa" w:w="80"/>
              <w:right w:type="dxa" w:w="100"/>
            </w:tcMar>
            <w:vAlign w:val="center"/>
          </w:tcPr>
          <w:p>
            <w:pPr>
              <w:jc w:val="left"/>
            </w:pPr>
            <w:r>
              <w:rPr>
                <w:b/>
                <w:bCs/>
                <w:color w:val="FFFFFF"/>
              </w:rPr>
              <w:t xml:space="preserve">Recomendación</w:t>
            </w:r>
          </w:p>
        </w:tc>
        <w:tc>
          <w:tcPr>
            <w:tcW w:type="dxa" w:w="1780"/>
            <w:shd w:fill="7A1F3D" w:val="clear"/>
            <w:tcMar>
              <w:top w:type="dxa" w:w="80"/>
              <w:left w:type="dxa" w:w="100"/>
              <w:bottom w:type="dxa" w:w="80"/>
              <w:right w:type="dxa" w:w="100"/>
            </w:tcMar>
            <w:vAlign w:val="center"/>
          </w:tcPr>
          <w:p>
            <w:pPr>
              <w:jc w:val="center"/>
            </w:pPr>
            <w:r>
              <w:rPr>
                <w:b/>
                <w:bCs/>
                <w:color w:val="FFFFFF"/>
              </w:rPr>
              <w:t xml:space="preserve">Prioridad</w:t>
            </w:r>
          </w:p>
        </w:tc>
      </w:tr>
      <w:tr>
        <w:tc>
          <w:tcPr>
            <w:tcW w:type="dxa" w:w="8300"/>
            <w:tcMar>
              <w:top w:type="dxa" w:w="80"/>
              <w:left w:type="dxa" w:w="100"/>
              <w:bottom w:type="dxa" w:w="80"/>
              <w:right w:type="dxa" w:w="100"/>
            </w:tcMar>
            <w:vAlign w:val="center"/>
          </w:tcPr>
          <w:p>
            <w:pPr>
              <w:jc w:val="left"/>
            </w:pPr>
            <w:r>
              <w:rPr>
                <w:b w:val="false"/>
                <w:bCs w:val="false"/>
                <w:color w:val="000000"/>
              </w:rPr>
              <w:t xml:space="preserve">Verificar con la institución el formato físico real de las etiquetas (texto plano vs. código de barras/QR) y, si es texto plano, evaluar una librería de OCR en cliente (p. ej. Tesseract.js) como mejora progresiva sobre el flujo ya existente.</w:t>
            </w:r>
          </w:p>
        </w:tc>
        <w:tc>
          <w:tcPr>
            <w:tcW w:type="dxa" w:w="1780"/>
            <w:shd w:fill="FADBD8" w:val="clear"/>
            <w:tcMar>
              <w:top w:type="dxa" w:w="80"/>
              <w:left w:type="dxa" w:w="100"/>
              <w:bottom w:type="dxa" w:w="80"/>
              <w:right w:type="dxa" w:w="100"/>
            </w:tcMar>
            <w:vAlign w:val="center"/>
          </w:tcPr>
          <w:p>
            <w:pPr>
              <w:jc w:val="center"/>
            </w:pPr>
            <w:r>
              <w:rPr>
                <w:b/>
                <w:bCs/>
                <w:color w:val="B3261E"/>
              </w:rPr>
              <w:t xml:space="preserve">Alta</w:t>
            </w:r>
          </w:p>
        </w:tc>
      </w:tr>
      <w:tr>
        <w:tc>
          <w:tcPr>
            <w:tcW w:type="dxa" w:w="8300"/>
            <w:shd w:fill="F2F2F2" w:val="clear"/>
            <w:tcMar>
              <w:top w:type="dxa" w:w="80"/>
              <w:left w:type="dxa" w:w="100"/>
              <w:bottom w:type="dxa" w:w="80"/>
              <w:right w:type="dxa" w:w="100"/>
            </w:tcMar>
            <w:vAlign w:val="center"/>
          </w:tcPr>
          <w:p>
            <w:pPr>
              <w:jc w:val="left"/>
            </w:pPr>
            <w:r>
              <w:rPr>
                <w:b w:val="false"/>
                <w:bCs w:val="false"/>
                <w:color w:val="000000"/>
              </w:rPr>
              <w:t xml:space="preserve">Adoptar un framework de pruebas (PHPUnit) cubriendo al menos: registrarPrestamo, finalizar_solicitud, la validación de usuariosValidarDatos y el nuevo bloqueo de baja con préstamo activo.</w:t>
            </w:r>
          </w:p>
        </w:tc>
        <w:tc>
          <w:tcPr>
            <w:tcW w:type="dxa" w:w="1780"/>
            <w:shd w:fill="FADBD8" w:val="clear"/>
            <w:tcMar>
              <w:top w:type="dxa" w:w="80"/>
              <w:left w:type="dxa" w:w="100"/>
              <w:bottom w:type="dxa" w:w="80"/>
              <w:right w:type="dxa" w:w="100"/>
            </w:tcMar>
            <w:vAlign w:val="center"/>
          </w:tcPr>
          <w:p>
            <w:pPr>
              <w:jc w:val="center"/>
            </w:pPr>
            <w:r>
              <w:rPr>
                <w:b/>
                <w:bCs/>
                <w:color w:val="B3261E"/>
              </w:rPr>
              <w:t xml:space="preserve">Alta</w:t>
            </w:r>
          </w:p>
        </w:tc>
      </w:tr>
      <w:tr>
        <w:tc>
          <w:tcPr>
            <w:tcW w:type="dxa" w:w="8300"/>
            <w:tcMar>
              <w:top w:type="dxa" w:w="80"/>
              <w:left w:type="dxa" w:w="100"/>
              <w:bottom w:type="dxa" w:w="80"/>
              <w:right w:type="dxa" w:w="100"/>
            </w:tcMar>
            <w:vAlign w:val="center"/>
          </w:tcPr>
          <w:p>
            <w:pPr>
              <w:jc w:val="left"/>
            </w:pPr>
            <w:r>
              <w:rPr>
                <w:b w:val="false"/>
                <w:bCs w:val="false"/>
                <w:color w:val="000000"/>
              </w:rPr>
              <w:t xml:space="preserve">Confirmar en el servidor de producción que la extensión PHP zip está habilitada (requisito del nuevo generador de .xlsx) antes de publicar esta actualización.</w:t>
            </w:r>
          </w:p>
        </w:tc>
        <w:tc>
          <w:tcPr>
            <w:tcW w:type="dxa" w:w="1780"/>
            <w:shd w:fill="FADBD8" w:val="clear"/>
            <w:tcMar>
              <w:top w:type="dxa" w:w="80"/>
              <w:left w:type="dxa" w:w="100"/>
              <w:bottom w:type="dxa" w:w="80"/>
              <w:right w:type="dxa" w:w="100"/>
            </w:tcMar>
            <w:vAlign w:val="center"/>
          </w:tcPr>
          <w:p>
            <w:pPr>
              <w:jc w:val="center"/>
            </w:pPr>
            <w:r>
              <w:rPr>
                <w:b/>
                <w:bCs/>
                <w:color w:val="B3261E"/>
              </w:rPr>
              <w:t xml:space="preserve">Alta</w:t>
            </w:r>
          </w:p>
        </w:tc>
      </w:tr>
      <w:tr>
        <w:tc>
          <w:tcPr>
            <w:tcW w:type="dxa" w:w="8300"/>
            <w:shd w:fill="F2F2F2" w:val="clear"/>
            <w:tcMar>
              <w:top w:type="dxa" w:w="80"/>
              <w:left w:type="dxa" w:w="100"/>
              <w:bottom w:type="dxa" w:w="80"/>
              <w:right w:type="dxa" w:w="100"/>
            </w:tcMar>
            <w:vAlign w:val="center"/>
          </w:tcPr>
          <w:p>
            <w:pPr>
              <w:jc w:val="left"/>
            </w:pPr>
            <w:r>
              <w:rPr>
                <w:b w:val="false"/>
                <w:bCs w:val="false"/>
                <w:color w:val="000000"/>
              </w:rPr>
              <w:t xml:space="preserve">Implementar notificaciones automáticas (correo) para préstamos próximos a vencer o ya vencidos, reutilizando la misma consulta que ya alimenta el aviso del dashboard.</w:t>
            </w:r>
          </w:p>
        </w:tc>
        <w:tc>
          <w:tcPr>
            <w:tcW w:type="dxa" w:w="1780"/>
            <w:shd w:fill="FCF3CF" w:val="clear"/>
            <w:tcMar>
              <w:top w:type="dxa" w:w="80"/>
              <w:left w:type="dxa" w:w="100"/>
              <w:bottom w:type="dxa" w:w="80"/>
              <w:right w:type="dxa" w:w="100"/>
            </w:tcMar>
            <w:vAlign w:val="center"/>
          </w:tcPr>
          <w:p>
            <w:pPr>
              <w:jc w:val="center"/>
            </w:pPr>
            <w:r>
              <w:rPr>
                <w:b/>
                <w:bCs/>
                <w:color w:val="8A6D00"/>
              </w:rPr>
              <w:t xml:space="preserve">Media</w:t>
            </w:r>
          </w:p>
        </w:tc>
      </w:tr>
      <w:tr>
        <w:tc>
          <w:tcPr>
            <w:tcW w:type="dxa" w:w="8300"/>
            <w:tcMar>
              <w:top w:type="dxa" w:w="80"/>
              <w:left w:type="dxa" w:w="100"/>
              <w:bottom w:type="dxa" w:w="80"/>
              <w:right w:type="dxa" w:w="100"/>
            </w:tcMar>
            <w:vAlign w:val="center"/>
          </w:tcPr>
          <w:p>
            <w:pPr>
              <w:jc w:val="left"/>
            </w:pPr>
            <w:r>
              <w:rPr>
                <w:b w:val="false"/>
                <w:bCs w:val="false"/>
                <w:color w:val="000000"/>
              </w:rPr>
              <w:t xml:space="preserve">Agregar una pantalla de restauración de instrumentos dados de baja (ya identificada en el propio README del proyecto), aprovechando que la baja es lógica y el historial se conserva.</w:t>
            </w:r>
          </w:p>
        </w:tc>
        <w:tc>
          <w:tcPr>
            <w:tcW w:type="dxa" w:w="1780"/>
            <w:shd w:fill="FCF3CF" w:val="clear"/>
            <w:tcMar>
              <w:top w:type="dxa" w:w="80"/>
              <w:left w:type="dxa" w:w="100"/>
              <w:bottom w:type="dxa" w:w="80"/>
              <w:right w:type="dxa" w:w="100"/>
            </w:tcMar>
            <w:vAlign w:val="center"/>
          </w:tcPr>
          <w:p>
            <w:pPr>
              <w:jc w:val="center"/>
            </w:pPr>
            <w:r>
              <w:rPr>
                <w:b/>
                <w:bCs/>
                <w:color w:val="8A6D00"/>
              </w:rPr>
              <w:t xml:space="preserve">Media</w:t>
            </w:r>
          </w:p>
        </w:tc>
      </w:tr>
      <w:tr>
        <w:tc>
          <w:tcPr>
            <w:tcW w:type="dxa" w:w="8300"/>
            <w:shd w:fill="F2F2F2" w:val="clear"/>
            <w:tcMar>
              <w:top w:type="dxa" w:w="80"/>
              <w:left w:type="dxa" w:w="100"/>
              <w:bottom w:type="dxa" w:w="80"/>
              <w:right w:type="dxa" w:w="100"/>
            </w:tcMar>
            <w:vAlign w:val="center"/>
          </w:tcPr>
          <w:p>
            <w:pPr>
              <w:jc w:val="left"/>
            </w:pPr>
            <w:r>
              <w:rPr>
                <w:b w:val="false"/>
                <w:bCs w:val="false"/>
                <w:color w:val="000000"/>
              </w:rPr>
              <w:t xml:space="preserve">Extraer una capa de servicio (instrumentos_servicio.php, solicitudes_servicio.php) siguiendo el patrón ya usado en usuarios_servicio.php, para separar reglas de negocio de los controladores de api/ y facilitar pruebas unitarias.</w:t>
            </w:r>
          </w:p>
        </w:tc>
        <w:tc>
          <w:tcPr>
            <w:tcW w:type="dxa" w:w="1780"/>
            <w:shd w:fill="FCF3CF" w:val="clear"/>
            <w:tcMar>
              <w:top w:type="dxa" w:w="80"/>
              <w:left w:type="dxa" w:w="100"/>
              <w:bottom w:type="dxa" w:w="80"/>
              <w:right w:type="dxa" w:w="100"/>
            </w:tcMar>
            <w:vAlign w:val="center"/>
          </w:tcPr>
          <w:p>
            <w:pPr>
              <w:jc w:val="center"/>
            </w:pPr>
            <w:r>
              <w:rPr>
                <w:b/>
                <w:bCs/>
                <w:color w:val="8A6D00"/>
              </w:rPr>
              <w:t xml:space="preserve">Media</w:t>
            </w:r>
          </w:p>
        </w:tc>
      </w:tr>
      <w:tr>
        <w:tc>
          <w:tcPr>
            <w:tcW w:type="dxa" w:w="8300"/>
            <w:tcMar>
              <w:top w:type="dxa" w:w="80"/>
              <w:left w:type="dxa" w:w="100"/>
              <w:bottom w:type="dxa" w:w="80"/>
              <w:right w:type="dxa" w:w="100"/>
            </w:tcMar>
            <w:vAlign w:val="center"/>
          </w:tcPr>
          <w:p>
            <w:pPr>
              <w:jc w:val="left"/>
            </w:pPr>
            <w:r>
              <w:rPr>
                <w:b w:val="false"/>
                <w:bCs w:val="false"/>
                <w:color w:val="000000"/>
              </w:rPr>
              <w:t xml:space="preserve">Documentar los endpoints de api/ (parámetros, respuestas, códigos de error) en un README técnico o colección Postman/OpenAPI, útil para onboarding de nuevos desarrolladores del área de sistemas.</w:t>
            </w:r>
          </w:p>
        </w:tc>
        <w:tc>
          <w:tcPr>
            <w:tcW w:type="dxa" w:w="1780"/>
            <w:shd w:fill="DCEFE1" w:val="clear"/>
            <w:tcMar>
              <w:top w:type="dxa" w:w="80"/>
              <w:left w:type="dxa" w:w="100"/>
              <w:bottom w:type="dxa" w:w="80"/>
              <w:right w:type="dxa" w:w="100"/>
            </w:tcMar>
            <w:vAlign w:val="center"/>
          </w:tcPr>
          <w:p>
            <w:pPr>
              <w:jc w:val="center"/>
            </w:pPr>
            <w:r>
              <w:rPr>
                <w:b/>
                <w:bCs/>
                <w:color w:val="1F7A3D"/>
              </w:rPr>
              <w:t xml:space="preserve">Baja</w:t>
            </w:r>
          </w:p>
        </w:tc>
      </w:tr>
      <w:tr>
        <w:tc>
          <w:tcPr>
            <w:tcW w:type="dxa" w:w="8300"/>
            <w:shd w:fill="F2F2F2" w:val="clear"/>
            <w:tcMar>
              <w:top w:type="dxa" w:w="80"/>
              <w:left w:type="dxa" w:w="100"/>
              <w:bottom w:type="dxa" w:w="80"/>
              <w:right w:type="dxa" w:w="100"/>
            </w:tcMar>
            <w:vAlign w:val="center"/>
          </w:tcPr>
          <w:p>
            <w:pPr>
              <w:jc w:val="left"/>
            </w:pPr>
            <w:r>
              <w:rPr>
                <w:b w:val="false"/>
                <w:bCs w:val="false"/>
                <w:color w:val="000000"/>
              </w:rPr>
              <w:t xml:space="preserve">Evaluar un límite de tasa (rate limiting) básico en los endpoints de api/ más allá del ya existente para login, si el volumen de usuarios concurrentes llegara a crecer.</w:t>
            </w:r>
          </w:p>
        </w:tc>
        <w:tc>
          <w:tcPr>
            <w:tcW w:type="dxa" w:w="1780"/>
            <w:shd w:fill="DCEFE1" w:val="clear"/>
            <w:tcMar>
              <w:top w:type="dxa" w:w="80"/>
              <w:left w:type="dxa" w:w="100"/>
              <w:bottom w:type="dxa" w:w="80"/>
              <w:right w:type="dxa" w:w="100"/>
            </w:tcMar>
            <w:vAlign w:val="center"/>
          </w:tcPr>
          <w:p>
            <w:pPr>
              <w:jc w:val="center"/>
            </w:pPr>
            <w:r>
              <w:rPr>
                <w:b/>
                <w:bCs/>
                <w:color w:val="1F7A3D"/>
              </w:rPr>
              <w:t xml:space="preserve">Baja</w:t>
            </w:r>
          </w:p>
        </w:tc>
      </w:tr>
    </w:tbl>
    <w:p>
      <w:pPr>
        <w:pStyle w:val="Heading1"/>
        <w:spacing w:after="160" w:before="360"/>
      </w:pPr>
      <w:r>
        <w:t xml:space="preserve">8. Plan de implementación</w:t>
      </w:r>
    </w:p>
    <w:p>
      <w:pPr>
        <w:spacing w:after="160" w:line="276"/>
      </w:pPr>
      <w:r>
        <w:t xml:space="preserve">Ordenado por prioridad de ejecución. Las tres primeras mejoras ya se implementaron directamente en el código como parte de esta revisión (ver sección 9); las siguientes quedan documentadas como siguientes pasos.</w:t>
      </w:r>
    </w:p>
    <w:p>
      <w:pPr>
        <w:pStyle w:val="Heading3"/>
        <w:spacing w:after="100" w:before="200"/>
      </w:pPr>
      <w:r>
        <w:t xml:space="preserve">8.1 Exportación real en formato .xlsx</w:t>
      </w:r>
    </w:p>
    <w:p>
      <w:pPr>
        <w:spacing w:after="160" w:line="276"/>
      </w:pPr>
      <w:r>
        <w:rPr>
          <w:b/>
          <w:bCs/>
        </w:rPr>
        <w:t xml:space="preserve">Estado: </w:t>
      </w:r>
      <w:r>
        <w:rPr>
          <w:b/>
          <w:bCs/>
          <w:color w:val="1F7A3D"/>
        </w:rPr>
        <w:t xml:space="preserve">Implementado en esta sesión</w:t>
      </w:r>
    </w:p>
    <w:p>
      <w:pPr>
        <w:spacing w:after="160" w:line="276"/>
      </w:pPr>
      <w:r>
        <w:rPr>
          <w:b/>
          <w:bCs/>
        </w:rPr>
        <w:t xml:space="preserve">Problema que resuelve: </w:t>
      </w:r>
      <w:r>
        <w:t xml:space="preserve">Los botones "Exportar Excel"/"Exportar Control Excel" entregaban un .csv, incumpliendo la letra del manual (secciones 3.4-3.5) y generando confusión sobre el formato real del archivo.</w:t>
      </w:r>
    </w:p>
    <w:p>
      <w:pPr>
        <w:spacing w:after="160" w:line="276"/>
      </w:pPr>
      <w:r>
        <w:rPr>
          <w:b/>
          <w:bCs/>
        </w:rPr>
        <w:t xml:space="preserve">Beneficio esperado: </w:t>
      </w:r>
      <w:r>
        <w:t xml:space="preserve">El archivo descargado coincide exactamente con lo que su nombre y el manual prometen; se abre de forma nativa en Excel sin advertencias de formato.</w:t>
      </w:r>
    </w:p>
    <w:p>
      <w:pPr>
        <w:spacing w:after="160" w:line="276"/>
      </w:pPr>
      <w:r>
        <w:rPr>
          <w:b/>
          <w:bCs/>
        </w:rPr>
        <w:t xml:space="preserve">Archivos involucrados: </w:t>
      </w:r>
      <w:r>
        <w:t xml:space="preserve">includes/xlsx_writer.php (nuevo), api/export_inventario.php, api/export_control.php</w:t>
      </w:r>
    </w:p>
    <w:p>
      <w:pPr>
        <w:spacing w:after="160" w:line="276"/>
      </w:pPr>
      <w:r>
        <w:rPr>
          <w:b/>
          <w:bCs/>
        </w:rPr>
        <w:t xml:space="preserve">Complejidad: </w:t>
      </w:r>
      <w:r>
        <w:t xml:space="preserve">Media</w:t>
      </w:r>
    </w:p>
    <w:p>
      <w:pPr>
        <w:spacing w:after="160" w:line="276"/>
      </w:pPr>
      <w:r>
        <w:rPr>
          <w:b/>
          <w:bCs/>
        </w:rPr>
        <w:t xml:space="preserve">Dependencias: </w:t>
      </w:r>
      <w:r>
        <w:t xml:space="preserve">Extensión PHP ZipArchive (estándar en XAMPP)</w:t>
      </w:r>
    </w:p>
    <w:p>
      <w:pPr>
        <w:spacing w:after="160" w:line="276"/>
      </w:pPr>
      <w:r>
        <w:rPr>
          <w:b/>
          <w:bCs/>
        </w:rPr>
        <w:t xml:space="preserve">Riesgos: </w:t>
      </w:r>
      <w:r>
        <w:t xml:space="preserve">Bajo: no modifica ninguna consulta SQL ni el contrato de columnas ya existente.</w:t>
      </w:r>
    </w:p>
    <w:p>
      <w:pPr>
        <w:pStyle w:val="Heading3"/>
        <w:spacing w:after="100" w:before="200"/>
      </w:pPr>
      <w:r>
        <w:t xml:space="preserve">8.2 Bloqueo de baja de instrumentos con préstamo activo</w:t>
      </w:r>
    </w:p>
    <w:p>
      <w:pPr>
        <w:spacing w:after="160" w:line="276"/>
      </w:pPr>
      <w:r>
        <w:rPr>
          <w:b/>
          <w:bCs/>
        </w:rPr>
        <w:t xml:space="preserve">Estado: </w:t>
      </w:r>
      <w:r>
        <w:rPr>
          <w:b/>
          <w:bCs/>
          <w:color w:val="1F7A3D"/>
        </w:rPr>
        <w:t xml:space="preserve">Implementado en esta sesión</w:t>
      </w:r>
    </w:p>
    <w:p>
      <w:pPr>
        <w:spacing w:after="160" w:line="276"/>
      </w:pPr>
      <w:r>
        <w:rPr>
          <w:b/>
          <w:bCs/>
        </w:rPr>
        <w:t xml:space="preserve">Problema que resuelve: </w:t>
      </w:r>
      <w:r>
        <w:t xml:space="preserve">Un instrumento con estado 'en_uso' podía darse de baja, dejando una solicitud 'activa' huérfana.</w:t>
      </w:r>
    </w:p>
    <w:p>
      <w:pPr>
        <w:spacing w:after="160" w:line="276"/>
      </w:pPr>
      <w:r>
        <w:rPr>
          <w:b/>
          <w:bCs/>
        </w:rPr>
        <w:t xml:space="preserve">Beneficio esperado: </w:t>
      </w:r>
      <w:r>
        <w:t xml:space="preserve">Garantiza consistencia entre el estado del instrumento y el estado de sus solicitudes; evita perder trazabilidad de un préstamo en curso.</w:t>
      </w:r>
    </w:p>
    <w:p>
      <w:pPr>
        <w:spacing w:after="160" w:line="276"/>
      </w:pPr>
      <w:r>
        <w:rPr>
          <w:b/>
          <w:bCs/>
        </w:rPr>
        <w:t xml:space="preserve">Archivos involucrados: </w:t>
      </w:r>
      <w:r>
        <w:t xml:space="preserve">api/instrumentos.php (acción 'eliminar')</w:t>
      </w:r>
    </w:p>
    <w:p>
      <w:pPr>
        <w:spacing w:after="160" w:line="276"/>
      </w:pPr>
      <w:r>
        <w:rPr>
          <w:b/>
          <w:bCs/>
        </w:rPr>
        <w:t xml:space="preserve">Complejidad: </w:t>
      </w:r>
      <w:r>
        <w:t xml:space="preserve">Baja</w:t>
      </w:r>
    </w:p>
    <w:p>
      <w:pPr>
        <w:spacing w:after="160" w:line="276"/>
      </w:pPr>
      <w:r>
        <w:rPr>
          <w:b/>
          <w:bCs/>
        </w:rPr>
        <w:t xml:space="preserve">Dependencias: </w:t>
      </w:r>
      <w:r>
        <w:t xml:space="preserve">Ninguna</w:t>
      </w:r>
    </w:p>
    <w:p>
      <w:pPr>
        <w:spacing w:after="160" w:line="276"/>
      </w:pPr>
      <w:r>
        <w:rPr>
          <w:b/>
          <w:bCs/>
        </w:rPr>
        <w:t xml:space="preserve">Riesgos: </w:t>
      </w:r>
      <w:r>
        <w:t xml:space="preserve">Bajo: solo agrega una validación adicional antes de una operación ya restringida a administradores.</w:t>
      </w:r>
    </w:p>
    <w:p>
      <w:pPr>
        <w:pStyle w:val="Heading3"/>
        <w:spacing w:after="100" w:before="200"/>
      </w:pPr>
      <w:r>
        <w:t xml:space="preserve">8.3 Uso de la constante PAGINACION_POR_PAGINA</w:t>
      </w:r>
    </w:p>
    <w:p>
      <w:pPr>
        <w:spacing w:after="160" w:line="276"/>
      </w:pPr>
      <w:r>
        <w:rPr>
          <w:b/>
          <w:bCs/>
        </w:rPr>
        <w:t xml:space="preserve">Estado: </w:t>
      </w:r>
      <w:r>
        <w:rPr>
          <w:b/>
          <w:bCs/>
          <w:color w:val="1F7A3D"/>
        </w:rPr>
        <w:t xml:space="preserve">Implementado en esta sesión</w:t>
      </w:r>
    </w:p>
    <w:p>
      <w:pPr>
        <w:spacing w:after="160" w:line="276"/>
      </w:pPr>
      <w:r>
        <w:rPr>
          <w:b/>
          <w:bCs/>
        </w:rPr>
        <w:t xml:space="preserve">Problema que resuelve: </w:t>
      </w:r>
      <w:r>
        <w:t xml:space="preserve">El tamaño de página (10) estaba duplicado como literal en api/instrumentos.php y api/control.php en vez de reutilizar la constante ya definida en config/constants.php (violación de DRY).</w:t>
      </w:r>
    </w:p>
    <w:p>
      <w:pPr>
        <w:spacing w:after="160" w:line="276"/>
      </w:pPr>
      <w:r>
        <w:rPr>
          <w:b/>
          <w:bCs/>
        </w:rPr>
        <w:t xml:space="preserve">Beneficio esperado: </w:t>
      </w:r>
      <w:r>
        <w:t xml:space="preserve">Un solo punto de cambio para ajustar la paginación de todo el sistema; mismo comportamiento visible para el usuario (10 continúa siendo el valor).</w:t>
      </w:r>
    </w:p>
    <w:p>
      <w:pPr>
        <w:spacing w:after="160" w:line="276"/>
      </w:pPr>
      <w:r>
        <w:rPr>
          <w:b/>
          <w:bCs/>
        </w:rPr>
        <w:t xml:space="preserve">Archivos involucrados: </w:t>
      </w:r>
      <w:r>
        <w:t xml:space="preserve">api/instrumentos.php, api/control.php</w:t>
      </w:r>
    </w:p>
    <w:p>
      <w:pPr>
        <w:spacing w:after="160" w:line="276"/>
      </w:pPr>
      <w:r>
        <w:rPr>
          <w:b/>
          <w:bCs/>
        </w:rPr>
        <w:t xml:space="preserve">Complejidad: </w:t>
      </w:r>
      <w:r>
        <w:t xml:space="preserve">Baja</w:t>
      </w:r>
    </w:p>
    <w:p>
      <w:pPr>
        <w:spacing w:after="160" w:line="276"/>
      </w:pPr>
      <w:r>
        <w:rPr>
          <w:b/>
          <w:bCs/>
        </w:rPr>
        <w:t xml:space="preserve">Dependencias: </w:t>
      </w:r>
      <w:r>
        <w:t xml:space="preserve">Ninguna</w:t>
      </w:r>
    </w:p>
    <w:p>
      <w:pPr>
        <w:spacing w:after="160" w:line="276"/>
      </w:pPr>
      <w:r>
        <w:rPr>
          <w:b/>
          <w:bCs/>
        </w:rPr>
        <w:t xml:space="preserve">Riesgos: </w:t>
      </w:r>
      <w:r>
        <w:t xml:space="preserve">Ninguno: el valor numérico no cambia.</w:t>
      </w:r>
    </w:p>
    <w:p>
      <w:pPr>
        <w:pStyle w:val="Heading3"/>
        <w:spacing w:after="100" w:before="200"/>
      </w:pPr>
      <w:r>
        <w:t xml:space="preserve">8.4 Verificación del formato físico de etiquetas y mejora del escaneo</w:t>
      </w:r>
    </w:p>
    <w:p>
      <w:pPr>
        <w:spacing w:after="160" w:line="276"/>
      </w:pPr>
      <w:r>
        <w:rPr>
          <w:b/>
          <w:bCs/>
        </w:rPr>
        <w:t xml:space="preserve">Estado: </w:t>
      </w:r>
      <w:r>
        <w:rPr>
          <w:b/>
          <w:bCs/>
          <w:color w:val="8A6D00"/>
        </w:rPr>
        <w:t xml:space="preserve">Pendiente — requiere decisión institucional previa</w:t>
      </w:r>
    </w:p>
    <w:p>
      <w:pPr>
        <w:spacing w:after="160" w:line="276"/>
      </w:pPr>
      <w:r>
        <w:rPr>
          <w:b/>
          <w:bCs/>
        </w:rPr>
        <w:t xml:space="preserve">Problema que resuelve: </w:t>
      </w:r>
      <w:r>
        <w:t xml:space="preserve">El manual espera 4 modalidades de lectura y menciona OCR; la app actual depende de BarcodeDetector, que no lee texto plano sin símbolo de código.</w:t>
      </w:r>
    </w:p>
    <w:p>
      <w:pPr>
        <w:spacing w:after="160" w:line="276"/>
      </w:pPr>
      <w:r>
        <w:rPr>
          <w:b/>
          <w:bCs/>
        </w:rPr>
        <w:t xml:space="preserve">Beneficio esperado: </w:t>
      </w:r>
      <w:r>
        <w:t xml:space="preserve">Escaneo verdaderamente automático también sobre etiquetas de solo texto, cerrando la brecha funcional más visible para el usuario final.</w:t>
      </w:r>
    </w:p>
    <w:p>
      <w:pPr>
        <w:spacing w:after="160" w:line="276"/>
      </w:pPr>
      <w:r>
        <w:rPr>
          <w:b/>
          <w:bCs/>
        </w:rPr>
        <w:t xml:space="preserve">Archivos involucrados: </w:t>
      </w:r>
      <w:r>
        <w:t xml:space="preserve">app/app.js, app/index.php (posible nueva dependencia cliente, p. ej. Tesseract.js vía CDN)</w:t>
      </w:r>
    </w:p>
    <w:p>
      <w:pPr>
        <w:spacing w:after="160" w:line="276"/>
      </w:pPr>
      <w:r>
        <w:rPr>
          <w:b/>
          <w:bCs/>
        </w:rPr>
        <w:t xml:space="preserve">Complejidad: </w:t>
      </w:r>
      <w:r>
        <w:t xml:space="preserve">Alta</w:t>
      </w:r>
    </w:p>
    <w:p>
      <w:pPr>
        <w:spacing w:after="160" w:line="276"/>
      </w:pPr>
      <w:r>
        <w:rPr>
          <w:b/>
          <w:bCs/>
        </w:rPr>
        <w:t xml:space="preserve">Dependencias: </w:t>
      </w:r>
      <w:r>
        <w:t xml:space="preserve">Confirmación institucional del formato de etiquetado; en su caso, una librería de OCR en el cliente</w:t>
      </w:r>
    </w:p>
    <w:p>
      <w:pPr>
        <w:spacing w:after="160" w:line="276"/>
      </w:pPr>
      <w:r>
        <w:rPr>
          <w:b/>
          <w:bCs/>
        </w:rPr>
        <w:t xml:space="preserve">Riesgos: </w:t>
      </w:r>
      <w:r>
        <w:t xml:space="preserve">Medio: el rendimiento de OCR en dispositivos móviles de gama baja puede ser bajo; requiere pruebas de campo.</w:t>
      </w:r>
    </w:p>
    <w:p>
      <w:pPr>
        <w:pStyle w:val="Heading3"/>
        <w:spacing w:after="100" w:before="200"/>
      </w:pPr>
      <w:r>
        <w:t xml:space="preserve">8.5 Suite de pruebas automatizadas (PHPUnit)</w:t>
      </w:r>
    </w:p>
    <w:p>
      <w:pPr>
        <w:spacing w:after="160" w:line="276"/>
      </w:pPr>
      <w:r>
        <w:rPr>
          <w:b/>
          <w:bCs/>
        </w:rPr>
        <w:t xml:space="preserve">Estado: </w:t>
      </w:r>
      <w:r>
        <w:rPr>
          <w:b/>
          <w:bCs/>
          <w:color w:val="8A6D00"/>
        </w:rPr>
        <w:t xml:space="preserve">Pendiente</w:t>
      </w:r>
    </w:p>
    <w:p>
      <w:pPr>
        <w:spacing w:after="160" w:line="276"/>
      </w:pPr>
      <w:r>
        <w:rPr>
          <w:b/>
          <w:bCs/>
        </w:rPr>
        <w:t xml:space="preserve">Problema que resuelve: </w:t>
      </w:r>
      <w:r>
        <w:t xml:space="preserve">No existe cobertura de pruebas sobre la lógica crítica de préstamos, devoluciones e incidencias.</w:t>
      </w:r>
    </w:p>
    <w:p>
      <w:pPr>
        <w:spacing w:after="160" w:line="276"/>
      </w:pPr>
      <w:r>
        <w:rPr>
          <w:b/>
          <w:bCs/>
        </w:rPr>
        <w:t xml:space="preserve">Beneficio esperado: </w:t>
      </w:r>
      <w:r>
        <w:t xml:space="preserve">Reduce el riesgo de regresiones en cambios futuros y documenta el comportamiento esperado de las reglas de negocio más sensibles.</w:t>
      </w:r>
    </w:p>
    <w:p>
      <w:pPr>
        <w:spacing w:after="160" w:line="276"/>
      </w:pPr>
      <w:r>
        <w:rPr>
          <w:b/>
          <w:bCs/>
        </w:rPr>
        <w:t xml:space="preserve">Archivos involucrados: </w:t>
      </w:r>
      <w:r>
        <w:t xml:space="preserve">Nuevo directorio tests/, composer.json (nuevo, solo como devDependency de PHPUnit)</w:t>
      </w:r>
    </w:p>
    <w:p>
      <w:pPr>
        <w:spacing w:after="160" w:line="276"/>
      </w:pPr>
      <w:r>
        <w:rPr>
          <w:b/>
          <w:bCs/>
        </w:rPr>
        <w:t xml:space="preserve">Complejidad: </w:t>
      </w:r>
      <w:r>
        <w:t xml:space="preserve">Media</w:t>
      </w:r>
    </w:p>
    <w:p>
      <w:pPr>
        <w:spacing w:after="160" w:line="276"/>
      </w:pPr>
      <w:r>
        <w:rPr>
          <w:b/>
          <w:bCs/>
        </w:rPr>
        <w:t xml:space="preserve">Dependencias: </w:t>
      </w:r>
      <w:r>
        <w:t xml:space="preserve">Composer (no usado actualmente en el proyecto; introducir solo como herramienta de desarrollo, no en producción)</w:t>
      </w:r>
    </w:p>
    <w:p>
      <w:pPr>
        <w:spacing w:after="160" w:line="276"/>
      </w:pPr>
      <w:r>
        <w:rPr>
          <w:b/>
          <w:bCs/>
        </w:rPr>
        <w:t xml:space="preserve">Riesgos: </w:t>
      </w:r>
      <w:r>
        <w:t xml:space="preserve">Bajo: no afecta el runtime de producción si se configura solo como dependencia de desarrollo.</w:t>
      </w:r>
    </w:p>
    <w:p>
      <w:pPr>
        <w:pStyle w:val="Heading3"/>
        <w:spacing w:after="100" w:before="200"/>
      </w:pPr>
      <w:r>
        <w:t xml:space="preserve">8.6 Notificaciones automáticas de vencimiento</w:t>
      </w:r>
    </w:p>
    <w:p>
      <w:pPr>
        <w:spacing w:after="160" w:line="276"/>
      </w:pPr>
      <w:r>
        <w:rPr>
          <w:b/>
          <w:bCs/>
        </w:rPr>
        <w:t xml:space="preserve">Estado: </w:t>
      </w:r>
      <w:r>
        <w:rPr>
          <w:b/>
          <w:bCs/>
          <w:color w:val="8A6D00"/>
        </w:rPr>
        <w:t xml:space="preserve">Pendiente (ya prevista en el README del proyecto)</w:t>
      </w:r>
    </w:p>
    <w:p>
      <w:pPr>
        <w:spacing w:after="160" w:line="276"/>
      </w:pPr>
      <w:r>
        <w:rPr>
          <w:b/>
          <w:bCs/>
        </w:rPr>
        <w:t xml:space="preserve">Problema que resuelve: </w:t>
      </w:r>
      <w:r>
        <w:t xml:space="preserve">El sistema detecta préstamos vencidos pero no avisa proactivamente.</w:t>
      </w:r>
    </w:p>
    <w:p>
      <w:pPr>
        <w:spacing w:after="160" w:line="276"/>
      </w:pPr>
      <w:r>
        <w:rPr>
          <w:b/>
          <w:bCs/>
        </w:rPr>
        <w:t xml:space="preserve">Beneficio esperado: </w:t>
      </w:r>
      <w:r>
        <w:t xml:space="preserve">Reduce el tiempo en que un bien permanece fuera de control sin que el operador lo note.</w:t>
      </w:r>
    </w:p>
    <w:p>
      <w:pPr>
        <w:spacing w:after="160" w:line="276"/>
      </w:pPr>
      <w:r>
        <w:rPr>
          <w:b/>
          <w:bCs/>
        </w:rPr>
        <w:t xml:space="preserve">Archivos involucrados: </w:t>
      </w:r>
      <w:r>
        <w:t xml:space="preserve">Nuevo script programado (cron) + función de envío de correo (config adicional de SMTP)</w:t>
      </w:r>
    </w:p>
    <w:p>
      <w:pPr>
        <w:spacing w:after="160" w:line="276"/>
      </w:pPr>
      <w:r>
        <w:rPr>
          <w:b/>
          <w:bCs/>
        </w:rPr>
        <w:t xml:space="preserve">Complejidad: </w:t>
      </w:r>
      <w:r>
        <w:t xml:space="preserve">Media</w:t>
      </w:r>
    </w:p>
    <w:p>
      <w:pPr>
        <w:spacing w:after="160" w:line="276"/>
      </w:pPr>
      <w:r>
        <w:rPr>
          <w:b/>
          <w:bCs/>
        </w:rPr>
        <w:t xml:space="preserve">Dependencias: </w:t>
      </w:r>
      <w:r>
        <w:t xml:space="preserve">Servidor de correo saliente (SMTP) disponible para el municipio</w:t>
      </w:r>
    </w:p>
    <w:p>
      <w:pPr>
        <w:spacing w:after="160" w:line="276"/>
      </w:pPr>
      <w:r>
        <w:rPr>
          <w:b/>
          <w:bCs/>
        </w:rPr>
        <w:t xml:space="preserve">Riesgos: </w:t>
      </w:r>
      <w:r>
        <w:t xml:space="preserve">Bajo</w:t>
      </w:r>
    </w:p>
    <w:p>
      <w:pPr>
        <w:pStyle w:val="Heading1"/>
        <w:spacing w:after="160" w:before="360"/>
      </w:pPr>
      <w:r>
        <w:t xml:space="preserve">9. Implementación de las mejoras de mayor prioridad</w:t>
      </w:r>
    </w:p>
    <w:p>
      <w:pPr>
        <w:spacing w:after="160" w:line="276"/>
      </w:pPr>
      <w:r>
        <w:t xml:space="preserve">Siguiendo el criterio de no eliminar funcionalidad existente, no alterar procesos institucionales sin una justificación clara y mantener compatibilidad con la arquitectura actual (PHP vanilla + PDO, sin frameworks ni Composer), se implementaron directamente las tres mejoras de menor riesgo y mayor impacto detectadas en la auditoría.</w:t>
      </w:r>
    </w:p>
    <w:p>
      <w:pPr>
        <w:pStyle w:val="Heading2"/>
        <w:spacing w:after="120" w:before="260"/>
      </w:pPr>
      <w:r>
        <w:t xml:space="preserve">9.1 Exportación real en formato .xlsx</w:t>
      </w:r>
    </w:p>
    <w:p>
      <w:pPr>
        <w:spacing w:after="160" w:line="276"/>
      </w:pPr>
      <w:r>
        <w:t xml:space="preserve">Se creó includes/xlsx_writer.php, un generador de archivos .xlsx (formato OOXML / SpreadsheetML) que no depende de Composer ni de PhpSpreadsheet: usa únicamente la extensión ZipArchive, ya incluida por defecto en XAMPP. La función pública exportarXlsx(nombre, encabezados, filas, nombreHoja) construye el paquete .xlsx completo (Content Types, relaciones, workbook, hoja de estilos con encabezado en negrita y una hoja de datos con la primera fila inmovilizada) y lo entrega como descarga con las cabeceras HTTP correctas.</w:t>
      </w:r>
    </w:p>
    <w:p>
      <w:pPr>
        <w:spacing w:after="160" w:line="276"/>
      </w:pPr>
      <w:r>
        <w:t xml:space="preserve">Se adaptaron api/export_inventario.php y api/export_control.php para usar este generador. La consulta SQL, los filtros (estado, fecha_inicio, fecha_fin) y las reglas de formato de cada columna (por ejemplo, la etiqueta "Vencido") se mantuvieron intactos: solo cambió la capa de serialización del archivo de salida. Del lado del cliente no fue necesario modificar assets/js/inventario.js ni assets/js/control.js, ya que ambos simplemente navegan a la URL del endpoint (window.location.href) y reciben lo que el servidor entregue.</w:t>
      </w:r>
    </w:p>
    <w:p>
      <w:pPr>
        <w:spacing w:after="160" w:line="276"/>
      </w:pPr>
      <w:r>
        <w:t xml:space="preserve">Validación: se verificó la estructura del archivo generado (XML de cada parte del paquete OOXML) reproduciendo la misma lógica en un entorno de prueba y abriendo el resultado con una librería de lectura de hojas de cálculo, confirmando encabezados y filas correctos sin advertencias de corrupción.</w:t>
      </w:r>
    </w:p>
    <w:p>
      <w:pPr>
        <w:pStyle w:val="Heading2"/>
        <w:spacing w:after="120" w:before="260"/>
      </w:pPr>
      <w:r>
        <w:t xml:space="preserve">9.2 Bloqueo de baja de instrumentos con préstamo activo</w:t>
      </w:r>
    </w:p>
    <w:p>
      <w:pPr>
        <w:spacing w:after="160" w:line="276"/>
      </w:pPr>
      <w:r>
        <w:t xml:space="preserve">En api/instrumentos.php (acción 'eliminar') se agregó una verificación: si el instrumento tiene estado 'en_uso' (préstamo activo), la baja se rechaza con un código HTTP 409 y un mensaje claro que indica registrar primero la devolución en el módulo de Control. Esto cierra una inconsistencia real: antes era posible dar de baja un bien mientras su solicitud seguía marcada como 'activa', dejando un préstamo sin instrumento válido al que devolver. La corrección no modifica el resto del flujo de baja (que sigue siendo lógica, preservando fecha_baja y motivo_baja) ni afecta a instrumentos disponibles o en mantenimiento, que pueden darse de baja exactamente igual que antes.</w:t>
      </w:r>
    </w:p>
    <w:p>
      <w:pPr>
        <w:pStyle w:val="Heading2"/>
        <w:spacing w:after="120" w:before="260"/>
      </w:pPr>
      <w:r>
        <w:t xml:space="preserve">9.3 Eliminación de la duplicación del tamaño de página</w:t>
      </w:r>
    </w:p>
    <w:p>
      <w:pPr>
        <w:spacing w:after="160" w:line="276"/>
      </w:pPr>
      <w:r>
        <w:t xml:space="preserve">api/instrumentos.php y api/control.php tenían el valor de paginación (10) escrito como literal en dos lugares distintos, en paralelo a la constante PAGINACION_POR_PAGINA ya definida (y sin usar) en config/constants.php. Se sustituyeron ambos literales por la constante centralizada. El comportamiento visible para el usuario no cambia (el valor sigue siendo 10 elementos por página); el beneficio es exclusivamente de mantenibilidad: a futuro, ajustar la paginación de todo el sistema requiere editar un solo archivo.</w:t>
      </w:r>
    </w:p>
    <w:p>
      <w:pPr>
        <w:pStyle w:val="Heading2"/>
        <w:spacing w:after="120" w:before="260"/>
      </w:pPr>
      <w:r>
        <w:t xml:space="preserve">9.4 Resumen de archivos modificados o creados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7A1F3D" w:val="clear"/>
            <w:tcMar>
              <w:top w:type="dxa" w:w="80"/>
              <w:left w:type="dxa" w:w="100"/>
              <w:bottom w:type="dxa" w:w="80"/>
              <w:right w:type="dxa" w:w="100"/>
            </w:tcMar>
            <w:vAlign w:val="center"/>
          </w:tcPr>
          <w:p>
            <w:pPr>
              <w:jc w:val="left"/>
            </w:pPr>
            <w:r>
              <w:rPr>
                <w:b/>
                <w:bCs/>
                <w:color w:val="FFFFFF"/>
              </w:rPr>
              <w:t xml:space="preserve">Archivo</w:t>
            </w:r>
          </w:p>
        </w:tc>
        <w:tc>
          <w:tcPr>
            <w:tcW w:type="dxa" w:w="5580"/>
            <w:shd w:fill="7A1F3D" w:val="clear"/>
            <w:tcMar>
              <w:top w:type="dxa" w:w="80"/>
              <w:left w:type="dxa" w:w="100"/>
              <w:bottom w:type="dxa" w:w="80"/>
              <w:right w:type="dxa" w:w="100"/>
            </w:tcMar>
            <w:vAlign w:val="center"/>
          </w:tcPr>
          <w:p>
            <w:pPr>
              <w:jc w:val="left"/>
            </w:pPr>
            <w:r>
              <w:rPr>
                <w:b/>
                <w:bCs/>
                <w:color w:val="FFFFFF"/>
              </w:rPr>
              <w:t xml:space="preserve">Tipo de cambio</w:t>
            </w:r>
          </w:p>
        </w:tc>
      </w:tr>
      <w:tr>
        <w:tc>
          <w:tcPr>
            <w:tcW w:type="dxa" w:w="4500"/>
            <w:tcMar>
              <w:top w:type="dxa" w:w="80"/>
              <w:left w:type="dxa" w:w="100"/>
              <w:bottom w:type="dxa" w:w="80"/>
              <w:right w:type="dxa" w:w="100"/>
            </w:tcMar>
            <w:vAlign w:val="center"/>
          </w:tcPr>
          <w:p>
            <w:pPr>
              <w:jc w:val="left"/>
            </w:pPr>
            <w:r>
              <w:rPr>
                <w:b w:val="false"/>
                <w:bCs w:val="false"/>
                <w:color w:val="000000"/>
              </w:rPr>
              <w:t xml:space="preserve">includes/xlsx_writer.php</w:t>
            </w:r>
          </w:p>
        </w:tc>
        <w:tc>
          <w:tcPr>
            <w:tcW w:type="dxa" w:w="5580"/>
            <w:tcMar>
              <w:top w:type="dxa" w:w="80"/>
              <w:left w:type="dxa" w:w="100"/>
              <w:bottom w:type="dxa" w:w="80"/>
              <w:right w:type="dxa" w:w="100"/>
            </w:tcMar>
            <w:vAlign w:val="center"/>
          </w:tcPr>
          <w:p>
            <w:pPr>
              <w:jc w:val="left"/>
            </w:pPr>
            <w:r>
              <w:rPr>
                <w:b w:val="false"/>
                <w:bCs w:val="false"/>
                <w:color w:val="000000"/>
              </w:rPr>
              <w:t xml:space="preserve">Nuevo — generador de archivos .xlsx sin dependencias externas.</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rPr>
              <w:t xml:space="preserve">api/export_inventario.php</w:t>
            </w:r>
          </w:p>
        </w:tc>
        <w:tc>
          <w:tcPr>
            <w:tcW w:type="dxa" w:w="5580"/>
            <w:shd w:fill="F2F2F2" w:val="clear"/>
            <w:tcMar>
              <w:top w:type="dxa" w:w="80"/>
              <w:left w:type="dxa" w:w="100"/>
              <w:bottom w:type="dxa" w:w="80"/>
              <w:right w:type="dxa" w:w="100"/>
            </w:tcMar>
            <w:vAlign w:val="center"/>
          </w:tcPr>
          <w:p>
            <w:pPr>
              <w:jc w:val="left"/>
            </w:pPr>
            <w:r>
              <w:rPr>
                <w:b w:val="false"/>
                <w:bCs w:val="false"/>
                <w:color w:val="000000"/>
              </w:rPr>
              <w:t xml:space="preserve">Modificado — usa exportarXlsx() en vez de fputcsv().</w:t>
            </w:r>
          </w:p>
        </w:tc>
      </w:tr>
      <w:tr>
        <w:tc>
          <w:tcPr>
            <w:tcW w:type="dxa" w:w="4500"/>
            <w:tcMar>
              <w:top w:type="dxa" w:w="80"/>
              <w:left w:type="dxa" w:w="100"/>
              <w:bottom w:type="dxa" w:w="80"/>
              <w:right w:type="dxa" w:w="100"/>
            </w:tcMar>
            <w:vAlign w:val="center"/>
          </w:tcPr>
          <w:p>
            <w:pPr>
              <w:jc w:val="left"/>
            </w:pPr>
            <w:r>
              <w:rPr>
                <w:b w:val="false"/>
                <w:bCs w:val="false"/>
                <w:color w:val="000000"/>
              </w:rPr>
              <w:t xml:space="preserve">api/export_control.php</w:t>
            </w:r>
          </w:p>
        </w:tc>
        <w:tc>
          <w:tcPr>
            <w:tcW w:type="dxa" w:w="5580"/>
            <w:tcMar>
              <w:top w:type="dxa" w:w="80"/>
              <w:left w:type="dxa" w:w="100"/>
              <w:bottom w:type="dxa" w:w="80"/>
              <w:right w:type="dxa" w:w="100"/>
            </w:tcMar>
            <w:vAlign w:val="center"/>
          </w:tcPr>
          <w:p>
            <w:pPr>
              <w:jc w:val="left"/>
            </w:pPr>
            <w:r>
              <w:rPr>
                <w:b w:val="false"/>
                <w:bCs w:val="false"/>
                <w:color w:val="000000"/>
              </w:rPr>
              <w:t xml:space="preserve">Modificado — usa exportarXlsx() en vez de fputcsv().</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rPr>
              <w:t xml:space="preserve">api/instrumentos.php</w:t>
            </w:r>
          </w:p>
        </w:tc>
        <w:tc>
          <w:tcPr>
            <w:tcW w:type="dxa" w:w="5580"/>
            <w:shd w:fill="F2F2F2" w:val="clear"/>
            <w:tcMar>
              <w:top w:type="dxa" w:w="80"/>
              <w:left w:type="dxa" w:w="100"/>
              <w:bottom w:type="dxa" w:w="80"/>
              <w:right w:type="dxa" w:w="100"/>
            </w:tcMar>
            <w:vAlign w:val="center"/>
          </w:tcPr>
          <w:p>
            <w:pPr>
              <w:jc w:val="left"/>
            </w:pPr>
            <w:r>
              <w:rPr>
                <w:b w:val="false"/>
                <w:bCs w:val="false"/>
                <w:color w:val="000000"/>
              </w:rPr>
              <w:t xml:space="preserve">Modificado — bloqueo de baja con préstamo activo + uso de PAGINACION_POR_PAGINA.</w:t>
            </w:r>
          </w:p>
        </w:tc>
      </w:tr>
      <w:tr>
        <w:tc>
          <w:tcPr>
            <w:tcW w:type="dxa" w:w="4500"/>
            <w:tcMar>
              <w:top w:type="dxa" w:w="80"/>
              <w:left w:type="dxa" w:w="100"/>
              <w:bottom w:type="dxa" w:w="80"/>
              <w:right w:type="dxa" w:w="100"/>
            </w:tcMar>
            <w:vAlign w:val="center"/>
          </w:tcPr>
          <w:p>
            <w:pPr>
              <w:jc w:val="left"/>
            </w:pPr>
            <w:r>
              <w:rPr>
                <w:b w:val="false"/>
                <w:bCs w:val="false"/>
                <w:color w:val="000000"/>
              </w:rPr>
              <w:t xml:space="preserve">api/control.php</w:t>
            </w:r>
          </w:p>
        </w:tc>
        <w:tc>
          <w:tcPr>
            <w:tcW w:type="dxa" w:w="5580"/>
            <w:tcMar>
              <w:top w:type="dxa" w:w="80"/>
              <w:left w:type="dxa" w:w="100"/>
              <w:bottom w:type="dxa" w:w="80"/>
              <w:right w:type="dxa" w:w="100"/>
            </w:tcMar>
            <w:vAlign w:val="center"/>
          </w:tcPr>
          <w:p>
            <w:pPr>
              <w:jc w:val="left"/>
            </w:pPr>
            <w:r>
              <w:rPr>
                <w:b w:val="false"/>
                <w:bCs w:val="false"/>
                <w:color w:val="000000"/>
              </w:rPr>
              <w:t xml:space="preserve">Modificado — uso de PAGINACION_POR_PAGINA.</w:t>
            </w:r>
          </w:p>
        </w:tc>
      </w:tr>
    </w:tbl>
    <w:p>
      <w:pPr>
        <w:spacing w:before="200"/>
      </w:pPr>
    </w:p>
    <w:p>
      <w:pPr>
        <w:spacing w:after="160" w:line="276"/>
      </w:pPr>
      <w:r>
        <w:t xml:space="preserve">Ninguno de estos cambios elimina funcionalidad existente, altera un proceso institucional propio del área de Cultura Comunitaria y Escuelas de Arte, ni rompe la compatibilidad con la arquitectura PHP + PDO + JavaScript vanilla ya establecida en el proyecto.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5A1730"/>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7A1F3D"/>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2026-07-25T00:39:17.714Z</dcterms:created>
  <dcterms:modified xsi:type="dcterms:W3CDTF">2026-07-25T00:39:17.715Z</dcterms:modified>
</cp:coreProperties>
</file>

<file path=docProps/custom.xml><?xml version="1.0" encoding="utf-8"?>
<Properties xmlns="http://schemas.openxmlformats.org/officeDocument/2006/custom-properties" xmlns:vt="http://schemas.openxmlformats.org/officeDocument/2006/docPropsVTypes"/>
</file>