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876"/>
        <w:gridCol w:w="4876"/>
      </w:tblGrid>
      <w:tr>
        <w:tc>
          <w:tcPr>
            <w:tcW w:type="dxa" w:w="5656"/>
          </w:tcPr>
          <w:p>
            <w:pPr>
              <w:spacing w:after="40"/>
            </w:pPr>
            <w:r>
              <w:rPr>
                <w:rFonts w:ascii="Calibri" w:hAnsi="Calibri" w:eastAsia="微软雅黑"/>
                <w:b/>
                <w:color w:val="2B4A6F"/>
                <w:sz w:val="48"/>
              </w:rPr>
              <w:t>许增楠</w:t>
            </w:r>
          </w:p>
          <w:p>
            <w:pPr>
              <w:spacing w:after="0"/>
            </w:pPr>
            <w:r>
              <w:rPr>
                <w:rFonts w:ascii="Calibri" w:hAnsi="Calibri" w:eastAsia="微软雅黑"/>
                <w:b/>
                <w:color w:val="262626"/>
                <w:sz w:val="21"/>
              </w:rPr>
              <w:t>求职意向：医药专家网络开发与维护</w:t>
            </w:r>
          </w:p>
          <w:p>
            <w:pPr>
              <w:spacing w:after="0"/>
            </w:pPr>
            <w:r>
              <w:rPr>
                <w:rFonts w:ascii="Calibri" w:hAnsi="Calibri" w:eastAsia="微软雅黑"/>
                <w:b w:val="0"/>
                <w:color w:val="6B6B6B"/>
                <w:sz w:val="19"/>
              </w:rPr>
              <w:t>新加坡驻外岗位 · 可接受驻外 1 年 · 现居广州</w:t>
            </w:r>
          </w:p>
        </w:tc>
        <w:tc>
          <w:tcPr>
            <w:tcW w:type="dxa" w:w="4096"/>
          </w:tcPr>
          <w:p>
            <w:pPr>
              <w:spacing w:after="0" w:before="0" w:line="276" w:lineRule="auto"/>
              <w:jc w:val="right"/>
            </w:pPr>
            <w:r>
              <w:rPr>
                <w:rFonts w:ascii="Calibri" w:hAnsi="Calibri" w:eastAsia="微软雅黑"/>
                <w:b w:val="0"/>
                <w:color w:val="6B6B6B"/>
                <w:sz w:val="18"/>
              </w:rPr>
              <w:t>15626104764</w:t>
            </w:r>
          </w:p>
          <w:p>
            <w:pPr>
              <w:spacing w:after="0" w:before="0" w:line="276" w:lineRule="auto"/>
              <w:jc w:val="right"/>
            </w:pPr>
            <w:r>
              <w:rPr>
                <w:rFonts w:ascii="Calibri" w:hAnsi="Calibri" w:eastAsia="微软雅黑"/>
                <w:b w:val="0"/>
                <w:color w:val="6B6B6B"/>
                <w:sz w:val="18"/>
              </w:rPr>
              <w:t>15626104764@163.com</w:t>
            </w:r>
          </w:p>
          <w:p>
            <w:pPr>
              <w:spacing w:after="0" w:before="0" w:line="276" w:lineRule="auto"/>
              <w:jc w:val="right"/>
            </w:pPr>
            <w:r>
              <w:rPr>
                <w:rFonts w:ascii="Calibri" w:hAnsi="Calibri" w:eastAsia="微软雅黑"/>
                <w:b w:val="0"/>
                <w:color w:val="6B6B6B"/>
                <w:sz w:val="18"/>
              </w:rPr>
              <w:t>企业管理硕士 · 医药营销方向</w:t>
            </w:r>
          </w:p>
          <w:p>
            <w:pPr>
              <w:spacing w:after="0" w:before="0" w:line="276" w:lineRule="auto"/>
              <w:jc w:val="right"/>
            </w:pPr>
            <w:r>
              <w:rPr>
                <w:rFonts w:ascii="Calibri" w:hAnsi="Calibri" w:eastAsia="微软雅黑"/>
                <w:b w:val="0"/>
                <w:color w:val="6B6B6B"/>
                <w:sz w:val="18"/>
              </w:rPr>
              <w:t>英语 CET-6 / BEC 中级 · 粤语</w:t>
            </w:r>
          </w:p>
        </w:tc>
      </w:tr>
    </w:tbl>
    <w:p>
      <w:pPr>
        <w:spacing w:before="80" w:after="0" w:line="240" w:lineRule="auto"/>
        <w:pBdr>
          <w:bottom w:val="single" w:sz="10" w:space="1" w:color="2B4A6F"/>
        </w:pBdr>
      </w:pPr>
    </w:p>
    <w:p>
      <w:pPr>
        <w:spacing w:before="240" w:after="100" w:line="240" w:lineRule="auto"/>
        <w:keepNext/>
        <w:pBdr>
          <w:bottom w:val="single" w:sz="6" w:space="3" w:color="C9D3DE"/>
        </w:pBdr>
      </w:pPr>
      <w:r>
        <w:rPr>
          <w:rFonts w:ascii="Calibri" w:hAnsi="Calibri" w:eastAsia="微软雅黑"/>
          <w:b/>
          <w:color w:val="2B4A6F"/>
          <w:sz w:val="23"/>
        </w:rPr>
        <w:t>教育背景</w:t>
      </w:r>
    </w:p>
    <w:p>
      <w:pPr>
        <w:keepNext/>
        <w:tabs>
          <w:tab w:pos="9752" w:val="right"/>
        </w:tabs>
        <w:spacing w:before="140" w:after="40" w:line="264" w:lineRule="auto"/>
      </w:pPr>
      <w:r>
        <w:rPr>
          <w:rFonts w:ascii="Calibri" w:hAnsi="Calibri" w:eastAsia="微软雅黑"/>
          <w:b/>
          <w:color w:val="262626"/>
          <w:sz w:val="21"/>
        </w:rPr>
        <w:t>广东外语外贸大学</w:t>
      </w:r>
      <w:r>
        <w:rPr>
          <w:rFonts w:ascii="Calibri" w:hAnsi="Calibri" w:eastAsia="微软雅黑"/>
          <w:b w:val="0"/>
          <w:color w:val="6B6B6B"/>
          <w:sz w:val="19"/>
        </w:rPr>
        <w:t xml:space="preserve">　企业管理 · 硕士</w:t>
      </w:r>
      <w:r>
        <w:rPr>
          <w:rFonts w:ascii="Calibri" w:hAnsi="Calibri" w:eastAsia="微软雅黑"/>
          <w:b w:val="0"/>
          <w:color w:val="6B6B6B"/>
          <w:sz w:val="18"/>
        </w:rPr>
        <w:tab/>
        <w:t>2019.08 – 2022.06　广州</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研究方向：市场营销（品牌营销、医药营销）；连续三年获校级奖学金（一等 2 次、二等 1 次）。</w:t>
      </w:r>
    </w:p>
    <w:p>
      <w:pPr>
        <w:keepNext/>
        <w:tabs>
          <w:tab w:pos="9752" w:val="right"/>
        </w:tabs>
        <w:spacing w:before="140" w:after="40" w:line="264" w:lineRule="auto"/>
      </w:pPr>
      <w:r>
        <w:rPr>
          <w:rFonts w:ascii="Calibri" w:hAnsi="Calibri" w:eastAsia="微软雅黑"/>
          <w:b/>
          <w:color w:val="262626"/>
          <w:sz w:val="21"/>
        </w:rPr>
        <w:t>广州中医药大学</w:t>
      </w:r>
      <w:r>
        <w:rPr>
          <w:rFonts w:ascii="Calibri" w:hAnsi="Calibri" w:eastAsia="微软雅黑"/>
          <w:b w:val="0"/>
          <w:color w:val="6B6B6B"/>
          <w:sz w:val="19"/>
        </w:rPr>
        <w:t xml:space="preserve">　国际经济与贸易（医药方向） · 本科</w:t>
      </w:r>
      <w:r>
        <w:rPr>
          <w:rFonts w:ascii="Calibri" w:hAnsi="Calibri" w:eastAsia="微软雅黑"/>
          <w:b w:val="0"/>
          <w:color w:val="6B6B6B"/>
          <w:sz w:val="18"/>
        </w:rPr>
        <w:tab/>
        <w:t>2015.09 – 2019.06　广州</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GPA 3.8，专业排名第 2；修读中药学、药理学、西医学概论等医药课程；连续四年获校级奖学金。</w:t>
      </w:r>
    </w:p>
    <w:p>
      <w:pPr>
        <w:spacing w:before="240" w:after="100" w:line="240" w:lineRule="auto"/>
        <w:keepNext/>
        <w:pBdr>
          <w:bottom w:val="single" w:sz="6" w:space="3" w:color="C9D3DE"/>
        </w:pBdr>
      </w:pPr>
      <w:r>
        <w:rPr>
          <w:rFonts w:ascii="Calibri" w:hAnsi="Calibri" w:eastAsia="微软雅黑"/>
          <w:b/>
          <w:color w:val="2B4A6F"/>
          <w:sz w:val="23"/>
        </w:rPr>
        <w:t>核心优势</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color w:val="262626"/>
          <w:sz w:val="19"/>
        </w:rPr>
        <w:t xml:space="preserve">专家开发与维护　</w:t>
      </w:r>
      <w:r>
        <w:rPr>
          <w:rFonts w:ascii="Calibri" w:hAnsi="Calibri" w:eastAsia="微软雅黑"/>
          <w:b w:val="0"/>
          <w:color w:val="262626"/>
          <w:sz w:val="19"/>
        </w:rPr>
        <w:t>强生期间围绕能量外科与微创外科核心科室梳理并持续拓展专家名单，策划落地 10+ 场学术活动，负责卫星会与科室会宣讲；渠道项目中直接对接副院长、科主任，从零完成 4 家医院准入、8 个产品入院。</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color w:val="262626"/>
          <w:sz w:val="19"/>
        </w:rPr>
        <w:t xml:space="preserve">医药背景与专业对话　</w:t>
      </w:r>
      <w:r>
        <w:rPr>
          <w:rFonts w:ascii="Calibri" w:hAnsi="Calibri" w:eastAsia="微软雅黑"/>
          <w:b w:val="0"/>
          <w:color w:val="262626"/>
          <w:sz w:val="19"/>
        </w:rPr>
        <w:t>本科修读中药学、药理学等医药课程，硕士聚焦医药营销；强生医疗 1.5 年一线销售，罗氏制药市场部实习；入职培训系统学习解剖学与手术术式，能与临床医生就术式和产品应用场景专业对话。</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color w:val="262626"/>
          <w:sz w:val="19"/>
        </w:rPr>
        <w:t xml:space="preserve">项目推进与数据分析　</w:t>
      </w:r>
      <w:r>
        <w:rPr>
          <w:rFonts w:ascii="Calibri" w:hAnsi="Calibri" w:eastAsia="微软雅黑"/>
          <w:b w:val="0"/>
          <w:color w:val="262626"/>
          <w:sz w:val="19"/>
        </w:rPr>
        <w:t>带领团队与 4 家私立医院洽谈跨境医疗合作、建立 5 家合作渠道商；罗氏实习期间汇总专家反馈与市场数据输出月报，口腔医院战略项目中搭建盈亏平衡与客流分析模型；熟练使用 Excel、SPSS，习惯用数据和结果说话。</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color w:val="262626"/>
          <w:sz w:val="19"/>
        </w:rPr>
        <w:t xml:space="preserve">沟通、语言与合规　</w:t>
      </w:r>
      <w:r>
        <w:rPr>
          <w:rFonts w:ascii="Calibri" w:hAnsi="Calibri" w:eastAsia="微软雅黑"/>
          <w:b w:val="0"/>
          <w:color w:val="262626"/>
          <w:sz w:val="19"/>
        </w:rPr>
        <w:t>经外企与高校双重职业化训练，表达清晰，长期面向临床专家与学生讲解；英语可日常书面与口头沟通，粤语良好，普通话标准；学术活动与专家合作均在外企合规框架下策划执行，熟悉医疗推广的合规边界。</w:t>
      </w:r>
    </w:p>
    <w:p>
      <w:pPr>
        <w:spacing w:before="240" w:after="100" w:line="240" w:lineRule="auto"/>
        <w:keepNext/>
        <w:pBdr>
          <w:bottom w:val="single" w:sz="6" w:space="3" w:color="C9D3DE"/>
        </w:pBdr>
      </w:pPr>
      <w:r>
        <w:rPr>
          <w:rFonts w:ascii="Calibri" w:hAnsi="Calibri" w:eastAsia="微软雅黑"/>
          <w:b/>
          <w:color w:val="2B4A6F"/>
          <w:sz w:val="23"/>
        </w:rPr>
        <w:t>工作经历</w:t>
      </w:r>
    </w:p>
    <w:p>
      <w:pPr>
        <w:keepNext/>
        <w:tabs>
          <w:tab w:pos="9752" w:val="right"/>
        </w:tabs>
        <w:spacing w:before="140" w:after="40" w:line="264" w:lineRule="auto"/>
      </w:pPr>
      <w:r>
        <w:rPr>
          <w:rFonts w:ascii="Calibri" w:hAnsi="Calibri" w:eastAsia="微软雅黑"/>
          <w:b/>
          <w:color w:val="262626"/>
          <w:sz w:val="21"/>
        </w:rPr>
        <w:t>广州南方学院 · 商学院</w:t>
      </w:r>
      <w:r>
        <w:rPr>
          <w:rFonts w:ascii="Calibri" w:hAnsi="Calibri" w:eastAsia="微软雅黑"/>
          <w:b w:val="0"/>
          <w:color w:val="6B6B6B"/>
          <w:sz w:val="19"/>
        </w:rPr>
        <w:t xml:space="preserve">　市场营销专任教师</w:t>
      </w:r>
      <w:r>
        <w:rPr>
          <w:rFonts w:ascii="Calibri" w:hAnsi="Calibri" w:eastAsia="微软雅黑"/>
          <w:b w:val="0"/>
          <w:color w:val="6B6B6B"/>
          <w:sz w:val="18"/>
        </w:rPr>
        <w:tab/>
        <w:t>2024.02 – 至今　广州</w:t>
      </w:r>
    </w:p>
    <w:p>
      <w:pPr>
        <w:keepNext/>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主讲《数字营销》《营销渠道管理》《战略管理》《电子商务原理》课程，长期面向学生与同行进行结构化表达与讲解。</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主持校级课题《中医药内容营销对消费意愿的影响机制研究》，成果发表于《商场现代化》（2026）。</w:t>
      </w:r>
    </w:p>
    <w:p>
      <w:pPr>
        <w:keepNext/>
        <w:tabs>
          <w:tab w:pos="9752" w:val="right"/>
        </w:tabs>
        <w:spacing w:before="140" w:after="40" w:line="264" w:lineRule="auto"/>
      </w:pPr>
      <w:r>
        <w:rPr>
          <w:rFonts w:ascii="Calibri" w:hAnsi="Calibri" w:eastAsia="微软雅黑"/>
          <w:b/>
          <w:color w:val="262626"/>
          <w:sz w:val="21"/>
        </w:rPr>
        <w:t>强生（上海）医疗器材有限公司 · 能量外科与微创外科</w:t>
      </w:r>
      <w:r>
        <w:rPr>
          <w:rFonts w:ascii="Calibri" w:hAnsi="Calibri" w:eastAsia="微软雅黑"/>
          <w:b w:val="0"/>
          <w:color w:val="6B6B6B"/>
          <w:sz w:val="19"/>
        </w:rPr>
        <w:t xml:space="preserve">　销售培训生</w:t>
      </w:r>
      <w:r>
        <w:rPr>
          <w:rFonts w:ascii="Calibri" w:hAnsi="Calibri" w:eastAsia="微软雅黑"/>
          <w:b w:val="0"/>
          <w:color w:val="6B6B6B"/>
          <w:sz w:val="18"/>
        </w:rPr>
        <w:tab/>
        <w:t>2022.07 – 2024.01　广州</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专家开发与维护：梳理并持续拓展区域核心科室专家名单，定期拜访临床专家与关键决策人，响应专家日常需求，作为专家与公司之间的对接人，建立长期稳定的合作关系。</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学术活动：围绕专家与科室需求策划并全程落地 10+ 场学术活动（含全国性活动，单场最高 40 万元）；负责会议卫星会及日常科室会宣讲。</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反馈与协同：收集临床专家反馈并结构化反馈至市场部，配合推进白皮书、手术指南编写及社交媒体科普项目在区域落地，协调专家参与。</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专业知识：入职培训系统学习解剖学与相关手术术式，能够与外科医生就术式细节和产品应用进行专业沟通。</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合规与业绩：所有学术活动与专家合作均在公司合规准则框架下策划执行；协助经销商制定行动计划并培训渠道人员，超额完成区域业绩指标。</w:t>
      </w:r>
    </w:p>
    <w:p>
      <w:pPr>
        <w:keepNext/>
        <w:tabs>
          <w:tab w:pos="9752" w:val="right"/>
        </w:tabs>
        <w:spacing w:before="140" w:after="40" w:line="264" w:lineRule="auto"/>
      </w:pPr>
      <w:r>
        <w:rPr>
          <w:rFonts w:ascii="Calibri" w:hAnsi="Calibri" w:eastAsia="微软雅黑"/>
          <w:b/>
          <w:color w:val="262626"/>
          <w:sz w:val="21"/>
        </w:rPr>
        <w:t>广州视源电子科技股份有限公司 · 医疗显示事业部</w:t>
      </w:r>
      <w:r>
        <w:rPr>
          <w:rFonts w:ascii="Calibri" w:hAnsi="Calibri" w:eastAsia="微软雅黑"/>
          <w:b w:val="0"/>
          <w:color w:val="6B6B6B"/>
          <w:sz w:val="19"/>
        </w:rPr>
        <w:t xml:space="preserve">　销售兼市场实习生</w:t>
      </w:r>
      <w:r>
        <w:rPr>
          <w:rFonts w:ascii="Calibri" w:hAnsi="Calibri" w:eastAsia="微软雅黑"/>
          <w:b w:val="0"/>
          <w:color w:val="6B6B6B"/>
          <w:sz w:val="18"/>
        </w:rPr>
        <w:tab/>
        <w:t>2021.01 – 2021.07　广州</w:t>
      </w:r>
    </w:p>
    <w:p>
      <w:pPr>
        <w:keepNext/>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陌拜多家医院影像科，了解科室需求并传递产品价值；围绕临床反馈提炼产品卖点，撰写产品宣传稿；参加学术会议负责产品介绍。</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独立负责 4 部产品宣传视频与新闻稿的策划制作，对接媒体、设计等外部供应商。</w:t>
      </w:r>
    </w:p>
    <w:p>
      <w:pPr>
        <w:keepNext/>
        <w:tabs>
          <w:tab w:pos="9752" w:val="right"/>
        </w:tabs>
        <w:spacing w:before="140" w:after="40" w:line="264" w:lineRule="auto"/>
      </w:pPr>
      <w:r>
        <w:rPr>
          <w:rFonts w:ascii="Calibri" w:hAnsi="Calibri" w:eastAsia="微软雅黑"/>
          <w:b/>
          <w:color w:val="262626"/>
          <w:sz w:val="21"/>
        </w:rPr>
        <w:t>上海罗氏制药有限公司 · 淋巴瘤产品组</w:t>
      </w:r>
      <w:r>
        <w:rPr>
          <w:rFonts w:ascii="Calibri" w:hAnsi="Calibri" w:eastAsia="微软雅黑"/>
          <w:b w:val="0"/>
          <w:color w:val="6B6B6B"/>
          <w:sz w:val="19"/>
        </w:rPr>
        <w:t xml:space="preserve">　区域市场部实习生</w:t>
      </w:r>
      <w:r>
        <w:rPr>
          <w:rFonts w:ascii="Calibri" w:hAnsi="Calibri" w:eastAsia="微软雅黑"/>
          <w:b w:val="0"/>
          <w:color w:val="6B6B6B"/>
          <w:sz w:val="18"/>
        </w:rPr>
        <w:tab/>
        <w:t>2019.03 – 2020.01　广州</w:t>
      </w:r>
    </w:p>
    <w:p>
      <w:pPr>
        <w:keepNext/>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对接多位市场部与销售部经理，汇总区域销量、学术活动、临床专家反馈与竞品动态，输出销售月报与分析 PPT。</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协助区域学术活动的策划、组织与落地，接触药企专家管理与学术推广的完整流程。</w:t>
      </w:r>
    </w:p>
    <w:p>
      <w:pPr>
        <w:spacing w:before="240" w:after="100" w:line="240" w:lineRule="auto"/>
        <w:keepNext/>
        <w:pBdr>
          <w:bottom w:val="single" w:sz="6" w:space="3" w:color="C9D3DE"/>
        </w:pBdr>
      </w:pPr>
      <w:r>
        <w:rPr>
          <w:rFonts w:ascii="Calibri" w:hAnsi="Calibri" w:eastAsia="微软雅黑"/>
          <w:b/>
          <w:color w:val="2B4A6F"/>
          <w:sz w:val="23"/>
        </w:rPr>
        <w:t>项目经历</w:t>
      </w:r>
    </w:p>
    <w:p>
      <w:pPr>
        <w:keepNext/>
        <w:tabs>
          <w:tab w:pos="9752" w:val="right"/>
        </w:tabs>
        <w:spacing w:before="140" w:after="40" w:line="264" w:lineRule="auto"/>
      </w:pPr>
      <w:r>
        <w:rPr>
          <w:rFonts w:ascii="Calibri" w:hAnsi="Calibri" w:eastAsia="微软雅黑"/>
          <w:b/>
          <w:color w:val="262626"/>
          <w:sz w:val="21"/>
        </w:rPr>
        <w:t>医疗器械渠道合作项目</w:t>
      </w:r>
      <w:r>
        <w:rPr>
          <w:rFonts w:ascii="Calibri" w:hAnsi="Calibri" w:eastAsia="微软雅黑"/>
          <w:b w:val="0"/>
          <w:color w:val="6B6B6B"/>
          <w:sz w:val="19"/>
        </w:rPr>
        <w:t xml:space="preserve">　负责医院开发与渠道合作</w:t>
      </w:r>
      <w:r>
        <w:rPr>
          <w:rFonts w:ascii="Calibri" w:hAnsi="Calibri" w:eastAsia="微软雅黑"/>
          <w:b w:val="0"/>
          <w:color w:val="6B6B6B"/>
          <w:sz w:val="18"/>
        </w:rPr>
        <w:tab/>
        <w:t>2025.02 – 2026　广州</w:t>
      </w:r>
    </w:p>
    <w:p>
      <w:pPr>
        <w:keepNext/>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新医院开发：直接对接副院长、科主任等决策人，完成 4 家医院准入、8 个产品入院。</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跨境医疗项目：带领团队与 4 家私立医院洽谈合作，建立 5 家合作渠道商，统筹项目推进节奏与各方资源。</w:t>
      </w:r>
    </w:p>
    <w:p>
      <w:pPr>
        <w:keepNext/>
        <w:tabs>
          <w:tab w:pos="9752" w:val="right"/>
        </w:tabs>
        <w:spacing w:before="140" w:after="40" w:line="264" w:lineRule="auto"/>
      </w:pPr>
      <w:r>
        <w:rPr>
          <w:rFonts w:ascii="Calibri" w:hAnsi="Calibri" w:eastAsia="微软雅黑"/>
          <w:b/>
          <w:color w:val="262626"/>
          <w:sz w:val="21"/>
        </w:rPr>
        <w:t>梅州泽山口腔医院 5 年战略规划</w:t>
      </w:r>
      <w:r>
        <w:rPr>
          <w:rFonts w:ascii="Calibri" w:hAnsi="Calibri" w:eastAsia="微软雅黑"/>
          <w:b w:val="0"/>
          <w:color w:val="6B6B6B"/>
          <w:sz w:val="19"/>
        </w:rPr>
        <w:t xml:space="preserve">　导师助理</w:t>
      </w:r>
      <w:r>
        <w:rPr>
          <w:rFonts w:ascii="Calibri" w:hAnsi="Calibri" w:eastAsia="微软雅黑"/>
          <w:b w:val="0"/>
          <w:color w:val="6B6B6B"/>
          <w:sz w:val="18"/>
        </w:rPr>
        <w:tab/>
        <w:t>2018.10 – 2019.10</w:t>
      </w:r>
    </w:p>
    <w:p>
      <w:pPr>
        <w:keepNext/>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对接医院决策层收集战略信息；对比竞品价目、测算人均业绩与人员饱和度，搭建盈亏平衡与客流分析表。</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val="0"/>
          <w:color w:val="262626"/>
          <w:sz w:val="19"/>
        </w:rPr>
        <w:t>完成 SWOT 分析与患者就诊流程调研（访谈 + 问卷），提出优化建议。</w:t>
      </w:r>
    </w:p>
    <w:p>
      <w:pPr>
        <w:spacing w:before="240" w:after="100" w:line="240" w:lineRule="auto"/>
        <w:keepNext/>
        <w:pBdr>
          <w:bottom w:val="single" w:sz="6" w:space="3" w:color="C9D3DE"/>
        </w:pBdr>
      </w:pPr>
      <w:r>
        <w:rPr>
          <w:rFonts w:ascii="Calibri" w:hAnsi="Calibri" w:eastAsia="微软雅黑"/>
          <w:b/>
          <w:color w:val="2B4A6F"/>
          <w:sz w:val="23"/>
        </w:rPr>
        <w:t>论文与课题</w:t>
      </w:r>
    </w:p>
    <w:p>
      <w:pPr>
        <w:keepLines/>
        <w:tabs>
          <w:tab w:pos="227" w:val="left"/>
        </w:tabs>
        <w:spacing w:before="0" w:after="60" w:line="312" w:lineRule="auto"/>
        <w:ind w:left="227" w:hanging="227"/>
      </w:pPr>
      <w:r>
        <w:rPr>
          <w:rFonts w:ascii="Calibri" w:hAnsi="Calibri" w:eastAsia="微软雅黑"/>
          <w:b w:val="0"/>
          <w:color w:val="2B4A6F"/>
          <w:sz w:val="18"/>
        </w:rPr>
        <w:t>•</w:t>
        <w:tab/>
      </w:r>
      <w:r>
        <w:rPr>
          <w:rFonts w:ascii="Calibri" w:hAnsi="Calibri" w:eastAsia="微软雅黑"/>
          <w:b w:val="0"/>
          <w:color w:val="262626"/>
          <w:sz w:val="18"/>
        </w:rPr>
        <w:t>《中医药内容营销对消费意愿的影响机制：形而上与形而下内容的双路径作用》，《商场现代化》，2026（校级课题成果）。</w:t>
      </w:r>
    </w:p>
    <w:p>
      <w:pPr>
        <w:keepLines/>
        <w:tabs>
          <w:tab w:pos="227" w:val="left"/>
        </w:tabs>
        <w:spacing w:before="0" w:after="60" w:line="312" w:lineRule="auto"/>
        <w:ind w:left="227" w:hanging="227"/>
      </w:pPr>
      <w:r>
        <w:rPr>
          <w:rFonts w:ascii="Calibri" w:hAnsi="Calibri" w:eastAsia="微软雅黑"/>
          <w:b w:val="0"/>
          <w:color w:val="2B4A6F"/>
          <w:sz w:val="18"/>
        </w:rPr>
        <w:t>•</w:t>
        <w:tab/>
      </w:r>
      <w:r>
        <w:rPr>
          <w:rFonts w:ascii="Calibri" w:hAnsi="Calibri" w:eastAsia="微软雅黑"/>
          <w:b w:val="0"/>
          <w:color w:val="262626"/>
          <w:sz w:val="18"/>
        </w:rPr>
        <w:t>《透视直播电商解读营销的流变与永恒》，广东省社科联 2020 年岭南学术论坛会议论文，获评优秀论文。</w:t>
      </w:r>
    </w:p>
    <w:p>
      <w:pPr>
        <w:spacing w:before="240" w:after="100" w:line="240" w:lineRule="auto"/>
        <w:keepNext/>
        <w:pBdr>
          <w:bottom w:val="single" w:sz="6" w:space="3" w:color="C9D3DE"/>
        </w:pBdr>
      </w:pPr>
      <w:r>
        <w:rPr>
          <w:rFonts w:ascii="Calibri" w:hAnsi="Calibri" w:eastAsia="微软雅黑"/>
          <w:b/>
          <w:color w:val="2B4A6F"/>
          <w:sz w:val="23"/>
        </w:rPr>
        <w:t>技能</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color w:val="262626"/>
          <w:sz w:val="19"/>
        </w:rPr>
        <w:t xml:space="preserve">语言　</w:t>
      </w:r>
      <w:r>
        <w:rPr>
          <w:rFonts w:ascii="Calibri" w:hAnsi="Calibri" w:eastAsia="微软雅黑"/>
          <w:b w:val="0"/>
          <w:color w:val="262626"/>
          <w:sz w:val="19"/>
        </w:rPr>
        <w:t>英语 CET-6、BEC 中级，可进行日常书面与口头沟通；粤语良好；普通话标准。</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color w:val="262626"/>
          <w:sz w:val="19"/>
        </w:rPr>
        <w:t xml:space="preserve">数据与办公　</w:t>
      </w:r>
      <w:r>
        <w:rPr>
          <w:rFonts w:ascii="Calibri" w:hAnsi="Calibri" w:eastAsia="微软雅黑"/>
          <w:b w:val="0"/>
          <w:color w:val="262626"/>
          <w:sz w:val="19"/>
        </w:rPr>
        <w:t>Excel（数据透视表、常用函数）、SPSS、AMOS、PowerPoint、Word、Xmind。</w:t>
      </w:r>
    </w:p>
    <w:p>
      <w:pPr>
        <w:keepLines/>
        <w:tabs>
          <w:tab w:pos="227" w:val="left"/>
        </w:tabs>
        <w:spacing w:before="0" w:after="60" w:line="312" w:lineRule="auto"/>
        <w:ind w:left="227" w:hanging="227"/>
      </w:pPr>
      <w:r>
        <w:rPr>
          <w:rFonts w:ascii="Calibri" w:hAnsi="Calibri" w:eastAsia="微软雅黑"/>
          <w:b w:val="0"/>
          <w:color w:val="2B4A6F"/>
          <w:sz w:val="19"/>
        </w:rPr>
        <w:t>•</w:t>
        <w:tab/>
      </w:r>
      <w:r>
        <w:rPr>
          <w:rFonts w:ascii="Calibri" w:hAnsi="Calibri" w:eastAsia="微软雅黑"/>
          <w:b/>
          <w:color w:val="262626"/>
          <w:sz w:val="19"/>
        </w:rPr>
        <w:t xml:space="preserve">AI 工具　</w:t>
      </w:r>
      <w:r>
        <w:rPr>
          <w:rFonts w:ascii="Calibri" w:hAnsi="Calibri" w:eastAsia="微软雅黑"/>
          <w:b w:val="0"/>
          <w:color w:val="262626"/>
          <w:sz w:val="19"/>
        </w:rPr>
        <w:t>Claude、Cursor、Codex、WorkBuddy，用于资料整理、方案撰写与数据分析。</w:t>
      </w:r>
    </w:p>
    <w:p>
      <w:pPr>
        <w:spacing w:before="240" w:after="100" w:line="240" w:lineRule="auto"/>
        <w:keepNext/>
        <w:pBdr>
          <w:bottom w:val="single" w:sz="6" w:space="3" w:color="C9D3DE"/>
        </w:pBdr>
      </w:pPr>
      <w:r>
        <w:rPr>
          <w:rFonts w:ascii="Calibri" w:hAnsi="Calibri" w:eastAsia="微软雅黑"/>
          <w:b/>
          <w:color w:val="2B4A6F"/>
          <w:sz w:val="23"/>
        </w:rPr>
        <w:t>自我评价</w:t>
      </w:r>
    </w:p>
    <w:p>
      <w:pPr>
        <w:spacing w:before="0" w:after="0" w:line="312" w:lineRule="auto"/>
      </w:pPr>
      <w:r>
        <w:rPr>
          <w:rFonts w:ascii="Calibri" w:hAnsi="Calibri" w:eastAsia="微软雅黑"/>
          <w:b w:val="0"/>
          <w:color w:val="262626"/>
          <w:sz w:val="19"/>
        </w:rPr>
        <w:t>经管类专业出身，本科修读中药学、药理学等医药课程，硕士聚焦医药营销；从罗氏市场实习、强生一线销售到高校教学与医院渠道项目，学业与职业始终聚焦医疗与营销两个方向，工作围绕临床专家与医院客户展开。目标感与执行力强，在强生超额完成业绩指标，在渠道项目中从零开发 4 家医院；有跨境医疗项目经验，可接受为期一年的新加坡驻外，适应海外独立工作与结果导向的考核方式。</w:t>
      </w:r>
    </w:p>
    <w:sectPr w:rsidR="00FC693F" w:rsidRPr="0006063C" w:rsidSect="00034616">
      <w:pgSz w:w="11906" w:h="16838"/>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