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求职意向：医药专家网络开发与维护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新加坡驻外岗位 · 可接受驻外 1 年 · 现居广州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医药营销方向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2；修读中药学、药理学、西医学概论等医药课程；连续四年获校级奖学金。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临床专家开发与维护　</w:t>
      </w:r>
      <w:r>
        <w:rPr>
          <w:rFonts w:ascii="Calibri" w:hAnsi="Calibri" w:eastAsia="微软雅黑"/>
          <w:b w:val="0"/>
          <w:color w:val="262626"/>
          <w:sz w:val="19"/>
        </w:rPr>
        <w:t>强生期间围绕能量外科与微创外科临床专家开展工作，策划并落地 10+ 场学术活动，负责卫星会与科室会宣讲；渠道项目中直接对接副院长、科主任，完成 4 家医院准入、8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外企药企与器械背景　</w:t>
      </w:r>
      <w:r>
        <w:rPr>
          <w:rFonts w:ascii="Calibri" w:hAnsi="Calibri" w:eastAsia="微软雅黑"/>
          <w:b w:val="0"/>
          <w:color w:val="262626"/>
          <w:sz w:val="19"/>
        </w:rPr>
        <w:t>本科修读中药学、药理学等医药课程；强生医疗 1.5 年一线销售培训生，罗氏制药区域市场部实习；入职培训系统学习解剖学与手术术式，能与临床医生就术式和产品应用场景专业对话。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跨境医疗与项目推进　</w:t>
      </w:r>
      <w:r>
        <w:rPr>
          <w:rFonts w:ascii="Calibri" w:hAnsi="Calibri" w:eastAsia="微软雅黑"/>
          <w:b w:val="0"/>
          <w:color w:val="262626"/>
          <w:sz w:val="19"/>
        </w:rPr>
        <w:t>带领团队与 4 家私立医院洽谈跨境医疗合作，建立 5 家合作渠道商；习惯按节点推进项目，协调内外部资源落地。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沟通表达与结构化反馈　</w:t>
      </w:r>
      <w:r>
        <w:rPr>
          <w:rFonts w:ascii="Calibri" w:hAnsi="Calibri" w:eastAsia="微软雅黑"/>
          <w:b w:val="0"/>
          <w:color w:val="262626"/>
          <w:sz w:val="19"/>
        </w:rPr>
        <w:t>高校市场营销专任教师，主讲四门课程；罗氏实习期间汇总专家反馈与市场信息输出月报，习惯将一线信息结构化反馈。英语可日常书面与口头沟通，粤语良好。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主讲《数字营销》《营销渠道管理》《战略管理》《电子商务原理》课程，长期面向学生与同行进行结构化表达与讲解。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专家关系：持续拜访核心科室的临床专家与关键决策人，了解临床需求与关注点，建立长期稳定的合作关系。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学术活动：围绕专家与科室需求策划并全程落地 10+ 场学术活动（含全国性活动，单场最高 40 万元）；负责会议卫星会及日常科室会宣讲。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跨部门协作：配合市场部推进白皮书、手术指南编写及社交媒体科普项目在区域落地，协调专家参与。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专业知识：入职培训系统学习解剖学与相关手术术式，能够与外科医生就术式细节和产品应用进行专业沟通。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渠道与业绩：协助经销商制定行动计划并培训渠道人员，定期盘点渠道业绩；超额完成区域业绩指标。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陌拜多家医院影像科，了解科室需求并传递产品价值；参加学术会议负责产品介绍。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对接多位市场部与销售部经理，汇总区域销量、学术活动、临床专家反馈与竞品动态，输出销售月报与分析 PPT。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协助区域学术活动的策划、组织与落地，接触药企专家管理与学术推广的完整流程。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2025.02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新医院开发：直接对接副院长、科主任等决策人，完成 4 家医院准入、8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家合作渠道商，统筹项目推进节奏与各方资源。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对接医院决策层收集战略信息；对比竞品价目、测算人均业绩与人员饱和度，搭建盈亏平衡与客流分析表。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完成 SWOT 分析与患者就诊流程调研（访谈 + 问卷），提出优化建议。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 CET-6、BEC 中级，可进行日常书面与口头沟通；粤语良好；普通话标准。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数据与办公　</w:t>
      </w:r>
      <w:r>
        <w:rPr>
          <w:rFonts w:ascii="Calibri" w:hAnsi="Calibri" w:eastAsia="微软雅黑"/>
          <w:b w:val="0"/>
          <w:color w:val="262626"/>
          <w:sz w:val="19"/>
        </w:rPr>
        <w:t>Excel（数据透视表、常用函数）、SPSS、AMOS、PowerPoint、Word、Xmind。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Claude、Cursor、Codex、WorkBuddy，用于资料整理、方案撰写与数据分析。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修读中药学、药理学等医药课程，硕士聚焦医药营销；从罗氏市场实习、强生一线销售到高校教学与医院渠道项目，学业与职业始终聚焦医疗与营销两个方向，工作围绕临床专家与医院客户展开。有跨境医疗项目经验，可接受为期一年的新加坡驻外，适应独立工作与结果导向的考核方式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