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5656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B4A6F"/>
                <w:sz w:val="48"/>
              </w:rPr>
              <w:t>许增楠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262626"/>
                <w:sz w:val="21"/>
              </w:rPr>
              <w:t>求职意向：医疗健康行业-大客户销售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color w:val="6B6B6B"/>
                <w:sz w:val="19"/>
              </w:rPr>
              <w:t>意向城市：深圳 / 广州</w:t>
            </w:r>
          </w:p>
        </w:tc>
        <w:tc>
          <w:tcPr>
            <w:tcW w:type="dxa" w:w="4096"/>
          </w:tcPr>
          <w:p>
            <w:pPr>
              <w:spacing w:after="0" w:before="0" w:line="276" w:lineRule="auto"/>
              <w:jc w:val="right"/>
            </w:pPr>
            <w:r>
              <w:rPr>
                <w:rFonts w:ascii="Calibri" w:hAnsi="Calibri" w:eastAsia="微软雅黑"/>
                <w:b w:val="0"/>
                <w:color w:val="6B6B6B"/>
                <w:sz w:val="18"/>
              </w:rPr>
              <w:t>15626104764</w:t>
            </w:r>
          </w:p>
          <w:p>
            <w:pPr>
              <w:spacing w:after="0" w:before="0" w:line="276" w:lineRule="auto"/>
              <w:jc w:val="right"/>
            </w:pPr>
            <w:r>
              <w:rPr>
                <w:rFonts w:ascii="Calibri" w:hAnsi="Calibri" w:eastAsia="微软雅黑"/>
                <w:b w:val="0"/>
                <w:color w:val="6B6B6B"/>
                <w:sz w:val="18"/>
              </w:rPr>
              <w:t>15626104764@163.com</w:t>
            </w:r>
          </w:p>
          <w:p>
            <w:pPr>
              <w:spacing w:after="0" w:before="0" w:line="276" w:lineRule="auto"/>
              <w:jc w:val="right"/>
            </w:pPr>
            <w:r>
              <w:rPr>
                <w:rFonts w:ascii="Calibri" w:hAnsi="Calibri" w:eastAsia="微软雅黑"/>
                <w:b w:val="0"/>
                <w:color w:val="6B6B6B"/>
                <w:sz w:val="18"/>
              </w:rPr>
              <w:t>企业管理硕士 · 市场营销方向</w:t>
            </w:r>
          </w:p>
          <w:p>
            <w:pPr>
              <w:spacing w:after="0" w:before="0" w:line="276" w:lineRule="auto"/>
              <w:jc w:val="right"/>
            </w:pPr>
            <w:r>
              <w:rPr>
                <w:rFonts w:ascii="Calibri" w:hAnsi="Calibri" w:eastAsia="微软雅黑"/>
                <w:b w:val="0"/>
                <w:color w:val="6B6B6B"/>
                <w:sz w:val="18"/>
              </w:rPr>
              <w:t>英语 CET-6 / BEC 中级 · 粤语</w:t>
            </w:r>
          </w:p>
        </w:tc>
      </w:tr>
    </w:tbl>
    <w:p>
      <w:pPr>
        <w:spacing w:before="80" w:after="0" w:line="240" w:lineRule="auto"/>
        <w:pBdr>
          <w:bottom w:val="single" w:sz="10" w:space="1" w:color="2B4A6F"/>
        </w:pBdr>
      </w:pP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教育背景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广东外语外贸大学</w:t>
      </w:r>
      <w:r>
        <w:rPr>
          <w:rFonts w:ascii="Calibri" w:hAnsi="Calibri" w:eastAsia="微软雅黑"/>
          <w:b w:val="0"/>
          <w:color w:val="6B6B6B"/>
          <w:sz w:val="19"/>
        </w:rPr>
        <w:t xml:space="preserve">　企业管理 · 硕士</w:t>
      </w:r>
      <w:r>
        <w:rPr>
          <w:rFonts w:ascii="Calibri" w:hAnsi="Calibri" w:eastAsia="微软雅黑"/>
          <w:b w:val="0"/>
          <w:color w:val="6B6B6B"/>
          <w:sz w:val="18"/>
        </w:rPr>
        <w:tab/>
        <w:t>2019.08 – 2022.06　广州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研究方向：市场营销（品牌营销、医药营销）；连续三年获校级奖学金（一等 2 次、二等 1 次）。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广州中医药大学</w:t>
      </w:r>
      <w:r>
        <w:rPr>
          <w:rFonts w:ascii="Calibri" w:hAnsi="Calibri" w:eastAsia="微软雅黑"/>
          <w:b w:val="0"/>
          <w:color w:val="6B6B6B"/>
          <w:sz w:val="19"/>
        </w:rPr>
        <w:t xml:space="preserve">　国际经济与贸易（医药方向） · 本科</w:t>
      </w:r>
      <w:r>
        <w:rPr>
          <w:rFonts w:ascii="Calibri" w:hAnsi="Calibri" w:eastAsia="微软雅黑"/>
          <w:b w:val="0"/>
          <w:color w:val="6B6B6B"/>
          <w:sz w:val="18"/>
        </w:rPr>
        <w:tab/>
        <w:t>2015.09 – 2019.06　广州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GPA 3.8，专业排名第 2；修读药理学、西医学概论等医药课程；连续四年获校级奖学金。</w:t>
      </w: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核心优势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医疗健康行业背景　</w:t>
      </w:r>
      <w:r>
        <w:rPr>
          <w:rFonts w:ascii="Calibri" w:hAnsi="Calibri" w:eastAsia="微软雅黑"/>
          <w:b w:val="0"/>
          <w:color w:val="262626"/>
          <w:sz w:val="19"/>
        </w:rPr>
        <w:t>医药方向本科、医药营销方向硕士；强生医疗 1.5 年一线销售，罗氏制药、视源医疗显示实习；2024–2026 年参与医疗器械渠道合作项目，开发 4 家医院、8 个产品入院。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医院与渠道客户开拓　</w:t>
      </w:r>
      <w:r>
        <w:rPr>
          <w:rFonts w:ascii="Calibri" w:hAnsi="Calibri" w:eastAsia="微软雅黑"/>
          <w:b w:val="0"/>
          <w:color w:val="262626"/>
          <w:sz w:val="19"/>
        </w:rPr>
        <w:t>有从陌拜到准入、从科主任到副院长的医院客户开发经验，也有与渠道商合作谈判的经历，理解医院、厂家、渠道三方的诉求。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行业研究与表达　</w:t>
      </w:r>
      <w:r>
        <w:rPr>
          <w:rFonts w:ascii="Calibri" w:hAnsi="Calibri" w:eastAsia="微软雅黑"/>
          <w:b w:val="0"/>
          <w:color w:val="262626"/>
          <w:sz w:val="19"/>
        </w:rPr>
        <w:t>主讲数字营销、营销渠道管理课程，主持医药内容营销课题并发表论文；曾负责卫星会与科室会宣讲，能独立完成行业分析并清晰讲解。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数字化与 AI 应用　</w:t>
      </w:r>
      <w:r>
        <w:rPr>
          <w:rFonts w:ascii="Calibri" w:hAnsi="Calibri" w:eastAsia="微软雅黑"/>
          <w:b w:val="0"/>
          <w:color w:val="262626"/>
          <w:sz w:val="19"/>
        </w:rPr>
        <w:t>研究方向含数字营销与 AI 营销；日常使用 Claude、Cursor、Codex、WorkBuddy 等工具辅助研究与方案撰写，关注 AI 在企业服务中的落地。</w:t>
      </w: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工作经历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广州南方学院 · 商学院</w:t>
      </w:r>
      <w:r>
        <w:rPr>
          <w:rFonts w:ascii="Calibri" w:hAnsi="Calibri" w:eastAsia="微软雅黑"/>
          <w:b w:val="0"/>
          <w:color w:val="6B6B6B"/>
          <w:sz w:val="19"/>
        </w:rPr>
        <w:t xml:space="preserve">　市场营销专任教师</w:t>
      </w:r>
      <w:r>
        <w:rPr>
          <w:rFonts w:ascii="Calibri" w:hAnsi="Calibri" w:eastAsia="微软雅黑"/>
          <w:b w:val="0"/>
          <w:color w:val="6B6B6B"/>
          <w:sz w:val="18"/>
        </w:rPr>
        <w:tab/>
        <w:t>2024.02 – 至今　广州</w:t>
      </w:r>
    </w:p>
    <w:p>
      <w:pPr>
        <w:keepNext/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主讲《数字营销》《营销渠道管理》《电子商务原理》课程，负责课程设计与学生指导。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主持校级课题《中医药内容营销对消费意愿的影响机制研究》，成果发表于《商场现代化》（2026）。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强生（上海）医疗器材有限公司 · 能量外科与微创外科</w:t>
      </w:r>
      <w:r>
        <w:rPr>
          <w:rFonts w:ascii="Calibri" w:hAnsi="Calibri" w:eastAsia="微软雅黑"/>
          <w:b w:val="0"/>
          <w:color w:val="6B6B6B"/>
          <w:sz w:val="19"/>
        </w:rPr>
        <w:t xml:space="preserve">　销售培训生</w:t>
      </w:r>
      <w:r>
        <w:rPr>
          <w:rFonts w:ascii="Calibri" w:hAnsi="Calibri" w:eastAsia="微软雅黑"/>
          <w:b w:val="0"/>
          <w:color w:val="6B6B6B"/>
          <w:sz w:val="18"/>
        </w:rPr>
        <w:tab/>
        <w:t>2022.07 – 2024.01　广州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区域生意规划：收集市场与竞品信息，制定区域销售策略并落地，超额完成业绩指标。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重点客户开拓与维护：拜访核心客户，了解需求并提供针对性方案，建立长期客户关系。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渠道管理：协助经销商制定行动计划，负责渠道人员产品培训，协同拜访重点客户，定期盘点渠道业绩。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学术活动与跨部门协作：策划并落地 10+ 场学术活动（单场最高 40 万元）；配合市场部推进白皮书、手术指南编写；负责卫星会及科室会宣讲。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广州视源电子科技股份有限公司 · 医疗显示事业部</w:t>
      </w:r>
      <w:r>
        <w:rPr>
          <w:rFonts w:ascii="Calibri" w:hAnsi="Calibri" w:eastAsia="微软雅黑"/>
          <w:b w:val="0"/>
          <w:color w:val="6B6B6B"/>
          <w:sz w:val="19"/>
        </w:rPr>
        <w:t xml:space="preserve">　销售兼市场实习生</w:t>
      </w:r>
      <w:r>
        <w:rPr>
          <w:rFonts w:ascii="Calibri" w:hAnsi="Calibri" w:eastAsia="微软雅黑"/>
          <w:b w:val="0"/>
          <w:color w:val="6B6B6B"/>
          <w:sz w:val="18"/>
        </w:rPr>
        <w:tab/>
        <w:t>2021.01 – 2021.07　广州</w:t>
      </w:r>
    </w:p>
    <w:p>
      <w:pPr>
        <w:keepNext/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陌拜多家医院影像科开拓新市场，了解客户需求并传递产品价值；接待客户与渠道商参观并负责产品介绍。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独立负责 4 部产品宣传视频与新闻稿的策划制作，对接媒体、设计等外部供应商。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上海罗氏制药有限公司 · 淋巴瘤产品组</w:t>
      </w:r>
      <w:r>
        <w:rPr>
          <w:rFonts w:ascii="Calibri" w:hAnsi="Calibri" w:eastAsia="微软雅黑"/>
          <w:b w:val="0"/>
          <w:color w:val="6B6B6B"/>
          <w:sz w:val="19"/>
        </w:rPr>
        <w:t xml:space="preserve">　区域市场部实习生</w:t>
      </w:r>
      <w:r>
        <w:rPr>
          <w:rFonts w:ascii="Calibri" w:hAnsi="Calibri" w:eastAsia="微软雅黑"/>
          <w:b w:val="0"/>
          <w:color w:val="6B6B6B"/>
          <w:sz w:val="18"/>
        </w:rPr>
        <w:tab/>
        <w:t>2019.03 – 2020.01　广州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汇总区域销量、学术活动、专家反馈与竞品动态，输出销售月报与分析 PPT；协助区域市场活动的策划与执行。</w:t>
      </w: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项目经历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医疗器械渠道合作项目（与前强生销售经理合作）</w:t>
      </w:r>
      <w:r>
        <w:rPr>
          <w:rFonts w:ascii="Calibri" w:hAnsi="Calibri" w:eastAsia="微软雅黑"/>
          <w:b w:val="0"/>
          <w:color w:val="6B6B6B"/>
          <w:sz w:val="19"/>
        </w:rPr>
        <w:t xml:space="preserve">　负责医院开发与渠道合作</w:t>
      </w:r>
      <w:r>
        <w:rPr>
          <w:rFonts w:ascii="Calibri" w:hAnsi="Calibri" w:eastAsia="微软雅黑"/>
          <w:b w:val="0"/>
          <w:color w:val="6B6B6B"/>
          <w:sz w:val="18"/>
        </w:rPr>
        <w:tab/>
        <w:t>2024 – 2026　广州</w:t>
      </w:r>
    </w:p>
    <w:p>
      <w:pPr>
        <w:keepNext/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新医院开发：对接副院长、科主任等决策人，完成 4 家医院准入、8 个产品入院。</w:t>
      </w:r>
    </w:p>
    <w:p>
      <w:pPr>
        <w:keepNext/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跨境医疗项目：带领团队与 4 家私立医院洽谈合作，建立 5 家合作渠道商。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从渠道商角度参与经营决策，理解渠道商的经营逻辑与合作诉求；2026 年起日常经营已移交合作伙伴。</w:t>
      </w:r>
    </w:p>
    <w:p>
      <w:pPr>
        <w:keepNext/>
        <w:tabs>
          <w:tab w:pos="9752" w:val="right"/>
        </w:tabs>
        <w:spacing w:before="140" w:after="40" w:line="264" w:lineRule="auto"/>
      </w:pPr>
      <w:r>
        <w:rPr>
          <w:rFonts w:ascii="Calibri" w:hAnsi="Calibri" w:eastAsia="微软雅黑"/>
          <w:b/>
          <w:color w:val="262626"/>
          <w:sz w:val="21"/>
        </w:rPr>
        <w:t>梅州泽山口腔医院 5 年战略规划</w:t>
      </w:r>
      <w:r>
        <w:rPr>
          <w:rFonts w:ascii="Calibri" w:hAnsi="Calibri" w:eastAsia="微软雅黑"/>
          <w:b w:val="0"/>
          <w:color w:val="6B6B6B"/>
          <w:sz w:val="19"/>
        </w:rPr>
        <w:t xml:space="preserve">　导师助理</w:t>
      </w:r>
      <w:r>
        <w:rPr>
          <w:rFonts w:ascii="Calibri" w:hAnsi="Calibri" w:eastAsia="微软雅黑"/>
          <w:b w:val="0"/>
          <w:color w:val="6B6B6B"/>
          <w:sz w:val="18"/>
        </w:rPr>
        <w:tab/>
        <w:t>2018.10 – 2019.10</w:t>
      </w:r>
    </w:p>
    <w:p>
      <w:pPr>
        <w:keepNext/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对接医院决策层收集战略目标与竞争格局信息；研究口腔行业政策、技术与商业模式动态。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 w:val="0"/>
          <w:color w:val="262626"/>
          <w:sz w:val="19"/>
        </w:rPr>
        <w:t>对比竞品价目、测算人均业绩与人员饱和度，搭建盈亏平衡与客流分析表；完成 SWOT 分析与患者就诊流程调研，提出优化建议。</w:t>
      </w: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论文与课题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8"/>
        </w:rPr>
        <w:t>•</w:t>
        <w:tab/>
      </w:r>
      <w:r>
        <w:rPr>
          <w:rFonts w:ascii="Calibri" w:hAnsi="Calibri" w:eastAsia="微软雅黑"/>
          <w:b w:val="0"/>
          <w:color w:val="262626"/>
          <w:sz w:val="18"/>
        </w:rPr>
        <w:t>《中医药内容营销对消费意愿的影响机制：形而上与形而下内容的双路径作用》，《商场现代化》，2026（校级课题成果）。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8"/>
        </w:rPr>
        <w:t>•</w:t>
        <w:tab/>
      </w:r>
      <w:r>
        <w:rPr>
          <w:rFonts w:ascii="Calibri" w:hAnsi="Calibri" w:eastAsia="微软雅黑"/>
          <w:b w:val="0"/>
          <w:color w:val="262626"/>
          <w:sz w:val="18"/>
        </w:rPr>
        <w:t>《透视直播电商解读营销的流变与永恒》，广东省社科联 2020 年岭南学术论坛会议论文，获评优秀论文。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8"/>
        </w:rPr>
        <w:t>•</w:t>
        <w:tab/>
      </w:r>
      <w:r>
        <w:rPr>
          <w:rFonts w:ascii="Calibri" w:hAnsi="Calibri" w:eastAsia="微软雅黑"/>
          <w:b w:val="0"/>
          <w:color w:val="262626"/>
          <w:sz w:val="18"/>
        </w:rPr>
        <w:t>《国产动漫火爆，动漫 IP 如何打动消费者》，《国际品牌观察》，2020。</w:t>
      </w: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技能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AI 工具　</w:t>
      </w:r>
      <w:r>
        <w:rPr>
          <w:rFonts w:ascii="Calibri" w:hAnsi="Calibri" w:eastAsia="微软雅黑"/>
          <w:b w:val="0"/>
          <w:color w:val="262626"/>
          <w:sz w:val="19"/>
        </w:rPr>
        <w:t>Claude、Cursor、OpenAI Codex、WorkBuddy，用于行业研究、方案撰写与数据整理。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办公与分析　</w:t>
      </w:r>
      <w:r>
        <w:rPr>
          <w:rFonts w:ascii="Calibri" w:hAnsi="Calibri" w:eastAsia="微软雅黑"/>
          <w:b w:val="0"/>
          <w:color w:val="262626"/>
          <w:sz w:val="19"/>
        </w:rPr>
        <w:t>Word / PowerPoint（熟练）、Excel（数据透视表、常用函数）、SPSS、AMOS、Xmind。</w:t>
      </w:r>
    </w:p>
    <w:p>
      <w:pPr>
        <w:keepLines/>
        <w:tabs>
          <w:tab w:pos="227" w:val="left"/>
        </w:tabs>
        <w:spacing w:before="0" w:after="60" w:line="312" w:lineRule="auto"/>
        <w:ind w:left="227" w:hanging="227"/>
      </w:pPr>
      <w:r>
        <w:rPr>
          <w:rFonts w:ascii="Calibri" w:hAnsi="Calibri" w:eastAsia="微软雅黑"/>
          <w:b w:val="0"/>
          <w:color w:val="2B4A6F"/>
          <w:sz w:val="19"/>
        </w:rPr>
        <w:t>•</w:t>
        <w:tab/>
      </w:r>
      <w:r>
        <w:rPr>
          <w:rFonts w:ascii="Calibri" w:hAnsi="Calibri" w:eastAsia="微软雅黑"/>
          <w:b/>
          <w:color w:val="262626"/>
          <w:sz w:val="19"/>
        </w:rPr>
        <w:t xml:space="preserve">语言　</w:t>
      </w:r>
      <w:r>
        <w:rPr>
          <w:rFonts w:ascii="Calibri" w:hAnsi="Calibri" w:eastAsia="微软雅黑"/>
          <w:b w:val="0"/>
          <w:color w:val="262626"/>
          <w:sz w:val="19"/>
        </w:rPr>
        <w:t>英语（CET-6、BEC 中级）、粤语（良好）。</w:t>
      </w:r>
    </w:p>
    <w:p>
      <w:pPr>
        <w:spacing w:before="240" w:after="100" w:line="240" w:lineRule="auto"/>
        <w:keepNext/>
        <w:pBdr>
          <w:bottom w:val="single" w:sz="6" w:space="3" w:color="C9D3DE"/>
        </w:pBdr>
      </w:pPr>
      <w:r>
        <w:rPr>
          <w:rFonts w:ascii="Calibri" w:hAnsi="Calibri" w:eastAsia="微软雅黑"/>
          <w:b/>
          <w:color w:val="2B4A6F"/>
          <w:sz w:val="23"/>
        </w:rPr>
        <w:t>自我评价</w:t>
      </w:r>
    </w:p>
    <w:p>
      <w:pPr>
        <w:spacing w:before="0" w:after="0" w:line="312" w:lineRule="auto"/>
      </w:pPr>
      <w:r>
        <w:rPr>
          <w:rFonts w:ascii="Calibri" w:hAnsi="Calibri" w:eastAsia="微软雅黑"/>
          <w:b w:val="0"/>
          <w:color w:val="262626"/>
          <w:sz w:val="19"/>
        </w:rPr>
        <w:t>医药专业出身，从药企市场实习、强生一线销售到高校研究与渠道项目实践，工作始终围绕医疗健康行业客户展开。渠道合作项目的日常经营已移交合作伙伴，本人不再参与经营，可全职投入；希望加入飞书，把对医院、药企、渠道商的理解用于企业服务领域，做长期投入。</w:t>
      </w:r>
    </w:p>
    <w:sectPr w:rsidR="00FC693F" w:rsidRPr="0006063C" w:rsidSect="00034616">
      <w:pgSz w:w="11906" w:h="16838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