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 w:eastAsia="微软雅黑"/>
          <w:b/>
          <w:i w:val="0"/>
          <w:color w:val="1F4E79"/>
          <w:sz w:val="44"/>
        </w:rPr>
        <w:t>许增楠</w:t>
      </w:r>
      <w:r>
        <w:rPr>
          <w:rFonts w:ascii="Calibri" w:hAnsi="Calibri" w:eastAsia="微软雅黑"/>
          <w:b/>
          <w:i w:val="0"/>
          <w:sz w:val="21"/>
        </w:rPr>
        <w:t xml:space="preserve">    求职意向：医疗健康行业-大客户销售（飞书）｜意向城市：深圳 / 广州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手机：15626104764</w:t>
            </w:r>
          </w:p>
        </w:tc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邮箱：15626104764@163.com</w:t>
            </w:r>
          </w:p>
        </w:tc>
      </w:tr>
      <w:tr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企业管理硕士（市场营销 / 医药营销方向）</w:t>
            </w:r>
          </w:p>
        </w:tc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英语 CET-6、BEC 中级｜粤语良好</w:t>
            </w:r>
          </w:p>
        </w:tc>
      </w:tr>
    </w:tbl>
    <w:p>
      <w:pPr>
        <w:spacing w:before="40" w:after="0" w:line="240" w:lineRule="auto"/>
        <w:pBdr>
          <w:bottom w:val="single" w:sz="12" w:space="1" w:color="1F4E79"/>
        </w:pBdr>
      </w:pP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教育背景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广东外语外贸大学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企业管理 · 硕士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2019.08 – 2022.06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研究方向：市场营销（品牌营销、医药营销）；连续三年获校级奖学金（一等 2 次、二等 1 次）。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广州中医药大学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国际经济与贸易（医药方向） · 本科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2015.09 – 2019.06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GPA 3.8（专业排名第 2）；修读《药理学》《西医学概论》等医药课程；连续四年获校级奖学金。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核心优势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医疗健康行业企业级客户销售与开拓经验：</w:t>
      </w:r>
      <w:r>
        <w:rPr>
          <w:rFonts w:ascii="Calibri" w:hAnsi="Calibri" w:eastAsia="微软雅黑"/>
          <w:b w:val="0"/>
          <w:i w:val="0"/>
          <w:sz w:val="20"/>
        </w:rPr>
        <w:t>先后任职强生医疗、罗氏制药、视源医疗显示、辉瑞制药等医疗健康企业市场与销售端，现与前强生销售经理合伙经营医疗器械渠道业务，从 0 到 1 完成 4 家医院开发并实现多个产品入院，并操盘跨境医疗项目；覆盖医疗器械、制药、医药流通三大细分赛道及医疗机构、药企、渠道商三类目标客户，具备从区域生意规划、重点客户开拓、渠道赋能到签单落地的全流程 B 端销售能力。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行业分析与解决方案讲解能力：</w:t>
      </w:r>
      <w:r>
        <w:rPr>
          <w:rFonts w:ascii="Calibri" w:hAnsi="Calibri" w:eastAsia="微软雅黑"/>
          <w:b w:val="0"/>
          <w:i w:val="0"/>
          <w:sz w:val="20"/>
        </w:rPr>
        <w:t>企业管理硕士（医药营销方向），现任高校市场营销专任教师，主讲《数字营销》《营销渠道管理》等课程；主持中医药内容营销课题并在知网收录期刊发表成果，能够独立完成行业研究、形成策略洞察，并面向客户与专家完成结构化方案讲解（曾负责产品卫星会、科室会及学术活动宣讲）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数字化与 AI 营销视角：</w:t>
      </w:r>
      <w:r>
        <w:rPr>
          <w:rFonts w:ascii="Calibri" w:hAnsi="Calibri" w:eastAsia="微软雅黑"/>
          <w:b w:val="0"/>
          <w:i w:val="0"/>
          <w:sz w:val="20"/>
        </w:rPr>
        <w:t>研究方向为数字营销、AI 营销、医药营销，持续跟踪医疗大健康行业数字化转型、组织协同与营销技术趋势，能够把协同办公 / SaaS / AI 产品价值与制药、器械、医疗机构客户的业务场景结合，输出行业解决方案思路。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高层关系、谈判与跨部门协作：</w:t>
      </w:r>
      <w:r>
        <w:rPr>
          <w:rFonts w:ascii="Calibri" w:hAnsi="Calibri" w:eastAsia="微软雅黑"/>
          <w:b w:val="0"/>
          <w:i w:val="0"/>
          <w:sz w:val="20"/>
        </w:rPr>
        <w:t>既做过厂家一线销售，也以渠道商身份经营业务，熟悉医院、厂家、渠道商三方决策人的诉求与痛点，擅长与院方及渠道商老板对等洽谈；在强生期间协同市场部、渠道伙伴与临床专家落地 10+ 场大型学术活动（单场规模最高 40 万元），参与白皮书、手术指南编写等行业内容项目；可覆盖华南及港澳地区客户沟通。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工作经历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医疗器械渠道创业项目（与前强生销售经理合伙）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联合创始人 / 合伙人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2024 – 至今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医院开拓从 0 到 1：负责新医院的准入与开拓，完成 4 家医院开发并实现多个产品入院，打通院内准入、科室推广与持续放量的完整链路。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渠道商视角：以医疗渠道商身份深度参与经营，熟悉渠道商老板在厂家合作、资金周转、院内关系、团队管理等方面的真实需求与痛点，具备与渠道商决策人对等沟通、共建合作方案的能力。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跨境医疗项目操盘：牵头跨境医疗项目，带领团队与医院开展合作洽谈，与渠道商洽谈合作模式与分工，统筹项目推进节奏与各方资源。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广州南方学院 · 商学院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市场营销专任教师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2024.02 – 至今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主讲《数字营销》《营销渠道管理》《电子商务原理》等课程，系统梳理 B 端营销、渠道管理与数字化转型方法论，持续产出面向医疗健康行业的营销策略研究。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主持校级科研课题《中医药内容营销对消费意愿的影响机制研究》，成果发表于《商场现代化》（2026，知网收录），聚焦医药行业数字化内容营销路径与客户转化机制。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强生（上海）医疗器材有限公司 · 能量外科与微创外科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销售培训生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2022.07 – 2024.01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区域生意规划：基于业绩目标收集市场与竞品信息，完成区域市场分析、生意规划及销售策略制定与落地，业绩指标超额达成。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重点客户开拓与维护：持续拜访核心客户及关键决策人，洞察客户痛点并提供针对性解决方案，传递产品与品牌价值，建立长期稳定的客户关系。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渠道管理与赋能：协助经销商制定行动目标与计划，负责渠道人员产品知识培训，协同拜访重点客户，定期盘点渠道业绩并给予指导。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学术活动与行业内容：围绕客户需求策划并全程落地 10+ 场大型学术活动（含全国性活动，单场规模最高 40 万元）；与市场部协同推进白皮书、手术指南编写及社交媒体科普等项目在区域落地。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方案讲解：负责会议现场产品卫星会及日常科室会宣讲，具备面向临床专家与客户的专业讲解能力。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广州视源电子科技股份有限公司 · 医疗显示事业部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销售兼市场实习生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2021.01 – 2021.07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医疗机构新市场开拓：陌生拜访多家医院影像科，挖掘客户需求与关注点，传递公司品牌与产品价值，发掘商机并建立客户关系。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产品与方案讲解：独立接待客户及渠道商参观产业园并负责公司与产品介绍；参加学术会议负责产品讲解。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市场内容产出：独立负责 4 部宣传视频拍摄与产品新闻稿撰写，围绕临床核心需求提炼产品卖点，对接媒体、设计等外部供应商。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上海罗氏制药有限公司 · 淋巴瘤产品组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区域市场部实习生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2019.03 – 2020.01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对接多位市场部、销售部经理，汇总区域销量、学术活动、临床专家反馈、竞品动态等数据，输出销售月报与分析 PPT，为区域市场策略制定提供支持。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协助区域市场活动项目的策划、组织与落地，系统学习药企市场推广与客户管理方法。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项目经历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梅州泽山口腔医院 5 年战略规划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导师助理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2018.10 – 2019.10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高层对接：直接对接医院决策层，收集战略目标、市场地位、竞争格局与管理模式等信息。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行业与数据分析：研究国内外口腔行业政策、技术与商业模式动态；对比竞品价目、测算人均业绩产出与人员饱和度，搭建盈亏平衡、财务绩效与客流量分析表评估新分院发展情况。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策略输出：完成 SWOT 分析与基于体验触点的患者就诊流程调研（访谈 + 问卷），形成可落地的优化建议。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科研课题与论文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主持校级课题《中医药内容营销对消费意愿的影响机制研究》。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《中医药内容营销对消费意愿的影响机制：形而上与形而下内容的双路径作用》，《商场现代化》，2026。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《透视直播电商解读营销的流变与永恒》，广东省社科联 2020 年岭南学术论坛（新营销·新经济）会议论文，获评优秀论文。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《国产动漫火爆，动漫 IP 如何打动消费者》，《国际品牌观察》，2020（知网收录）。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技能与语言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办公与分析工具：</w:t>
      </w:r>
      <w:r>
        <w:rPr>
          <w:rFonts w:ascii="Calibri" w:hAnsi="Calibri" w:eastAsia="微软雅黑"/>
          <w:b w:val="0"/>
          <w:i w:val="0"/>
          <w:sz w:val="20"/>
        </w:rPr>
        <w:t>Word / PowerPoint（熟练）、Excel（数据透视表、常用函数）、SPSS、AMOS、Xmind。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语言：</w:t>
      </w:r>
      <w:r>
        <w:rPr>
          <w:rFonts w:ascii="Calibri" w:hAnsi="Calibri" w:eastAsia="微软雅黑"/>
          <w:b w:val="0"/>
          <w:i w:val="0"/>
          <w:sz w:val="20"/>
        </w:rPr>
        <w:t>英语（CET-6、BEC 中级）、粤语（良好）、普通话。</w:t>
      </w:r>
    </w:p>
    <w:sectPr w:rsidR="00FC693F" w:rsidRPr="0006063C" w:rsidSect="00034616">
      <w:pgSz w:w="11906" w:h="16838"/>
      <w:pgMar w:top="794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