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2；修读药理学、西医学概论等医学课程；连续四年获校级奖学金。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经管类专业出身，本科修读药理学、西医学概论等医学课程，硕士研究方向为医药营销，强生入职培训系统学习解剖学与手术术式；强生医疗 1.5 年一线销售，罗氏制药、视源医疗显示实习，2025–2026 年参与医疗器械渠道项目，开发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教学与研究均聚焦医疗健康与营销的交叉：主讲数字营销、营销渠道管理、战略管理课程，主持医药内容营销课题并发表论文；曾负责卫星会与科室会宣讲，能独立完成行业分析并清晰讲解。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主讲《数字营销》《营销渠道管理》《战略管理》《电子商务原理》课程，负责课程设计与学生指导。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专业知识：入职培训系统学习解剖学与相关手术术式，能够与临床专家就产品应用场景进行专业沟通。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2025.02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从渠道商角度参与经营决策，理解渠道商的经营逻辑与合作诉求。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修读医学基础课程，硕士聚焦医药营销；从药企市场实习、强生一线销售到高校教学与渠道项目实践，始终围绕医疗健康与营销两个方向积累。希望加入飞书，把对医院、药企、渠道商的理解用于企业服务领域，做长期投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