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2；修读药理学、西医学概论等医药课程；连续四年获校级奖学金。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医药方向本科、医药营销方向硕士；强生医疗 1.5 年一线销售，罗氏制药、视源医疗显示实习；2024–2026 年参与医疗器械渠道合作项目，开发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主讲数字营销、营销渠道管理课程，主持医药内容营销课题并发表论文；曾负责卫星会与科室会宣讲，能独立完成行业分析并清晰讲解。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医疗器械渠道合作项目（与前强生销售经理合作）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2024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从渠道商角度参与经营决策，理解渠道商的经营逻辑与合作诉求；项目已于 2026 年完成交接。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医药专业出身，从药企市场实习、强生一线销售到高校研究与渠道项目实践，工作始终围绕医疗健康行业客户展开。渠道合作项目已完成交接，不再参与经营，可全职投入；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