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28069" w14:textId="77777777" w:rsidR="000345B7" w:rsidRDefault="000345B7">
      <w:pPr>
        <w:spacing w:after="80"/>
        <w:jc w:val="both"/>
      </w:pPr>
    </w:p>
    <w:p w14:paraId="091BFB23" w14:textId="356A0BA2" w:rsidR="000345B7" w:rsidRDefault="00CA5FAB" w:rsidP="00885AB9">
      <w:pPr>
        <w:jc w:val="center"/>
      </w:pPr>
      <w:r>
        <w:rPr>
          <w:rFonts w:ascii="Garamond" w:hAnsi="Garamond"/>
          <w:b/>
          <w:color w:val="003566"/>
          <w:sz w:val="40"/>
        </w:rPr>
        <w:t>Clinical Natural Language Processing in Healthcare</w:t>
      </w:r>
    </w:p>
    <w:p w14:paraId="117E23E4" w14:textId="77777777" w:rsidR="000345B7" w:rsidRDefault="000345B7">
      <w:pPr>
        <w:pBdr>
          <w:bottom w:val="single" w:sz="4" w:space="1" w:color="AAAAAA"/>
        </w:pBdr>
        <w:spacing w:before="80" w:after="80"/>
      </w:pPr>
    </w:p>
    <w:p w14:paraId="2F33A1D1" w14:textId="77777777" w:rsidR="000345B7" w:rsidRDefault="00CA5FAB">
      <w:pPr>
        <w:jc w:val="center"/>
      </w:pPr>
      <w:r>
        <w:rPr>
          <w:rFonts w:ascii="Garamond" w:hAnsi="Garamond"/>
          <w:i/>
          <w:color w:val="5A5A5A"/>
          <w:sz w:val="18"/>
        </w:rPr>
        <w:t>Prepared for Cotiviti Intern Assessment  ·  June 29, 2026</w:t>
      </w:r>
    </w:p>
    <w:p w14:paraId="6AD3AD68" w14:textId="77777777" w:rsidR="000345B7" w:rsidRDefault="000345B7"/>
    <w:p w14:paraId="55B070DB" w14:textId="77777777" w:rsidR="000345B7" w:rsidRDefault="00CA5FAB">
      <w:pPr>
        <w:pStyle w:val="Heading1"/>
      </w:pPr>
      <w:r>
        <w:rPr>
          <w:color w:val="003566"/>
        </w:rPr>
        <w:t>1.  Defining the Topic</w:t>
      </w:r>
    </w:p>
    <w:p w14:paraId="6CE667FC" w14:textId="77777777" w:rsidR="000345B7" w:rsidRDefault="00CA5FAB">
      <w:pPr>
        <w:spacing w:after="120"/>
        <w:jc w:val="both"/>
      </w:pPr>
      <w:r>
        <w:rPr>
          <w:rFonts w:ascii="Garamond" w:hAnsi="Garamond"/>
        </w:rPr>
        <w:t>Clinical Natural Language Processing (NLP) is the practice of using computational methods to extract structured, usable information from the unstructured text found in medical records — physician progress notes, discharge summaries, radiology reports, operative dictations, and nursing assessments. The relevance to healthcare administration is straightforward: it is estimated that roughly 80 percent of clinically meaningful data in U.S. Electronic Health Record (EHR) systems exists in free-text fields that a</w:t>
      </w:r>
      <w:r>
        <w:rPr>
          <w:rFonts w:ascii="Garamond" w:hAnsi="Garamond"/>
        </w:rPr>
        <w:t>re never systematically analyzed (Murdoch &amp; Detsky, 2013). Billing, auditing, and risk adjustment decisions are made largely on the structured claim codes submitted alongside these notes — yet the notes themselves often contain richer, more specific clinical information than the codes that were assigned.</w:t>
      </w:r>
    </w:p>
    <w:p w14:paraId="5E301400" w14:textId="77777777" w:rsidR="000345B7" w:rsidRDefault="00CA5FAB">
      <w:pPr>
        <w:spacing w:after="120"/>
        <w:jc w:val="both"/>
      </w:pPr>
      <w:r>
        <w:rPr>
          <w:rFonts w:ascii="Garamond" w:hAnsi="Garamond"/>
        </w:rPr>
        <w:t>For an organization like Cotiviti, whose core business is payment accuracy and risk adjustment for healthcare payers, this gap is not an abstraction. It is the daily operational challenge that drives the need for clinical NLP. When a physician documents a patient with 'poorly controlled Type 2 diabetes with stage 3 chronic kidney disease' but the coder submits only the general diabetes code, Cotiviti's auditors find that gap in a retrospective chart review — months later, manually, at significant cost. Clin</w:t>
      </w:r>
      <w:r>
        <w:rPr>
          <w:rFonts w:ascii="Garamond" w:hAnsi="Garamond"/>
        </w:rPr>
        <w:t>ical NLP is the technology that changes that equation. Instead of a human reviewer reading the note, a model reads it, extracts the diagnoses, maps them to specific ICD-10 codes, and flags the discrepancy — at scale, in seconds.</w:t>
      </w:r>
    </w:p>
    <w:p w14:paraId="757C1BBD" w14:textId="77777777" w:rsidR="000345B7" w:rsidRDefault="00CA5FAB">
      <w:pPr>
        <w:spacing w:after="120"/>
        <w:jc w:val="both"/>
      </w:pPr>
      <w:r>
        <w:rPr>
          <w:rFonts w:ascii="Garamond" w:hAnsi="Garamond"/>
        </w:rPr>
        <w:t>The technology itself spans several disciplines: natural language understanding, medical ontologies (ICD-10, SNOMED CT, UMLS), document understanding for scanned records, and most recently, large language models capable of clinical reasoning without task-specific training data. The practical deployment of these systems sits at the intersection of healthcare regulation, data privacy law, and operational workflow integration — which is why most healthcare organizations have been slower than other industries t</w:t>
      </w:r>
      <w:r>
        <w:rPr>
          <w:rFonts w:ascii="Garamond" w:hAnsi="Garamond"/>
        </w:rPr>
        <w:t>o adopt them, and why the organizations that do it well build a meaningful competitive advantage.</w:t>
      </w:r>
    </w:p>
    <w:p w14:paraId="35411666" w14:textId="77777777" w:rsidR="000345B7" w:rsidRDefault="00CA5FAB">
      <w:pPr>
        <w:pStyle w:val="Heading1"/>
      </w:pPr>
      <w:r>
        <w:rPr>
          <w:color w:val="003566"/>
        </w:rPr>
        <w:t>2.  How the Field Got Here: A Practical History</w:t>
      </w:r>
    </w:p>
    <w:p w14:paraId="1D0520E5" w14:textId="77777777" w:rsidR="000345B7" w:rsidRDefault="00CA5FAB">
      <w:pPr>
        <w:pStyle w:val="Heading2"/>
      </w:pPr>
      <w:r>
        <w:rPr>
          <w:color w:val="003566"/>
        </w:rPr>
        <w:t>2.1  The Rule-Based Era (1990s – 2012)</w:t>
      </w:r>
    </w:p>
    <w:p w14:paraId="68CBC2DC" w14:textId="77777777" w:rsidR="000345B7" w:rsidRDefault="00CA5FAB">
      <w:pPr>
        <w:spacing w:after="120"/>
        <w:jc w:val="both"/>
      </w:pPr>
      <w:r>
        <w:rPr>
          <w:rFonts w:ascii="Garamond" w:hAnsi="Garamond"/>
        </w:rPr>
        <w:t xml:space="preserve">The first clinical NLP systems were built on hand-crafted rules and medical dictionaries. MetaMap, developed at the National Library of Medicine, mapped free text to concepts in the Unified Medical Language System (UMLS) using a combination of parsing rules and phrase matching (Aronson, </w:t>
      </w:r>
      <w:r>
        <w:rPr>
          <w:rFonts w:ascii="Garamond" w:hAnsi="Garamond"/>
        </w:rPr>
        <w:lastRenderedPageBreak/>
        <w:t>2001). The Apache cTAKES system, released by the Mayo Clinic, extended this to clinical notes specifically — identifying problems, treatments, and tests from physician text (Savova et al., 2010). MedLEE, developed at Columbia University, focused on radiology report parsing and achieved high precision on structured report formats (Friedman et al., 1994).</w:t>
      </w:r>
    </w:p>
    <w:p w14:paraId="6BFF71AC" w14:textId="77777777" w:rsidR="000345B7" w:rsidRDefault="00CA5FAB">
      <w:pPr>
        <w:spacing w:after="120"/>
        <w:jc w:val="both"/>
      </w:pPr>
      <w:r>
        <w:rPr>
          <w:rFonts w:ascii="Garamond" w:hAnsi="Garamond"/>
        </w:rPr>
        <w:t>These systems worked well when text was predictable. They broke on abbreviations, nonstandard phrasing, and the highly varied writing styles of individual physicians. A rule that correctly identifies 'hypertension' fails when a cardiologist writes 'htn,' 'elevated BP,' or 'BP running high' in an informal note. The i2b2 NLP Challenge Series (2006–2014) documented these limitations systematically, producing shared annotated datasets and establishing the benchmarks that subsequent machine-learning approaches w</w:t>
      </w:r>
      <w:r>
        <w:rPr>
          <w:rFonts w:ascii="Garamond" w:hAnsi="Garamond"/>
        </w:rPr>
        <w:t>ould be measured against (Uzuner et al., 2011).</w:t>
      </w:r>
    </w:p>
    <w:p w14:paraId="41B8C813" w14:textId="77777777" w:rsidR="000345B7" w:rsidRDefault="00CA5FAB">
      <w:pPr>
        <w:pStyle w:val="Heading2"/>
      </w:pPr>
      <w:r>
        <w:rPr>
          <w:color w:val="003566"/>
        </w:rPr>
        <w:t>2.2  Deep Learning Changes the Baseline (2015 – 2022)</w:t>
      </w:r>
    </w:p>
    <w:p w14:paraId="68E04CA7" w14:textId="77777777" w:rsidR="000345B7" w:rsidRDefault="00CA5FAB">
      <w:pPr>
        <w:spacing w:after="120"/>
        <w:jc w:val="both"/>
      </w:pPr>
      <w:r>
        <w:rPr>
          <w:rFonts w:ascii="Garamond" w:hAnsi="Garamond"/>
        </w:rPr>
        <w:t>The shift to neural networks — specifically, transformer architectures introduced in the landmark 'Attention Is All You Need' paper (Vaswani et al., 2017) — transformed what was achievable. Instead of writing rules to handle every linguistic variation, models learned the patterns of clinical language directly from large corpora of medical text. BioBERT, pre-trained on 4.5 billion words from PubMed abstracts and full-text biomedical articles, set new performance records on biomedical named entity recognition</w:t>
      </w:r>
      <w:r>
        <w:rPr>
          <w:rFonts w:ascii="Garamond" w:hAnsi="Garamond"/>
        </w:rPr>
        <w:t xml:space="preserve"> and question answering benchmarks (Lee et al., 2020). ClinicalBERT, trained specifically on MIMIC-III ICU notes from Beth Israel Deaconess Medical Center, demonstrated that domain-specific pre-training on clinical text — as opposed to general biomedical literature — produced better results on clinical NLP tasks (Alsentzer et al., 2019).</w:t>
      </w:r>
    </w:p>
    <w:p w14:paraId="7FE99501" w14:textId="77777777" w:rsidR="000345B7" w:rsidRDefault="00CA5FAB">
      <w:pPr>
        <w:spacing w:after="120"/>
        <w:jc w:val="both"/>
      </w:pPr>
      <w:r>
        <w:rPr>
          <w:rFonts w:ascii="Garamond" w:hAnsi="Garamond"/>
        </w:rPr>
        <w:t xml:space="preserve">Simultaneously, document understanding improved. LayoutLM combined text content with the spatial layout of words on a page, enabling models to process scanned forms, lab result printouts, and mixed-content documents with far greater accuracy than pure text models (Xu et al., 2020). The MIMIC-IV dataset, a continuation of MIMIC-III, provided the research community with one of the largest publicly available clinical note corpora for continued model development (Johnson et al., 2023). By 2022, the gap between </w:t>
      </w:r>
      <w:r>
        <w:rPr>
          <w:rFonts w:ascii="Garamond" w:hAnsi="Garamond"/>
        </w:rPr>
        <w:t>rule-based systems and deep learning models on standard clinical NLP benchmarks had grown large enough that most serious production deployments were moving to neural approaches.</w:t>
      </w:r>
    </w:p>
    <w:p w14:paraId="3F064E9C" w14:textId="77777777" w:rsidR="000345B7" w:rsidRDefault="00CA5FAB">
      <w:pPr>
        <w:pStyle w:val="Heading2"/>
      </w:pPr>
      <w:r>
        <w:rPr>
          <w:color w:val="003566"/>
        </w:rPr>
        <w:t>2.3  Large Language Models Reframe the Problem (2023 – Present)</w:t>
      </w:r>
    </w:p>
    <w:p w14:paraId="70028B43" w14:textId="77777777" w:rsidR="000345B7" w:rsidRDefault="00CA5FAB">
      <w:pPr>
        <w:spacing w:after="120"/>
        <w:jc w:val="both"/>
      </w:pPr>
      <w:r>
        <w:rPr>
          <w:rFonts w:ascii="Garamond" w:hAnsi="Garamond"/>
        </w:rPr>
        <w:t xml:space="preserve">The introduction of GPT-4 (OpenAI, 2023) and Google Gemini marked a qualitative shift, not just a quantitative one. Earlier models required labeled training data for each new task — building a model for ICD-10 coding meant collecting thousands of annotated examples of notes paired with correct codes. Large language models can perform these tasks without task-specific training data, by following instructions in natural language. Med-PaLM 2, Google's medically-adapted version of PaLM 2, achieved expert-level </w:t>
      </w:r>
      <w:r>
        <w:rPr>
          <w:rFonts w:ascii="Garamond" w:hAnsi="Garamond"/>
        </w:rPr>
        <w:t>performance on USMLE Step 1-3 medical licensing examinations and demonstrated strong performance on clinical reasoning tasks without further clinical fine-tuning (Singhal et al., 2023).</w:t>
      </w:r>
    </w:p>
    <w:p w14:paraId="2CA58C51" w14:textId="77777777" w:rsidR="000345B7" w:rsidRDefault="00CA5FAB">
      <w:pPr>
        <w:spacing w:after="120"/>
        <w:jc w:val="both"/>
      </w:pPr>
      <w:r>
        <w:rPr>
          <w:rFonts w:ascii="Garamond" w:hAnsi="Garamond"/>
        </w:rPr>
        <w:t xml:space="preserve">The practical implication for clinical NLP is significant. A system that previously required months of data collection, annotation, model training, and validation can now be prototyped in days. This does not eliminate the need for validation — the risk of confident-sounding but incorrect outputs (hallucination) is a real concern in any clinical setting — but it fundamentally changes the economics </w:t>
      </w:r>
      <w:r>
        <w:rPr>
          <w:rFonts w:ascii="Garamond" w:hAnsi="Garamond"/>
        </w:rPr>
        <w:lastRenderedPageBreak/>
        <w:t>of deploying these systems. The question for healthcare organizations has shifted from 'can we build this?' to 'how do we deploy this responsibly and at what cost?'</w:t>
      </w:r>
    </w:p>
    <w:p w14:paraId="6604C662" w14:textId="77777777" w:rsidR="000345B7" w:rsidRDefault="00CA5FAB">
      <w:pPr>
        <w:pStyle w:val="Heading1"/>
      </w:pPr>
      <w:r>
        <w:rPr>
          <w:color w:val="003566"/>
        </w:rPr>
        <w:t>3.  Opportunities and Threats for Cotiviti</w:t>
      </w:r>
    </w:p>
    <w:p w14:paraId="603B77F7" w14:textId="77777777" w:rsidR="000345B7" w:rsidRDefault="00CA5FAB">
      <w:pPr>
        <w:pStyle w:val="Heading2"/>
      </w:pPr>
      <w:r>
        <w:rPr>
          <w:color w:val="003566"/>
        </w:rPr>
        <w:t>3.1  Opportunities</w:t>
      </w:r>
    </w:p>
    <w:tbl>
      <w:tblPr>
        <w:tblStyle w:val="TableGrid"/>
        <w:tblW w:w="0" w:type="auto"/>
        <w:tblLook w:val="04A0" w:firstRow="1" w:lastRow="0" w:firstColumn="1" w:lastColumn="0" w:noHBand="0" w:noVBand="1"/>
      </w:tblPr>
      <w:tblGrid>
        <w:gridCol w:w="4320"/>
        <w:gridCol w:w="4320"/>
      </w:tblGrid>
      <w:tr w:rsidR="000345B7" w14:paraId="01E00A3B" w14:textId="77777777">
        <w:tc>
          <w:tcPr>
            <w:tcW w:w="4320" w:type="dxa"/>
            <w:shd w:val="clear" w:color="auto" w:fill="00467F"/>
          </w:tcPr>
          <w:p w14:paraId="64761AD1" w14:textId="77777777" w:rsidR="000345B7" w:rsidRDefault="00CA5FAB">
            <w:r>
              <w:rPr>
                <w:rFonts w:ascii="Garamond" w:hAnsi="Garamond"/>
                <w:b/>
                <w:color w:val="FFFFFF"/>
                <w:sz w:val="20"/>
              </w:rPr>
              <w:t>Opportunity</w:t>
            </w:r>
          </w:p>
        </w:tc>
        <w:tc>
          <w:tcPr>
            <w:tcW w:w="4320" w:type="dxa"/>
            <w:shd w:val="clear" w:color="auto" w:fill="00467F"/>
          </w:tcPr>
          <w:p w14:paraId="21EFA6D5" w14:textId="77777777" w:rsidR="000345B7" w:rsidRDefault="00CA5FAB">
            <w:r>
              <w:rPr>
                <w:rFonts w:ascii="Garamond" w:hAnsi="Garamond"/>
                <w:b/>
                <w:color w:val="FFFFFF"/>
                <w:sz w:val="20"/>
              </w:rPr>
              <w:t>Practical Impact for Cotiviti</w:t>
            </w:r>
          </w:p>
        </w:tc>
      </w:tr>
      <w:tr w:rsidR="000345B7" w14:paraId="59F3DA5B" w14:textId="77777777">
        <w:tc>
          <w:tcPr>
            <w:tcW w:w="4320" w:type="dxa"/>
          </w:tcPr>
          <w:p w14:paraId="0AF52C8A" w14:textId="77777777" w:rsidR="000345B7" w:rsidRDefault="00CA5FAB">
            <w:r>
              <w:rPr>
                <w:rFonts w:ascii="Garamond" w:hAnsi="Garamond"/>
                <w:sz w:val="20"/>
              </w:rPr>
              <w:t>Retrospective Chart Review Automation</w:t>
            </w:r>
          </w:p>
        </w:tc>
        <w:tc>
          <w:tcPr>
            <w:tcW w:w="4320" w:type="dxa"/>
          </w:tcPr>
          <w:p w14:paraId="7ABA58F6" w14:textId="77777777" w:rsidR="000345B7" w:rsidRDefault="00CA5FAB">
            <w:r>
              <w:rPr>
                <w:rFonts w:ascii="Garamond" w:hAnsi="Garamond"/>
                <w:sz w:val="20"/>
              </w:rPr>
              <w:t>Human chart reviewers can audit roughly 10–15 records per day. An AI-assisted system processes thousands per hour. The cost per chart reviewed drops by an estimated 60–70%, while review cycle time shortens from weeks to hours.</w:t>
            </w:r>
          </w:p>
        </w:tc>
      </w:tr>
      <w:tr w:rsidR="000345B7" w14:paraId="3DB6FCBC" w14:textId="77777777">
        <w:tc>
          <w:tcPr>
            <w:tcW w:w="4320" w:type="dxa"/>
          </w:tcPr>
          <w:p w14:paraId="7B0CAF7E" w14:textId="77777777" w:rsidR="000345B7" w:rsidRDefault="00CA5FAB">
            <w:r>
              <w:rPr>
                <w:rFonts w:ascii="Garamond" w:hAnsi="Garamond"/>
                <w:sz w:val="20"/>
              </w:rPr>
              <w:t>HCC Risk Gap Identification</w:t>
            </w:r>
          </w:p>
        </w:tc>
        <w:tc>
          <w:tcPr>
            <w:tcW w:w="4320" w:type="dxa"/>
          </w:tcPr>
          <w:p w14:paraId="30B57E31" w14:textId="77777777" w:rsidR="000345B7" w:rsidRDefault="00CA5FAB">
            <w:r>
              <w:rPr>
                <w:rFonts w:ascii="Garamond" w:hAnsi="Garamond"/>
                <w:sz w:val="20"/>
              </w:rPr>
              <w:t>Hierarchical Condition Category (HCC) coding drives CMS risk-adjustment payments. Documented but uncoded diagnoses — a physician notes 'moderate COPD' but the coder submits only the Z-code — represent recoverable per-member-per-month (PMPM) revenue. Clinical NLP identifies these gaps systematically at scale.</w:t>
            </w:r>
          </w:p>
        </w:tc>
      </w:tr>
      <w:tr w:rsidR="000345B7" w14:paraId="28A97F98" w14:textId="77777777">
        <w:tc>
          <w:tcPr>
            <w:tcW w:w="4320" w:type="dxa"/>
          </w:tcPr>
          <w:p w14:paraId="300A9775" w14:textId="77777777" w:rsidR="000345B7" w:rsidRDefault="00CA5FAB">
            <w:r>
              <w:rPr>
                <w:rFonts w:ascii="Garamond" w:hAnsi="Garamond"/>
                <w:sz w:val="20"/>
              </w:rPr>
              <w:t>ICD-10 Specificity and Coding Accuracy</w:t>
            </w:r>
          </w:p>
        </w:tc>
        <w:tc>
          <w:tcPr>
            <w:tcW w:w="4320" w:type="dxa"/>
          </w:tcPr>
          <w:p w14:paraId="21613135" w14:textId="77777777" w:rsidR="000345B7" w:rsidRDefault="00CA5FAB">
            <w:r>
              <w:rPr>
                <w:rFonts w:ascii="Garamond" w:hAnsi="Garamond"/>
                <w:sz w:val="20"/>
              </w:rPr>
              <w:t>General codes (e.g., E11.9, unspecified Type 2 diabetes) are frequently submitted when more specific codes (e.g., E11.65, with hyperglycemia) are supported by documentation. Higher specificity improves payment accuracy and reduces audit risk for both providers and payers.</w:t>
            </w:r>
          </w:p>
        </w:tc>
      </w:tr>
      <w:tr w:rsidR="000345B7" w14:paraId="659D81C3" w14:textId="77777777">
        <w:tc>
          <w:tcPr>
            <w:tcW w:w="4320" w:type="dxa"/>
          </w:tcPr>
          <w:p w14:paraId="0990ACAF" w14:textId="77777777" w:rsidR="000345B7" w:rsidRDefault="00CA5FAB">
            <w:r>
              <w:rPr>
                <w:rFonts w:ascii="Garamond" w:hAnsi="Garamond"/>
                <w:sz w:val="20"/>
              </w:rPr>
              <w:t>Scalable Auditing Capacity</w:t>
            </w:r>
          </w:p>
        </w:tc>
        <w:tc>
          <w:tcPr>
            <w:tcW w:w="4320" w:type="dxa"/>
          </w:tcPr>
          <w:p w14:paraId="0E3D6D79" w14:textId="77777777" w:rsidR="000345B7" w:rsidRDefault="00CA5FAB">
            <w:r>
              <w:rPr>
                <w:rFonts w:ascii="Garamond" w:hAnsi="Garamond"/>
                <w:sz w:val="20"/>
              </w:rPr>
              <w:t>Human auditing scales linearly with headcount. AI systems scale horizontally with compute. For payer clients processing millions of claims annually, this difference in economics is decisive.</w:t>
            </w:r>
          </w:p>
        </w:tc>
      </w:tr>
      <w:tr w:rsidR="000345B7" w14:paraId="5CECF015" w14:textId="77777777">
        <w:tc>
          <w:tcPr>
            <w:tcW w:w="4320" w:type="dxa"/>
          </w:tcPr>
          <w:p w14:paraId="668808A1" w14:textId="77777777" w:rsidR="000345B7" w:rsidRDefault="00CA5FAB">
            <w:r>
              <w:rPr>
                <w:rFonts w:ascii="Garamond" w:hAnsi="Garamond"/>
                <w:sz w:val="20"/>
              </w:rPr>
              <w:t>Prospective (Real-Time) Coding Support</w:t>
            </w:r>
          </w:p>
        </w:tc>
        <w:tc>
          <w:tcPr>
            <w:tcW w:w="4320" w:type="dxa"/>
          </w:tcPr>
          <w:p w14:paraId="0BBFECD2" w14:textId="77777777" w:rsidR="000345B7" w:rsidRDefault="00CA5FAB">
            <w:r>
              <w:rPr>
                <w:rFonts w:ascii="Garamond" w:hAnsi="Garamond"/>
                <w:sz w:val="20"/>
              </w:rPr>
              <w:t>NLP embedded in EHR workflows can flag potential coding gaps before claims are submitted, shifting Cotiviti from retrospective auditor to upstream value-add partner — a significant competitive repositioning.</w:t>
            </w:r>
          </w:p>
        </w:tc>
      </w:tr>
    </w:tbl>
    <w:p w14:paraId="08C32D86" w14:textId="77777777" w:rsidR="000345B7" w:rsidRDefault="000345B7"/>
    <w:p w14:paraId="42B623A1" w14:textId="77777777" w:rsidR="000345B7" w:rsidRDefault="00CA5FAB">
      <w:pPr>
        <w:pStyle w:val="Heading2"/>
      </w:pPr>
      <w:r>
        <w:rPr>
          <w:color w:val="003566"/>
        </w:rPr>
        <w:t>3.2  Threats and Risks</w:t>
      </w:r>
    </w:p>
    <w:tbl>
      <w:tblPr>
        <w:tblStyle w:val="TableGrid"/>
        <w:tblW w:w="0" w:type="auto"/>
        <w:tblLook w:val="04A0" w:firstRow="1" w:lastRow="0" w:firstColumn="1" w:lastColumn="0" w:noHBand="0" w:noVBand="1"/>
      </w:tblPr>
      <w:tblGrid>
        <w:gridCol w:w="4320"/>
        <w:gridCol w:w="4320"/>
      </w:tblGrid>
      <w:tr w:rsidR="000345B7" w14:paraId="0E717813" w14:textId="77777777">
        <w:tc>
          <w:tcPr>
            <w:tcW w:w="4320" w:type="dxa"/>
            <w:shd w:val="clear" w:color="auto" w:fill="00467F"/>
          </w:tcPr>
          <w:p w14:paraId="6081A8EF" w14:textId="77777777" w:rsidR="000345B7" w:rsidRDefault="00CA5FAB">
            <w:r>
              <w:rPr>
                <w:rFonts w:ascii="Garamond" w:hAnsi="Garamond"/>
                <w:b/>
                <w:color w:val="FFFFFF"/>
                <w:sz w:val="20"/>
              </w:rPr>
              <w:t>Risk</w:t>
            </w:r>
          </w:p>
        </w:tc>
        <w:tc>
          <w:tcPr>
            <w:tcW w:w="4320" w:type="dxa"/>
            <w:shd w:val="clear" w:color="auto" w:fill="00467F"/>
          </w:tcPr>
          <w:p w14:paraId="693AC3AB" w14:textId="77777777" w:rsidR="000345B7" w:rsidRDefault="00CA5FAB">
            <w:r>
              <w:rPr>
                <w:rFonts w:ascii="Garamond" w:hAnsi="Garamond"/>
                <w:b/>
                <w:color w:val="FFFFFF"/>
                <w:sz w:val="20"/>
              </w:rPr>
              <w:t>Why It Matters</w:t>
            </w:r>
          </w:p>
        </w:tc>
      </w:tr>
      <w:tr w:rsidR="000345B7" w14:paraId="22018A40" w14:textId="77777777">
        <w:tc>
          <w:tcPr>
            <w:tcW w:w="4320" w:type="dxa"/>
          </w:tcPr>
          <w:p w14:paraId="32183B88" w14:textId="77777777" w:rsidR="000345B7" w:rsidRDefault="00CA5FAB">
            <w:r>
              <w:rPr>
                <w:rFonts w:ascii="Garamond" w:hAnsi="Garamond"/>
                <w:sz w:val="20"/>
              </w:rPr>
              <w:t>LLM Hallucination in Clinical Context</w:t>
            </w:r>
          </w:p>
        </w:tc>
        <w:tc>
          <w:tcPr>
            <w:tcW w:w="4320" w:type="dxa"/>
          </w:tcPr>
          <w:p w14:paraId="66B0A6F2" w14:textId="77777777" w:rsidR="000345B7" w:rsidRDefault="00CA5FAB">
            <w:r>
              <w:rPr>
                <w:rFonts w:ascii="Garamond" w:hAnsi="Garamond"/>
                <w:sz w:val="20"/>
              </w:rPr>
              <w:t>Large language models can produce ICD-10 codes or clinical findings that are plausible but incorrect. In a payment integrity context, a false positive is not just an error — it is a compliance and liability issue. Human validation is non-negotiable for any production deployment.</w:t>
            </w:r>
          </w:p>
        </w:tc>
      </w:tr>
      <w:tr w:rsidR="000345B7" w14:paraId="36C9A0E6" w14:textId="77777777">
        <w:tc>
          <w:tcPr>
            <w:tcW w:w="4320" w:type="dxa"/>
          </w:tcPr>
          <w:p w14:paraId="30218827" w14:textId="77777777" w:rsidR="000345B7" w:rsidRDefault="00CA5FAB">
            <w:r>
              <w:rPr>
                <w:rFonts w:ascii="Garamond" w:hAnsi="Garamond"/>
                <w:sz w:val="20"/>
              </w:rPr>
              <w:t>Regulatory Uncertainty</w:t>
            </w:r>
          </w:p>
        </w:tc>
        <w:tc>
          <w:tcPr>
            <w:tcW w:w="4320" w:type="dxa"/>
          </w:tcPr>
          <w:p w14:paraId="1170FDE9" w14:textId="77777777" w:rsidR="000345B7" w:rsidRDefault="00CA5FAB">
            <w:r>
              <w:rPr>
                <w:rFonts w:ascii="Garamond" w:hAnsi="Garamond"/>
                <w:sz w:val="20"/>
              </w:rPr>
              <w:t>The FDA's evolving framework for AI/ML-based Software as a Medical Device (SaMD) and CMS guidance on AI in coding decisions create a compliance environment that is still being written. Organizations that move aggressively now may need to restructure products as rules solidify.</w:t>
            </w:r>
          </w:p>
        </w:tc>
      </w:tr>
      <w:tr w:rsidR="000345B7" w14:paraId="1AC5DD09" w14:textId="77777777">
        <w:tc>
          <w:tcPr>
            <w:tcW w:w="4320" w:type="dxa"/>
          </w:tcPr>
          <w:p w14:paraId="702E5571" w14:textId="77777777" w:rsidR="000345B7" w:rsidRDefault="00CA5FAB">
            <w:r>
              <w:rPr>
                <w:rFonts w:ascii="Garamond" w:hAnsi="Garamond"/>
                <w:sz w:val="20"/>
              </w:rPr>
              <w:t>PHI and HIPAA Compliance</w:t>
            </w:r>
          </w:p>
        </w:tc>
        <w:tc>
          <w:tcPr>
            <w:tcW w:w="4320" w:type="dxa"/>
          </w:tcPr>
          <w:p w14:paraId="3C90D19A" w14:textId="77777777" w:rsidR="000345B7" w:rsidRDefault="00CA5FAB">
            <w:r>
              <w:rPr>
                <w:rFonts w:ascii="Garamond" w:hAnsi="Garamond"/>
                <w:sz w:val="20"/>
              </w:rPr>
              <w:t xml:space="preserve">Sending real patient records to cloud-hosted LLM APIs (OpenAI, Google) requires Business Associate Agreements (BAAs) and careful data governance. </w:t>
            </w:r>
            <w:r>
              <w:rPr>
                <w:rFonts w:ascii="Garamond" w:hAnsi="Garamond"/>
                <w:sz w:val="20"/>
              </w:rPr>
              <w:lastRenderedPageBreak/>
              <w:t>On-premises or private-cloud deployment adds operational complexity and cost that must be budgeted for.</w:t>
            </w:r>
          </w:p>
        </w:tc>
      </w:tr>
      <w:tr w:rsidR="000345B7" w14:paraId="1193EF9D" w14:textId="77777777">
        <w:tc>
          <w:tcPr>
            <w:tcW w:w="4320" w:type="dxa"/>
          </w:tcPr>
          <w:p w14:paraId="33BD5ED0" w14:textId="77777777" w:rsidR="000345B7" w:rsidRDefault="00CA5FAB">
            <w:r>
              <w:rPr>
                <w:rFonts w:ascii="Garamond" w:hAnsi="Garamond"/>
                <w:sz w:val="20"/>
              </w:rPr>
              <w:lastRenderedPageBreak/>
              <w:t>EHR Integration Complexity</w:t>
            </w:r>
          </w:p>
        </w:tc>
        <w:tc>
          <w:tcPr>
            <w:tcW w:w="4320" w:type="dxa"/>
          </w:tcPr>
          <w:p w14:paraId="02EB226A" w14:textId="77777777" w:rsidR="000345B7" w:rsidRDefault="00CA5FAB">
            <w:r>
              <w:rPr>
                <w:rFonts w:ascii="Garamond" w:hAnsi="Garamond"/>
                <w:sz w:val="20"/>
              </w:rPr>
              <w:t>Epic and Cerner control most of the U.S. inpatient EHR market. Their APIs are improving (FHIR R4 mandates have helped), but integration remains a multi-month engineering effort for each health system.</w:t>
            </w:r>
          </w:p>
        </w:tc>
      </w:tr>
      <w:tr w:rsidR="000345B7" w14:paraId="5136B2E1" w14:textId="77777777">
        <w:tc>
          <w:tcPr>
            <w:tcW w:w="4320" w:type="dxa"/>
          </w:tcPr>
          <w:p w14:paraId="735C08DD" w14:textId="77777777" w:rsidR="000345B7" w:rsidRDefault="00CA5FAB">
            <w:r>
              <w:rPr>
                <w:rFonts w:ascii="Garamond" w:hAnsi="Garamond"/>
                <w:sz w:val="20"/>
              </w:rPr>
              <w:t>Model Bias and Health Equity</w:t>
            </w:r>
          </w:p>
        </w:tc>
        <w:tc>
          <w:tcPr>
            <w:tcW w:w="4320" w:type="dxa"/>
          </w:tcPr>
          <w:p w14:paraId="2CCD0B49" w14:textId="77777777" w:rsidR="000345B7" w:rsidRDefault="00CA5FAB">
            <w:r>
              <w:rPr>
                <w:rFonts w:ascii="Garamond" w:hAnsi="Garamond"/>
                <w:sz w:val="20"/>
              </w:rPr>
              <w:t>Models trained predominantly on notes from academic medical centers may perform less accurately on notes from community or safety-net hospitals. This gap, if unaddressed, risks amplifying existing health equity disparities in coding and reimbursement.</w:t>
            </w:r>
          </w:p>
        </w:tc>
      </w:tr>
    </w:tbl>
    <w:p w14:paraId="3A7946E4" w14:textId="77777777" w:rsidR="000345B7" w:rsidRDefault="000345B7"/>
    <w:p w14:paraId="59A17AE8" w14:textId="77777777" w:rsidR="000345B7" w:rsidRDefault="00CA5FAB">
      <w:pPr>
        <w:pStyle w:val="Heading1"/>
      </w:pPr>
      <w:r>
        <w:rPr>
          <w:color w:val="003566"/>
        </w:rPr>
        <w:t>4.  Strategic Options for Cotiviti to Consider</w:t>
      </w:r>
    </w:p>
    <w:p w14:paraId="22F50D92" w14:textId="77777777" w:rsidR="000345B7" w:rsidRDefault="00CA5FAB">
      <w:pPr>
        <w:spacing w:after="120"/>
        <w:jc w:val="both"/>
      </w:pPr>
      <w:r>
        <w:rPr>
          <w:rFonts w:ascii="Garamond" w:hAnsi="Garamond"/>
        </w:rPr>
        <w:t>The following three options are not mutually exclusive. They are ordered by implementation readiness and expected time-to-value, from near-term to longer-horizon. Each addresses a distinct part of the clinical NLP value chain.</w:t>
      </w:r>
    </w:p>
    <w:p w14:paraId="2E16541C" w14:textId="77777777" w:rsidR="000345B7" w:rsidRDefault="00CA5FAB">
      <w:pPr>
        <w:pStyle w:val="Heading2"/>
      </w:pPr>
      <w:r>
        <w:rPr>
          <w:color w:val="003566"/>
        </w:rPr>
        <w:t>Option 1 — Hybrid AI-Assisted Chart Review Platform (Recommended)</w:t>
      </w:r>
    </w:p>
    <w:p w14:paraId="29A5873F" w14:textId="77777777" w:rsidR="000345B7" w:rsidRDefault="00CA5FAB">
      <w:pPr>
        <w:spacing w:after="120"/>
        <w:jc w:val="both"/>
      </w:pPr>
      <w:r>
        <w:rPr>
          <w:rFonts w:ascii="Garamond" w:hAnsi="Garamond"/>
        </w:rPr>
        <w:t>Cotiviti's most direct near-term opportunity is to build a structured Hybrid AI-Assisted Chart Review platform that deploys a large language model as a first-pass reader — extracting diagnoses, mapping ICD-10 codes, and flagging HCC gaps — while routing all AI-generated findings through a human Medical Record Reviewer (MRR) for validation before any output affects a claim or audit decision.</w:t>
      </w:r>
    </w:p>
    <w:p w14:paraId="4E4243E4" w14:textId="77777777" w:rsidR="000345B7" w:rsidRDefault="00CA5FAB">
      <w:pPr>
        <w:spacing w:after="120"/>
        <w:jc w:val="both"/>
      </w:pPr>
      <w:r>
        <w:rPr>
          <w:rFonts w:ascii="Garamond" w:hAnsi="Garamond"/>
        </w:rPr>
        <w:t>This 'AI proposes, human validates' model is the most defensible approach from a compliance standpoint, and it is already the standard architecture at mature AI-in-healthcare deployments at organizations like Optum and Change Healthcare. The AI handles the reading volume that would be humanly impossible; the reviewer handles the judgment calls the AI cannot be trusted to make alone. Based on published benchmarks from comparable deployments, this architecture is consistent with a 60–70% reduction in per-char</w:t>
      </w:r>
      <w:r>
        <w:rPr>
          <w:rFonts w:ascii="Garamond" w:hAnsi="Garamond"/>
        </w:rPr>
        <w:t>t review labor cost and a 15–25% improvement in HCC capture rates — both of which translate directly into value for payer clients.</w:t>
      </w:r>
    </w:p>
    <w:p w14:paraId="5F337105" w14:textId="77777777" w:rsidR="000345B7" w:rsidRDefault="00CA5FAB">
      <w:pPr>
        <w:spacing w:after="120"/>
        <w:jc w:val="both"/>
      </w:pPr>
      <w:r>
        <w:rPr>
          <w:rFonts w:ascii="Garamond" w:hAnsi="Garamond"/>
        </w:rPr>
        <w:t>The platform should be built on a HIPAA-compliant private-cloud deployment (Google Vertex AI with BAA, or Azure OpenAI Service) to avoid the PHI exposure risk of standard consumer APIs. The recommended initial scope is retrospective chart review for Medicare Advantage risk adjustment, where the financial return on improved HCC capture is clearest and most quantifiable.</w:t>
      </w:r>
    </w:p>
    <w:p w14:paraId="5383BBEF" w14:textId="77777777" w:rsidR="000345B7" w:rsidRDefault="00CA5FAB">
      <w:pPr>
        <w:pStyle w:val="Heading2"/>
      </w:pPr>
      <w:r>
        <w:rPr>
          <w:color w:val="003566"/>
        </w:rPr>
        <w:t>Option 2 — Real-Time Coding Assistance via EHR Integration</w:t>
      </w:r>
    </w:p>
    <w:p w14:paraId="7FCDA7F9" w14:textId="77777777" w:rsidR="000345B7" w:rsidRDefault="00CA5FAB">
      <w:pPr>
        <w:spacing w:after="120"/>
        <w:jc w:val="both"/>
      </w:pPr>
      <w:r>
        <w:rPr>
          <w:rFonts w:ascii="Garamond" w:hAnsi="Garamond"/>
        </w:rPr>
        <w:t>A longer-horizon but strategically important option is to develop an API-based coding assistant that integrates into EHR workflows via FHIR R4 APIs — currently required for certified EHR systems under ONC interoperability rules. Unlike retrospective audit, this system would analyze physician notes in real time and suggest specific, evidence-supported ICD-10 codes before the claim is submitted.</w:t>
      </w:r>
    </w:p>
    <w:p w14:paraId="0FB1E7BB" w14:textId="77777777" w:rsidR="000345B7" w:rsidRDefault="00CA5FAB">
      <w:pPr>
        <w:spacing w:after="120"/>
        <w:jc w:val="both"/>
      </w:pPr>
      <w:r>
        <w:rPr>
          <w:rFonts w:ascii="Garamond" w:hAnsi="Garamond"/>
        </w:rPr>
        <w:t xml:space="preserve">The business model shift this enables is significant. Retrospective audit positions Cotiviti as a payer-side watchdog — necessary and valued, but sometimes adversarial from a provider's perspective. </w:t>
      </w:r>
      <w:r>
        <w:rPr>
          <w:rFonts w:ascii="Garamond" w:hAnsi="Garamond"/>
        </w:rPr>
        <w:lastRenderedPageBreak/>
        <w:t>Prospective coding support positions Cotiviti as a provider partner — reducing documentation burden, improving coding accuracy upstream, and expanding the addressable market beyond payers into the provider technology segment. The implementation timeline for a production EHR integration is realistically 12–18 months, requiring significant investment in interoperability engineering, but the competitive positioning benefit justifies it.</w:t>
      </w:r>
    </w:p>
    <w:p w14:paraId="3713B68B" w14:textId="77777777" w:rsidR="000345B7" w:rsidRDefault="00CA5FAB">
      <w:pPr>
        <w:pStyle w:val="Heading2"/>
      </w:pPr>
      <w:r>
        <w:rPr>
          <w:color w:val="003566"/>
        </w:rPr>
        <w:t>Option 3 — Strategic Investment in Multimodal Chart Understanding</w:t>
      </w:r>
    </w:p>
    <w:p w14:paraId="0A4EC286" w14:textId="77777777" w:rsidR="000345B7" w:rsidRDefault="00CA5FAB">
      <w:pPr>
        <w:spacing w:after="120"/>
        <w:jc w:val="both"/>
      </w:pPr>
      <w:r>
        <w:rPr>
          <w:rFonts w:ascii="Garamond" w:hAnsi="Garamond"/>
        </w:rPr>
        <w:t>The next frontier in clinical NLP is multimodal reasoning — models that simultaneously process the text of a clinical note, the structured data in lab result tables, and the content of associated imaging reports or even DICOM images. For coding validation, this matters because the most defensible coding decisions are grounded in multiple evidence sources: the physician's note, the lab values that support the diagnosis, and the imaging that confirms it.</w:t>
      </w:r>
    </w:p>
    <w:p w14:paraId="0A8941DC" w14:textId="77777777" w:rsidR="000345B7" w:rsidRDefault="00CA5FAB">
      <w:pPr>
        <w:spacing w:after="120"/>
        <w:jc w:val="both"/>
      </w:pPr>
      <w:r>
        <w:rPr>
          <w:rFonts w:ascii="Garamond" w:hAnsi="Garamond"/>
        </w:rPr>
        <w:t>Cotiviti should establish a dedicated AI research function to evaluate multimodal models (Google Gemini 1.5 Pro and successors, GPT-4V) for coding validation use cases over an 18–36 month horizon. The near-term output of this function would be internal benchmarking — how well do these models perform on Cotiviti's actual audit use cases? The longer-term output is a proprietary capability that is difficult for competitors to replicate quickly. As text-only NLP becomes commoditized, multimodal reasoning will b</w:t>
      </w:r>
      <w:r>
        <w:rPr>
          <w:rFonts w:ascii="Garamond" w:hAnsi="Garamond"/>
        </w:rPr>
        <w:t>e the differentiator.</w:t>
      </w:r>
    </w:p>
    <w:p w14:paraId="4EB04AB8" w14:textId="77777777" w:rsidR="000345B7" w:rsidRDefault="000345B7"/>
    <w:p w14:paraId="5C2F5EB7" w14:textId="77777777" w:rsidR="000345B7" w:rsidRDefault="000345B7">
      <w:pPr>
        <w:pBdr>
          <w:bottom w:val="single" w:sz="4" w:space="1" w:color="AAAAAA"/>
        </w:pBdr>
        <w:spacing w:before="80" w:after="80"/>
      </w:pPr>
    </w:p>
    <w:p w14:paraId="20518593" w14:textId="77777777" w:rsidR="000345B7" w:rsidRDefault="000345B7"/>
    <w:p w14:paraId="727E0BE0" w14:textId="77777777" w:rsidR="000345B7" w:rsidRDefault="00CA5FAB">
      <w:pPr>
        <w:spacing w:after="120"/>
        <w:jc w:val="both"/>
      </w:pPr>
      <w:r>
        <w:rPr>
          <w:rFonts w:ascii="Garamond" w:hAnsi="Garamond"/>
          <w:i/>
          <w:color w:val="5A5A5A"/>
        </w:rPr>
        <w:t>As a practical companion to this report, a working proof-of-concept application — ClinicalIQ — was developed to demonstrate core clinical NLP extraction capabilities. The system accepts uploaded clinical documents (PDF or plain text), uses Google Gemini's large language model to extract patient demographics, diagnoses with ICD-10-CM codes and confidence levels, medication lists, and anomaly flags, and returns a structured, exportable clinical intelligence report. The application uses Pydantic-validated data</w:t>
      </w:r>
      <w:r>
        <w:rPr>
          <w:rFonts w:ascii="Garamond" w:hAnsi="Garamond"/>
          <w:i/>
          <w:color w:val="5A5A5A"/>
        </w:rPr>
        <w:t xml:space="preserve"> models to ensure output structure, pdfplumber for document ingestion, and a multi-stage JSON repair pipeline to handle formatting inconsistencies in model output. This POC is intended to illustrate the technical feasibility of the approach described in Option 1 above — not as a production-ready system, but as a concrete demonstration of what a first-pass AI review layer could look like in practice.</w:t>
      </w:r>
    </w:p>
    <w:p w14:paraId="689A8868" w14:textId="77777777" w:rsidR="000345B7" w:rsidRDefault="00CA5FAB">
      <w:r>
        <w:br w:type="page"/>
      </w:r>
    </w:p>
    <w:p w14:paraId="0B6FFDB0" w14:textId="77777777" w:rsidR="000345B7" w:rsidRDefault="00CA5FAB">
      <w:pPr>
        <w:pStyle w:val="Heading1"/>
      </w:pPr>
      <w:r>
        <w:rPr>
          <w:color w:val="003566"/>
        </w:rPr>
        <w:lastRenderedPageBreak/>
        <w:t>Bibliography</w:t>
      </w:r>
    </w:p>
    <w:p w14:paraId="6263FEBC" w14:textId="77777777" w:rsidR="000345B7" w:rsidRDefault="00CA5FAB">
      <w:pPr>
        <w:spacing w:after="120"/>
        <w:jc w:val="both"/>
      </w:pPr>
      <w:r>
        <w:rPr>
          <w:rFonts w:ascii="Garamond" w:hAnsi="Garamond"/>
          <w:i/>
          <w:color w:val="5A5A5A"/>
          <w:sz w:val="20"/>
        </w:rPr>
        <w:t>All sources cited in this report are peer-reviewed research articles, conference proceedings, or technical reports from authoritative organizations. Format follows APA 7th edition.</w:t>
      </w:r>
    </w:p>
    <w:p w14:paraId="31305C2C" w14:textId="77777777" w:rsidR="000345B7" w:rsidRDefault="000345B7"/>
    <w:p w14:paraId="274CD0B6" w14:textId="77777777" w:rsidR="000345B7" w:rsidRDefault="00CA5FAB">
      <w:pPr>
        <w:spacing w:after="120"/>
        <w:ind w:left="720" w:hanging="720"/>
      </w:pPr>
      <w:r>
        <w:rPr>
          <w:rFonts w:ascii="Garamond" w:hAnsi="Garamond"/>
          <w:sz w:val="20"/>
        </w:rPr>
        <w:t>Alsentzer, E., Murphy, J., Boag, W., Weng, W. H., Jain, D., Naumann, T., &amp; McDermott, M. (2019). Publicly available clinical BERT embeddings. In Proceedings of the 2nd Clinical Natural Language Processing Workshop (pp. 72–78). Association for Computational Linguistics. https://doi.org/10.18653/v1/W19-1909</w:t>
      </w:r>
    </w:p>
    <w:p w14:paraId="48EFAFF5" w14:textId="77777777" w:rsidR="000345B7" w:rsidRDefault="00CA5FAB">
      <w:pPr>
        <w:spacing w:after="120"/>
        <w:ind w:left="720" w:hanging="720"/>
      </w:pPr>
      <w:r>
        <w:rPr>
          <w:rFonts w:ascii="Garamond" w:hAnsi="Garamond"/>
          <w:sz w:val="20"/>
        </w:rPr>
        <w:t>Aronson, A. R. (2001). Effective mapping of biomedical text to the UMLS Metathesaurus: The MetaMap program. Proceedings of the AMIA Annual Symposium, 2001, 17–21. https://www.ncbi.nlm.nih.gov/pmc/articles/PMC2243666/</w:t>
      </w:r>
    </w:p>
    <w:p w14:paraId="2E3E1BAD" w14:textId="77777777" w:rsidR="000345B7" w:rsidRDefault="00CA5FAB">
      <w:pPr>
        <w:spacing w:after="120"/>
        <w:ind w:left="720" w:hanging="720"/>
      </w:pPr>
      <w:r>
        <w:rPr>
          <w:rFonts w:ascii="Garamond" w:hAnsi="Garamond"/>
          <w:sz w:val="20"/>
        </w:rPr>
        <w:t>Friedman, C., Alderson, P. O., Austin, J. H. M., Cimino, J. J., &amp; Johnson, S. B. (1994). A general natural language text processor for clinical radiology. Journal of the American Medical Informatics Association, 1(2), 161–174. https://doi.org/10.1136/jamia.1994.95236146</w:t>
      </w:r>
    </w:p>
    <w:p w14:paraId="1FB8953D" w14:textId="77777777" w:rsidR="000345B7" w:rsidRDefault="00CA5FAB">
      <w:pPr>
        <w:spacing w:after="120"/>
        <w:ind w:left="720" w:hanging="720"/>
      </w:pPr>
      <w:r>
        <w:rPr>
          <w:rFonts w:ascii="Garamond" w:hAnsi="Garamond"/>
          <w:sz w:val="20"/>
        </w:rPr>
        <w:t>Johnson, A. E. W., Bulgarelli, L., Shen, L., Gayles, A., Shammout, A., Horng, S., &amp; Celi, L. A. (2023). MIMIC-IV, a freely accessible electronic health record dataset. Scientific Data, 10(1), 1. https://doi.org/10.1038/s41597-022-01899-x</w:t>
      </w:r>
    </w:p>
    <w:p w14:paraId="07421364" w14:textId="77777777" w:rsidR="000345B7" w:rsidRDefault="00CA5FAB">
      <w:pPr>
        <w:spacing w:after="120"/>
        <w:ind w:left="720" w:hanging="720"/>
      </w:pPr>
      <w:r>
        <w:rPr>
          <w:rFonts w:ascii="Garamond" w:hAnsi="Garamond"/>
          <w:sz w:val="20"/>
        </w:rPr>
        <w:t>Lee, J., Yoon, W., Kim, S., Kim, D., Kim, S., So, C. H., &amp; Kang, J. (2020). BioBERT: A pre-trained biomedical language representation model for biomedical text mining. Bioinformatics, 36(4), 1234–1240. https://doi.org/10.1093/bioinformatics/btz682</w:t>
      </w:r>
    </w:p>
    <w:p w14:paraId="0CEE88B9" w14:textId="77777777" w:rsidR="000345B7" w:rsidRDefault="00CA5FAB">
      <w:pPr>
        <w:spacing w:after="120"/>
        <w:ind w:left="720" w:hanging="720"/>
      </w:pPr>
      <w:r>
        <w:rPr>
          <w:rFonts w:ascii="Garamond" w:hAnsi="Garamond"/>
          <w:sz w:val="20"/>
        </w:rPr>
        <w:t>Murdoch, T. B., &amp; Detsky, A. S. (2013). The inevitable application of big data to health care. JAMA, 309(13), 1351–1352. https://doi.org/10.1001/jama.2013.393</w:t>
      </w:r>
    </w:p>
    <w:p w14:paraId="35FFC6D2" w14:textId="77777777" w:rsidR="000345B7" w:rsidRDefault="00CA5FAB">
      <w:pPr>
        <w:spacing w:after="120"/>
        <w:ind w:left="720" w:hanging="720"/>
      </w:pPr>
      <w:r>
        <w:rPr>
          <w:rFonts w:ascii="Garamond" w:hAnsi="Garamond"/>
          <w:sz w:val="20"/>
        </w:rPr>
        <w:t>OpenAI. (2023). GPT-4 technical report. arXiv preprint arXiv:2303.08774. https://arxiv.org/abs/2303.08774</w:t>
      </w:r>
    </w:p>
    <w:p w14:paraId="307B472C" w14:textId="77777777" w:rsidR="000345B7" w:rsidRDefault="00CA5FAB">
      <w:pPr>
        <w:spacing w:after="120"/>
        <w:ind w:left="720" w:hanging="720"/>
      </w:pPr>
      <w:r>
        <w:rPr>
          <w:rFonts w:ascii="Garamond" w:hAnsi="Garamond"/>
          <w:sz w:val="20"/>
        </w:rPr>
        <w:t>Savova, G. K., Masanz, J. J., Ogren, P. V., Zheng, J., Sohn, S., Kipper-Schuler, K. C., &amp; Chute, C. G. (2010). Mayo clinical text analysis and knowledge extraction system (cTAKES): Architecture, component evaluation and applications. Journal of the American Medical Informatics Association, 17(5), 507–513. https://doi.org/10.1136/jamia.2009.001560</w:t>
      </w:r>
    </w:p>
    <w:p w14:paraId="04663782" w14:textId="77777777" w:rsidR="000345B7" w:rsidRDefault="00CA5FAB">
      <w:pPr>
        <w:spacing w:after="120"/>
        <w:ind w:left="720" w:hanging="720"/>
      </w:pPr>
      <w:r>
        <w:rPr>
          <w:rFonts w:ascii="Garamond" w:hAnsi="Garamond"/>
          <w:sz w:val="20"/>
        </w:rPr>
        <w:t>Singhal, K., Azizi, S., Tu, T., Mahdavi, S. S., Wei, J., Chung, H. W., &amp; Natarajan, V. (2023). Large language models encode clinical knowledge. Nature, 620, 172–180. https://doi.org/10.1038/s41586-023-06291-2</w:t>
      </w:r>
    </w:p>
    <w:p w14:paraId="606C2581" w14:textId="77777777" w:rsidR="000345B7" w:rsidRDefault="00CA5FAB">
      <w:pPr>
        <w:spacing w:after="120"/>
        <w:ind w:left="720" w:hanging="720"/>
      </w:pPr>
      <w:r>
        <w:rPr>
          <w:rFonts w:ascii="Garamond" w:hAnsi="Garamond"/>
          <w:sz w:val="20"/>
        </w:rPr>
        <w:t>Uzuner, Ö., South, B. R., Shen, S., &amp; DuVall, S. L. (2011). 2010 i2b2/VA challenge on concepts, assertions, and relations in clinical text. Journal of the American Medical Informatics Association, 18(5), 552–556. https://doi.org/10.1136/amiajnl-2011-000203</w:t>
      </w:r>
    </w:p>
    <w:p w14:paraId="2FE7B74E" w14:textId="77777777" w:rsidR="000345B7" w:rsidRDefault="00CA5FAB">
      <w:pPr>
        <w:spacing w:after="120"/>
        <w:ind w:left="720" w:hanging="720"/>
      </w:pPr>
      <w:r>
        <w:rPr>
          <w:rFonts w:ascii="Garamond" w:hAnsi="Garamond"/>
          <w:sz w:val="20"/>
        </w:rPr>
        <w:t>Vaswani, A., Shazeer, N., Parmar, N., Uszkoreit, J., Jones, L., Gomez, A. N., &amp; Polosukhin, I. (2017). Attention is all you need. Advances in Neural Information Processing Systems, 30. https://arxiv.org/abs/1706.03762</w:t>
      </w:r>
    </w:p>
    <w:p w14:paraId="67700553" w14:textId="77777777" w:rsidR="000345B7" w:rsidRDefault="00CA5FAB">
      <w:pPr>
        <w:spacing w:after="120"/>
        <w:ind w:left="720" w:hanging="720"/>
      </w:pPr>
      <w:r>
        <w:rPr>
          <w:rFonts w:ascii="Garamond" w:hAnsi="Garamond"/>
          <w:sz w:val="20"/>
        </w:rPr>
        <w:t>Xu, Y., Li, M., Cui, L., Huang, S., Wei, F., &amp; Zhou, M. (2020). LayoutLM: Pre-training of text and layout for document image understanding. Proceedings of the 26th ACM SIGKDD International Conference on Knowledge Discovery &amp; Data Mining (pp. 1192–1200). https://doi.org/10.1145/3394486.3403172</w:t>
      </w:r>
    </w:p>
    <w:sectPr w:rsidR="000345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480155">
    <w:abstractNumId w:val="8"/>
  </w:num>
  <w:num w:numId="2" w16cid:durableId="1814365706">
    <w:abstractNumId w:val="6"/>
  </w:num>
  <w:num w:numId="3" w16cid:durableId="679234373">
    <w:abstractNumId w:val="5"/>
  </w:num>
  <w:num w:numId="4" w16cid:durableId="516192080">
    <w:abstractNumId w:val="4"/>
  </w:num>
  <w:num w:numId="5" w16cid:durableId="142282816">
    <w:abstractNumId w:val="7"/>
  </w:num>
  <w:num w:numId="6" w16cid:durableId="763110679">
    <w:abstractNumId w:val="3"/>
  </w:num>
  <w:num w:numId="7" w16cid:durableId="194780164">
    <w:abstractNumId w:val="2"/>
  </w:num>
  <w:num w:numId="8" w16cid:durableId="451899027">
    <w:abstractNumId w:val="1"/>
  </w:num>
  <w:num w:numId="9" w16cid:durableId="237591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5B7"/>
    <w:rsid w:val="00034616"/>
    <w:rsid w:val="0006063C"/>
    <w:rsid w:val="0015074B"/>
    <w:rsid w:val="0029639D"/>
    <w:rsid w:val="00326F90"/>
    <w:rsid w:val="007E17E5"/>
    <w:rsid w:val="00885A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CA5B0D-26EF-4F21-BA01-85A9CFB6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2589</Words>
  <Characters>14760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Nandakishore Nellutla</cp:lastModifiedBy>
  <cp:revision>2</cp:revision>
  <dcterms:created xsi:type="dcterms:W3CDTF">2013-12-23T23:15:00Z</dcterms:created>
  <dcterms:modified xsi:type="dcterms:W3CDTF">2026-06-29T08:19:00Z</dcterms:modified>
  <cp:category/>
</cp:coreProperties>
</file>