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P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sectPr w:rsidR="00AB7D1C" w:rsidRPr="00AB7D1C"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C11FE"/>
    <w:rsid w:val="000E6562"/>
    <w:rsid w:val="000F6A86"/>
    <w:rsid w:val="00112AB9"/>
    <w:rsid w:val="00123865"/>
    <w:rsid w:val="0014010C"/>
    <w:rsid w:val="00143507"/>
    <w:rsid w:val="00143D91"/>
    <w:rsid w:val="001C12F6"/>
    <w:rsid w:val="001C7189"/>
    <w:rsid w:val="001D2A51"/>
    <w:rsid w:val="001D4066"/>
    <w:rsid w:val="001E0AFD"/>
    <w:rsid w:val="001F3E1F"/>
    <w:rsid w:val="00205C10"/>
    <w:rsid w:val="00215B19"/>
    <w:rsid w:val="00262FCF"/>
    <w:rsid w:val="002A3A71"/>
    <w:rsid w:val="002B7574"/>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129B3"/>
    <w:rsid w:val="0053599C"/>
    <w:rsid w:val="00564A0D"/>
    <w:rsid w:val="00583617"/>
    <w:rsid w:val="005841C6"/>
    <w:rsid w:val="005C60D7"/>
    <w:rsid w:val="005E55DF"/>
    <w:rsid w:val="006500E7"/>
    <w:rsid w:val="00663DB7"/>
    <w:rsid w:val="006A5298"/>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B7D1C"/>
    <w:rsid w:val="00AD5B12"/>
    <w:rsid w:val="00AF3A74"/>
    <w:rsid w:val="00B0764D"/>
    <w:rsid w:val="00B20DA7"/>
    <w:rsid w:val="00B37F65"/>
    <w:rsid w:val="00B42CDF"/>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109</Pages>
  <Words>28335</Words>
  <Characters>174265</Characters>
  <Application>Microsoft Office Word</Application>
  <DocSecurity>0</DocSecurity>
  <Lines>3630</Lines>
  <Paragraphs>1060</Paragraphs>
  <ScaleCrop>false</ScaleCrop>
  <Company/>
  <LinksUpToDate>false</LinksUpToDate>
  <CharactersWithSpaces>201540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66</cp:revision>
  <dcterms:created xsi:type="dcterms:W3CDTF">2025-08-18T05:30:00Z</dcterms:created>
  <dcterms:modified xsi:type="dcterms:W3CDTF">2025-10-13T02:30:00Z</dcterms:modified>
</cp:coreProperties>
</file>