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54BD4661" w:rsidR="00215B19" w:rsidRPr="00215B19" w:rsidRDefault="00215B19" w:rsidP="00F17E38">
      <w:pPr>
        <w:spacing w:line="360" w:lineRule="auto"/>
        <w:jc w:val="both"/>
        <w:rPr>
          <w:rFonts w:ascii="Garamond" w:hAnsi="Garamond"/>
          <w:sz w:val="22"/>
          <w:szCs w:val="22"/>
        </w:rPr>
      </w:pPr>
      <w:r>
        <w:rPr>
          <w:rFonts w:ascii="Garamond" w:hAnsi="Garamond"/>
          <w:b/>
          <w:bCs/>
          <w:sz w:val="22"/>
          <w:szCs w:val="22"/>
        </w:rPr>
        <w:t>DAY 55 – End.</w:t>
      </w:r>
      <w:r>
        <w:rPr>
          <w:rFonts w:ascii="Garamond" w:hAnsi="Garamond"/>
          <w:sz w:val="22"/>
          <w:szCs w:val="22"/>
        </w:rPr>
        <w:t xml:space="preserve"> </w:t>
      </w:r>
    </w:p>
    <w:sectPr w:rsidR="00215B19" w:rsidRPr="00215B19"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C11FE"/>
    <w:rsid w:val="000E6562"/>
    <w:rsid w:val="000F6A86"/>
    <w:rsid w:val="00112AB9"/>
    <w:rsid w:val="00123865"/>
    <w:rsid w:val="0014010C"/>
    <w:rsid w:val="00143507"/>
    <w:rsid w:val="00143D91"/>
    <w:rsid w:val="001C12F6"/>
    <w:rsid w:val="001C7189"/>
    <w:rsid w:val="001D2A51"/>
    <w:rsid w:val="001D4066"/>
    <w:rsid w:val="001E0AFD"/>
    <w:rsid w:val="001F3E1F"/>
    <w:rsid w:val="00205C10"/>
    <w:rsid w:val="00215B19"/>
    <w:rsid w:val="00262FCF"/>
    <w:rsid w:val="002A3A71"/>
    <w:rsid w:val="002C1134"/>
    <w:rsid w:val="002C5741"/>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3599C"/>
    <w:rsid w:val="00564A0D"/>
    <w:rsid w:val="00583617"/>
    <w:rsid w:val="005841C6"/>
    <w:rsid w:val="005C60D7"/>
    <w:rsid w:val="005E55DF"/>
    <w:rsid w:val="006500E7"/>
    <w:rsid w:val="00663DB7"/>
    <w:rsid w:val="006B1413"/>
    <w:rsid w:val="006E6C1D"/>
    <w:rsid w:val="006F6E1E"/>
    <w:rsid w:val="00736C4B"/>
    <w:rsid w:val="00740EC1"/>
    <w:rsid w:val="007443FB"/>
    <w:rsid w:val="00785715"/>
    <w:rsid w:val="007D077B"/>
    <w:rsid w:val="007D429B"/>
    <w:rsid w:val="007E2350"/>
    <w:rsid w:val="00801155"/>
    <w:rsid w:val="00807448"/>
    <w:rsid w:val="00836B0D"/>
    <w:rsid w:val="0085429C"/>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D5081"/>
    <w:rsid w:val="009E2796"/>
    <w:rsid w:val="009E5E8E"/>
    <w:rsid w:val="009F413D"/>
    <w:rsid w:val="00A14D22"/>
    <w:rsid w:val="00A3552C"/>
    <w:rsid w:val="00A41491"/>
    <w:rsid w:val="00A75A2B"/>
    <w:rsid w:val="00A8406A"/>
    <w:rsid w:val="00A9151B"/>
    <w:rsid w:val="00AB4A24"/>
    <w:rsid w:val="00AB4DF5"/>
    <w:rsid w:val="00AD5B12"/>
    <w:rsid w:val="00AF3A74"/>
    <w:rsid w:val="00B0764D"/>
    <w:rsid w:val="00B20DA7"/>
    <w:rsid w:val="00B37F65"/>
    <w:rsid w:val="00B42CDF"/>
    <w:rsid w:val="00BB5375"/>
    <w:rsid w:val="00BC14B9"/>
    <w:rsid w:val="00C1480A"/>
    <w:rsid w:val="00C176D2"/>
    <w:rsid w:val="00C30478"/>
    <w:rsid w:val="00C339A8"/>
    <w:rsid w:val="00C523BB"/>
    <w:rsid w:val="00CD4408"/>
    <w:rsid w:val="00D14FC2"/>
    <w:rsid w:val="00D34F42"/>
    <w:rsid w:val="00D43F2C"/>
    <w:rsid w:val="00D47C3B"/>
    <w:rsid w:val="00D845EE"/>
    <w:rsid w:val="00DB6AD9"/>
    <w:rsid w:val="00DB7CBA"/>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102</Pages>
  <Words>26560</Words>
  <Characters>163346</Characters>
  <Application>Microsoft Office Word</Application>
  <DocSecurity>0</DocSecurity>
  <Lines>3403</Lines>
  <Paragraphs>999</Paragraphs>
  <ScaleCrop>false</ScaleCrop>
  <Company/>
  <LinksUpToDate>false</LinksUpToDate>
  <CharactersWithSpaces>188907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64</cp:revision>
  <dcterms:created xsi:type="dcterms:W3CDTF">2025-08-18T05:30:00Z</dcterms:created>
  <dcterms:modified xsi:type="dcterms:W3CDTF">2025-10-11T12:23:00Z</dcterms:modified>
</cp:coreProperties>
</file>