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P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sectPr w:rsidR="00E63358" w:rsidRPr="00E6335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E6562"/>
    <w:rsid w:val="000F6A86"/>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B6AD9"/>
    <w:rsid w:val="00DB7CBA"/>
    <w:rsid w:val="00DD45B5"/>
    <w:rsid w:val="00E27BA8"/>
    <w:rsid w:val="00E475D3"/>
    <w:rsid w:val="00E54630"/>
    <w:rsid w:val="00E63358"/>
    <w:rsid w:val="00E751FD"/>
    <w:rsid w:val="00E761DD"/>
    <w:rsid w:val="00EB4C7D"/>
    <w:rsid w:val="00EC5B1D"/>
    <w:rsid w:val="00EF4C81"/>
    <w:rsid w:val="00F17E38"/>
    <w:rsid w:val="00F35579"/>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92</Pages>
  <Words>25571</Words>
  <Characters>145758</Characters>
  <Application>Microsoft Office Word</Application>
  <DocSecurity>0</DocSecurity>
  <Lines>1214</Lines>
  <Paragraphs>341</Paragraphs>
  <ScaleCrop>false</ScaleCrop>
  <Company/>
  <LinksUpToDate>false</LinksUpToDate>
  <CharactersWithSpaces>170988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57</cp:revision>
  <dcterms:created xsi:type="dcterms:W3CDTF">2025-08-18T05:30:00Z</dcterms:created>
  <dcterms:modified xsi:type="dcterms:W3CDTF">2025-10-04T12:43:00Z</dcterms:modified>
</cp:coreProperties>
</file>