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P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sectPr w:rsidR="001241A5" w:rsidRPr="001241A5"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14D22"/>
    <w:rsid w:val="00A3552C"/>
    <w:rsid w:val="00A41491"/>
    <w:rsid w:val="00A57F8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122</Pages>
  <Words>31413</Words>
  <Characters>193506</Characters>
  <Application>Microsoft Office Word</Application>
  <DocSecurity>0</DocSecurity>
  <Lines>4117</Lines>
  <Paragraphs>1215</Paragraphs>
  <ScaleCrop>false</ScaleCrop>
  <Company/>
  <LinksUpToDate>false</LinksUpToDate>
  <CharactersWithSpaces>223704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76</cp:revision>
  <dcterms:created xsi:type="dcterms:W3CDTF">2025-08-18T05:30:00Z</dcterms:created>
  <dcterms:modified xsi:type="dcterms:W3CDTF">2025-10-22T12:26:00Z</dcterms:modified>
</cp:coreProperties>
</file>