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P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sectPr w:rsidR="006F221D" w:rsidRPr="006F221D"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6222A"/>
    <w:rsid w:val="00262FCF"/>
    <w:rsid w:val="002A3A71"/>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114</Pages>
  <Words>29481</Words>
  <Characters>181610</Characters>
  <Application>Microsoft Office Word</Application>
  <DocSecurity>0</DocSecurity>
  <Lines>3783</Lines>
  <Paragraphs>1111</Paragraphs>
  <ScaleCrop>false</ScaleCrop>
  <Company/>
  <LinksUpToDate>false</LinksUpToDate>
  <CharactersWithSpaces>209980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69</cp:revision>
  <dcterms:created xsi:type="dcterms:W3CDTF">2025-08-18T05:30:00Z</dcterms:created>
  <dcterms:modified xsi:type="dcterms:W3CDTF">2025-10-16T12:12:00Z</dcterms:modified>
</cp:coreProperties>
</file>