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p w14:paraId="261D2FA7" w14:textId="77777777" w:rsidR="00A677E8" w:rsidRDefault="00A677E8" w:rsidP="00AB7D1C">
      <w:pPr>
        <w:spacing w:line="360" w:lineRule="auto"/>
        <w:jc w:val="both"/>
        <w:rPr>
          <w:rFonts w:ascii="Garamond" w:hAnsi="Garamond"/>
          <w:b/>
          <w:bCs/>
          <w:sz w:val="22"/>
          <w:szCs w:val="22"/>
        </w:rPr>
      </w:pPr>
    </w:p>
    <w:p w14:paraId="1FF37D15" w14:textId="7E58E5B5" w:rsidR="00A677E8" w:rsidRDefault="00A677E8" w:rsidP="00AB7D1C">
      <w:pPr>
        <w:spacing w:line="360" w:lineRule="auto"/>
        <w:jc w:val="both"/>
        <w:rPr>
          <w:rFonts w:ascii="Garamond" w:hAnsi="Garamond"/>
          <w:b/>
          <w:bCs/>
          <w:sz w:val="22"/>
          <w:szCs w:val="22"/>
        </w:rPr>
      </w:pPr>
      <w:r>
        <w:rPr>
          <w:rFonts w:ascii="Garamond" w:hAnsi="Garamond"/>
          <w:b/>
          <w:bCs/>
          <w:sz w:val="22"/>
          <w:szCs w:val="22"/>
        </w:rPr>
        <w:t>DAY 70 – Start:</w:t>
      </w:r>
    </w:p>
    <w:p w14:paraId="1EE5059D" w14:textId="1DB9786F" w:rsidR="00A677E8" w:rsidRDefault="00A677E8" w:rsidP="00AB7D1C">
      <w:pPr>
        <w:spacing w:line="360" w:lineRule="auto"/>
        <w:jc w:val="both"/>
        <w:rPr>
          <w:rFonts w:ascii="Garamond" w:hAnsi="Garamond"/>
          <w:sz w:val="22"/>
          <w:szCs w:val="22"/>
        </w:rPr>
      </w:pPr>
      <w:r>
        <w:rPr>
          <w:rFonts w:ascii="Garamond" w:hAnsi="Garamond"/>
          <w:sz w:val="22"/>
          <w:szCs w:val="22"/>
        </w:rPr>
        <w:t>Nanda-Start:</w:t>
      </w:r>
    </w:p>
    <w:p w14:paraId="1EBF1F95" w14:textId="42FDB823" w:rsidR="00A677E8" w:rsidRDefault="00A677E8" w:rsidP="00AB7D1C">
      <w:pPr>
        <w:spacing w:line="360" w:lineRule="auto"/>
        <w:jc w:val="both"/>
        <w:rPr>
          <w:rFonts w:ascii="Garamond" w:hAnsi="Garamond"/>
          <w:sz w:val="22"/>
          <w:szCs w:val="22"/>
        </w:rPr>
      </w:pPr>
      <w:r>
        <w:rPr>
          <w:rFonts w:ascii="Garamond" w:hAnsi="Garamond"/>
          <w:sz w:val="22"/>
          <w:szCs w:val="22"/>
        </w:rPr>
        <w:t>Hari ini, tidak ada Gemini yang menulis refleksi bersamaku. Kami menjalankan kode yang kemarin, menyelesaikan proses training dan melakukan evaluasi model pada test set. Meski bertemu dengan beragam error disana-sini, dengan bantuan Gemini dan GPT, error itu bisa teratasi. Pada akhirnya, kami memutuskan untuk menggunakan metode evaluasi mandiri (with torch.no_grad), daripada menggunakan bawaan (MultitaskTrainer). Hasil akhirnya, model MAS2 basic ini berhasil mencapai akurasi 0.9265 di dataset emosi, dan 0.9250 di dataset sentimen. Ini hasil yang lumayan bagus untuk model ‘dua kepala’ pertama. Di pekan mendatang, kami akan mencoba untuk meningkatkan akurasi MAS2, atau bisa juga beralih ke MAS3.</w:t>
      </w:r>
    </w:p>
    <w:p w14:paraId="54381367" w14:textId="1EA8EF8D" w:rsidR="00A677E8" w:rsidRDefault="00A677E8" w:rsidP="00AB7D1C">
      <w:pPr>
        <w:spacing w:line="360" w:lineRule="auto"/>
        <w:jc w:val="both"/>
        <w:rPr>
          <w:rFonts w:ascii="Garamond" w:hAnsi="Garamond"/>
          <w:sz w:val="22"/>
          <w:szCs w:val="22"/>
        </w:rPr>
      </w:pPr>
      <w:r>
        <w:rPr>
          <w:rFonts w:ascii="Garamond" w:hAnsi="Garamond"/>
          <w:sz w:val="22"/>
          <w:szCs w:val="22"/>
        </w:rPr>
        <w:t>Nanda-End.</w:t>
      </w:r>
    </w:p>
    <w:p w14:paraId="1A8152DD" w14:textId="2A0FC102" w:rsidR="00A677E8" w:rsidRDefault="00A677E8" w:rsidP="00AB7D1C">
      <w:pPr>
        <w:spacing w:line="360" w:lineRule="auto"/>
        <w:jc w:val="both"/>
        <w:rPr>
          <w:rFonts w:ascii="Garamond" w:hAnsi="Garamond"/>
          <w:b/>
          <w:bCs/>
          <w:sz w:val="22"/>
          <w:szCs w:val="22"/>
        </w:rPr>
      </w:pPr>
      <w:r>
        <w:rPr>
          <w:rFonts w:ascii="Garamond" w:hAnsi="Garamond"/>
          <w:b/>
          <w:bCs/>
          <w:sz w:val="22"/>
          <w:szCs w:val="22"/>
        </w:rPr>
        <w:lastRenderedPageBreak/>
        <w:t>DAY 70 – End.</w:t>
      </w:r>
    </w:p>
    <w:p w14:paraId="060A8A26" w14:textId="77777777" w:rsidR="00A677E8" w:rsidRDefault="00A677E8" w:rsidP="00AB7D1C">
      <w:pPr>
        <w:spacing w:line="360" w:lineRule="auto"/>
        <w:jc w:val="both"/>
        <w:rPr>
          <w:rFonts w:ascii="Garamond" w:hAnsi="Garamond"/>
          <w:b/>
          <w:bCs/>
          <w:sz w:val="22"/>
          <w:szCs w:val="22"/>
        </w:rPr>
      </w:pPr>
    </w:p>
    <w:p w14:paraId="2928D89B" w14:textId="3B461AC9" w:rsidR="00A677E8" w:rsidRPr="00A677E8" w:rsidRDefault="00A677E8" w:rsidP="00AB7D1C">
      <w:pPr>
        <w:spacing w:line="360" w:lineRule="auto"/>
        <w:jc w:val="both"/>
        <w:rPr>
          <w:rFonts w:ascii="Garamond" w:hAnsi="Garamond"/>
          <w:b/>
          <w:bCs/>
          <w:sz w:val="22"/>
          <w:szCs w:val="22"/>
        </w:rPr>
      </w:pPr>
      <w:r>
        <w:rPr>
          <w:rFonts w:ascii="Garamond" w:hAnsi="Garamond"/>
          <w:b/>
          <w:bCs/>
          <w:sz w:val="22"/>
          <w:szCs w:val="22"/>
        </w:rPr>
        <w:t>WEEK 10 – End.</w:t>
      </w:r>
    </w:p>
    <w:sectPr w:rsidR="00A677E8" w:rsidRPr="00A677E8"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12AB9"/>
    <w:rsid w:val="00123865"/>
    <w:rsid w:val="001241A5"/>
    <w:rsid w:val="0014010C"/>
    <w:rsid w:val="00143507"/>
    <w:rsid w:val="00143D91"/>
    <w:rsid w:val="001C12F6"/>
    <w:rsid w:val="001C7189"/>
    <w:rsid w:val="001D2A51"/>
    <w:rsid w:val="001D4066"/>
    <w:rsid w:val="001E0AFD"/>
    <w:rsid w:val="001E4FFF"/>
    <w:rsid w:val="001F3E1F"/>
    <w:rsid w:val="00205C10"/>
    <w:rsid w:val="00215B19"/>
    <w:rsid w:val="00240902"/>
    <w:rsid w:val="0026222A"/>
    <w:rsid w:val="00262FCF"/>
    <w:rsid w:val="00263D35"/>
    <w:rsid w:val="002A3A71"/>
    <w:rsid w:val="002B3E12"/>
    <w:rsid w:val="002B7574"/>
    <w:rsid w:val="002C1134"/>
    <w:rsid w:val="002C5741"/>
    <w:rsid w:val="002E6402"/>
    <w:rsid w:val="00350FB9"/>
    <w:rsid w:val="00360BB8"/>
    <w:rsid w:val="00363427"/>
    <w:rsid w:val="00391669"/>
    <w:rsid w:val="00397FDA"/>
    <w:rsid w:val="003A43CC"/>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14D22"/>
    <w:rsid w:val="00A3552C"/>
    <w:rsid w:val="00A41491"/>
    <w:rsid w:val="00A57F88"/>
    <w:rsid w:val="00A677E8"/>
    <w:rsid w:val="00A75A2B"/>
    <w:rsid w:val="00A8406A"/>
    <w:rsid w:val="00A9151B"/>
    <w:rsid w:val="00AB4A24"/>
    <w:rsid w:val="00AB4DF5"/>
    <w:rsid w:val="00AB7D1C"/>
    <w:rsid w:val="00AD5B12"/>
    <w:rsid w:val="00AF3A74"/>
    <w:rsid w:val="00B0764D"/>
    <w:rsid w:val="00B20DA7"/>
    <w:rsid w:val="00B37F65"/>
    <w:rsid w:val="00B42CDF"/>
    <w:rsid w:val="00B500F9"/>
    <w:rsid w:val="00BB5375"/>
    <w:rsid w:val="00BC14B9"/>
    <w:rsid w:val="00BD41EC"/>
    <w:rsid w:val="00C1480A"/>
    <w:rsid w:val="00C176D2"/>
    <w:rsid w:val="00C30478"/>
    <w:rsid w:val="00C339A8"/>
    <w:rsid w:val="00C523BB"/>
    <w:rsid w:val="00C57362"/>
    <w:rsid w:val="00C90309"/>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127</Pages>
  <Words>32372</Words>
  <Characters>199418</Characters>
  <Application>Microsoft Office Word</Application>
  <DocSecurity>0</DocSecurity>
  <Lines>4242</Lines>
  <Paragraphs>1266</Paragraphs>
  <ScaleCrop>false</ScaleCrop>
  <Company/>
  <LinksUpToDate>false</LinksUpToDate>
  <CharactersWithSpaces>230524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80</cp:revision>
  <dcterms:created xsi:type="dcterms:W3CDTF">2025-08-18T05:30:00Z</dcterms:created>
  <dcterms:modified xsi:type="dcterms:W3CDTF">2025-10-26T13:25:00Z</dcterms:modified>
</cp:coreProperties>
</file>