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Calibri" w:cs="Calibri" w:eastAsia="Calibri" w:hAnsi="Calibri"/>
          <w:b/>
          <w:bCs/>
          <w:color w:val="0D9488"/>
          <w:sz w:val="22"/>
          <w:szCs w:val="22"/>
        </w:rPr>
        <w:t xml:space="preserve">LAGO BALI · INVENTORY &amp; F&amp;B OS</w:t>
      </w:r>
    </w:p>
    <w:p>
      <w:pPr>
        <w:spacing w:after="80"/>
      </w:pPr>
      <w:r>
        <w:rPr>
          <w:rFonts w:ascii="Calibri" w:cs="Calibri" w:eastAsia="Calibri" w:hAnsi="Calibri"/>
          <w:b/>
          <w:bCs/>
          <w:color w:val="0F172A"/>
          <w:sz w:val="52"/>
          <w:szCs w:val="52"/>
        </w:rPr>
        <w:t xml:space="preserve">System Review</w:t>
      </w:r>
    </w:p>
    <w:p>
      <w:pPr>
        <w:pBdr>
          <w:bottom w:val="single" w:color="CBD5E1" w:sz="8" w:space="10"/>
        </w:pBdr>
        <w:spacing w:after="500"/>
      </w:pPr>
      <w:r>
        <w:rPr>
          <w:i/>
          <w:iCs/>
          <w:color w:val="475569"/>
          <w:sz w:val="22"/>
          <w:szCs w:val="22"/>
        </w:rPr>
        <w:t xml:space="preserve">Full-stack review of the FastAPI/MongoDB backend and React frontend — architecture, security, data integrity, and code quality, with a prioritized fix list.</w:t>
      </w:r>
    </w:p>
    <w:p>
      <w:pPr>
        <w:spacing w:after="90"/>
      </w:pPr>
      <w:r>
        <w:rPr>
          <w:rFonts w:ascii="Consolas" w:cs="Consolas" w:eastAsia="Consolas" w:hAnsi="Consolas"/>
          <w:b/>
          <w:bCs/>
          <w:color w:val="475569"/>
          <w:sz w:val="20"/>
          <w:szCs w:val="20"/>
        </w:rPr>
        <w:t xml:space="preserve">Prepared for:  </w:t>
      </w:r>
      <w:r>
        <w:rPr>
          <w:color w:val="1E293B"/>
          <w:sz w:val="20"/>
          <w:szCs w:val="20"/>
        </w:rPr>
        <w:t xml:space="preserve">Nanda Hary — Lago Bali</w:t>
      </w:r>
    </w:p>
    <w:p>
      <w:pPr>
        <w:spacing w:after="90"/>
      </w:pPr>
      <w:r>
        <w:rPr>
          <w:rFonts w:ascii="Consolas" w:cs="Consolas" w:eastAsia="Consolas" w:hAnsi="Consolas"/>
          <w:b/>
          <w:bCs/>
          <w:color w:val="475569"/>
          <w:sz w:val="20"/>
          <w:szCs w:val="20"/>
        </w:rPr>
        <w:t xml:space="preserve">Date:  </w:t>
      </w:r>
      <w:r>
        <w:rPr>
          <w:color w:val="1E293B"/>
          <w:sz w:val="20"/>
          <w:szCs w:val="20"/>
        </w:rPr>
        <w:t xml:space="preserve">31 August 2026</w:t>
      </w:r>
    </w:p>
    <w:p>
      <w:pPr>
        <w:spacing w:after="90"/>
      </w:pPr>
      <w:r>
        <w:rPr>
          <w:rFonts w:ascii="Consolas" w:cs="Consolas" w:eastAsia="Consolas" w:hAnsi="Consolas"/>
          <w:b/>
          <w:bCs/>
          <w:color w:val="475569"/>
          <w:sz w:val="20"/>
          <w:szCs w:val="20"/>
        </w:rPr>
        <w:t xml:space="preserve">Scope:  </w:t>
      </w:r>
      <w:r>
        <w:rPr>
          <w:color w:val="1E293B"/>
          <w:sz w:val="20"/>
          <w:szCs w:val="20"/>
        </w:rPr>
        <w:t xml:space="preserve">backend/server.py (2,840 lines, ~60 endpoints), full React frontend (14 pages), test suite, dependency manifests, and project docs (PRD, changelog).</w:t>
      </w:r>
    </w:p>
    <w:p>
      <w:pPr>
        <w:pStyle w:val="Heading1"/>
        <w:spacing w:after="160" w:before="380"/>
      </w:pPr>
      <w:r>
        <w:rPr>
          <w:rFonts w:ascii="Calibri" w:cs="Calibri" w:eastAsia="Calibri" w:hAnsi="Calibri"/>
          <w:color w:val="0F172A"/>
        </w:rPr>
        <w:t xml:space="preserve">Executive summary</w:t>
      </w:r>
    </w:p>
    <w:p>
      <w:pPr>
        <w:spacing w:after="140"/>
      </w:pPr>
      <w:r>
        <w:rPr>
          <w:color w:val="1E293B"/>
          <w:sz w:val="21"/>
          <w:szCs w:val="21"/>
        </w:rPr>
        <w:t xml:space="preserve">This is a genuinely capable system for a single build effort: the purchase-to-pay chain (Purchase Request → Purchase Order → Receiving → Stock Out → Opname), weighted-average COGS, a configurable multi-level PR approval flow, and a 7-tab reporting suite are all present and, for the most part, correctly modeled — partial receiving against remaining PO quantity and the approval state machine in particular are the kind of thing that's easy to get subtly wrong, and they're not.</w:t>
      </w:r>
    </w:p>
    <w:p>
      <w:pPr>
        <w:spacing w:after="140"/>
      </w:pPr>
      <w:r>
        <w:rPr>
          <w:color w:val="1E293B"/>
          <w:sz w:val="21"/>
          <w:szCs w:val="21"/>
        </w:rPr>
        <w:t xml:space="preserve">Four issues sit above the rest and are worth fixing before trusting this for day-to-day operations: seeded passwords silently reset on every server restart, CORS is configured to allow any origin, the automated backend test suite no longer matches the current API (it still logs in with email instead of username and has zero coverage of the Purchase Request module) so there is effectively no regression safety net, and stock/cost updates are not atomic — concurrent receiving or stock-out on the same item can silently corrupt stock counts. None of these require a rewrite; each is a targeted, well-scoped fix.</w:t>
      </w:r>
    </w:p>
    <w:p>
      <w:pPr>
        <w:spacing w:after="140"/>
      </w:pPr>
      <w:r>
        <w:rPr>
          <w:color w:val="1E293B"/>
          <w:sz w:val="21"/>
          <w:szCs w:val="21"/>
        </w:rPr>
        <w:t xml:space="preserve">Beyond that, the codebase's biggest structural debt — a single 2,840-line server.py, already flagged in your own PRD backlog — is the thing most worth investing in next, because splitting it into modules is also what makes the duplicated business logic between single-create and bulk-upload endpoints (Section 4.2) safe to de-duplicate, and what makes a real test suite maintainable long-term.</w:t>
      </w:r>
    </w:p>
    <w:p>
      <w:pPr>
        <w:pStyle w:val="Heading2"/>
        <w:spacing w:after="160" w:before="380"/>
      </w:pPr>
      <w:r>
        <w:rPr>
          <w:rFonts w:ascii="Calibri" w:cs="Calibri" w:eastAsia="Calibri" w:hAnsi="Calibri"/>
          <w:color w:val="0F172A"/>
        </w:rPr>
        <w:t xml:space="preserve">Fix priority 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6800"/>
        <w:gridCol w:w="1700"/>
      </w:tblGrid>
      <w:tr>
        <w:tc>
          <w:tcPr>
            <w:tcW w:type="dxa" w:w="700"/>
            <w:shd w:fill="0F172A" w:val="clear"/>
          </w:tcPr>
          <w:p>
            <w:pPr>
              <w:jc w:val="center"/>
            </w:pPr>
            <w:r>
              <w:rPr>
                <w:b/>
                <w:bCs/>
                <w:color w:val="FFFFFF"/>
                <w:sz w:val="20"/>
                <w:szCs w:val="20"/>
              </w:rPr>
              <w:t xml:space="preserve">#</w:t>
            </w:r>
          </w:p>
        </w:tc>
        <w:tc>
          <w:tcPr>
            <w:tcW w:type="dxa" w:w="6800"/>
            <w:shd w:fill="0F172A" w:val="clear"/>
          </w:tcPr>
          <w:p>
            <w:r>
              <w:rPr>
                <w:b/>
                <w:bCs/>
                <w:color w:val="FFFFFF"/>
                <w:sz w:val="20"/>
                <w:szCs w:val="20"/>
              </w:rPr>
              <w:t xml:space="preserve">Section</w:t>
            </w:r>
          </w:p>
        </w:tc>
        <w:tc>
          <w:tcPr>
            <w:tcW w:type="dxa" w:w="1700"/>
            <w:shd w:fill="0F172A" w:val="clear"/>
          </w:tcPr>
          <w:p>
            <w:pPr>
              <w:jc w:val="center"/>
            </w:pPr>
            <w:r>
              <w:rPr>
                <w:b/>
                <w:bCs/>
                <w:color w:val="FFFFFF"/>
                <w:sz w:val="18"/>
                <w:szCs w:val="18"/>
              </w:rPr>
              <w:t xml:space="preserve">Severity</w:t>
            </w:r>
          </w:p>
        </w:tc>
      </w:tr>
      <w:tr>
        <w:tc>
          <w:tcPr>
            <w:tcW w:type="dxa" w:w="700"/>
          </w:tcPr>
          <w:p>
            <w:pPr>
              <w:jc w:val="center"/>
            </w:pPr>
            <w:r>
              <w:rPr>
                <w:b/>
                <w:bCs/>
                <w:color w:val="0F172A"/>
                <w:sz w:val="20"/>
                <w:szCs w:val="20"/>
              </w:rPr>
              <w:t xml:space="preserve">1</w:t>
            </w:r>
          </w:p>
        </w:tc>
        <w:tc>
          <w:tcPr>
            <w:tcW w:type="dxa" w:w="6800"/>
          </w:tcPr>
          <w:p>
            <w:r>
              <w:rPr>
                <w:color w:val="1E293B"/>
                <w:sz w:val="20"/>
                <w:szCs w:val="20"/>
              </w:rPr>
              <w:t xml:space="preserve">Stop seeded-user passwords from being reset on every restart</w:t>
            </w:r>
          </w:p>
        </w:tc>
        <w:tc>
          <w:tcPr>
            <w:tcW w:type="dxa" w:w="1700"/>
            <w:shd w:fill="B91C1C" w:val="clear"/>
          </w:tcPr>
          <w:p>
            <w:pPr>
              <w:jc w:val="center"/>
            </w:pPr>
            <w:r>
              <w:rPr>
                <w:b/>
                <w:bCs/>
                <w:color w:val="FFFFFF"/>
                <w:sz w:val="18"/>
                <w:szCs w:val="18"/>
              </w:rPr>
              <w:t xml:space="preserve">HIGH</w:t>
            </w:r>
          </w:p>
        </w:tc>
      </w:tr>
      <w:tr>
        <w:tc>
          <w:tcPr>
            <w:tcW w:type="dxa" w:w="700"/>
          </w:tcPr>
          <w:p>
            <w:pPr>
              <w:jc w:val="center"/>
            </w:pPr>
            <w:r>
              <w:rPr>
                <w:b/>
                <w:bCs/>
                <w:color w:val="0F172A"/>
                <w:sz w:val="20"/>
                <w:szCs w:val="20"/>
              </w:rPr>
              <w:t xml:space="preserve">2</w:t>
            </w:r>
          </w:p>
        </w:tc>
        <w:tc>
          <w:tcPr>
            <w:tcW w:type="dxa" w:w="6800"/>
          </w:tcPr>
          <w:p>
            <w:r>
              <w:rPr>
                <w:color w:val="1E293B"/>
                <w:sz w:val="20"/>
                <w:szCs w:val="20"/>
              </w:rPr>
              <w:t xml:space="preserve">Lock CORS_ORIGINS down to the real frontend origin(s) in every environment</w:t>
            </w:r>
          </w:p>
        </w:tc>
        <w:tc>
          <w:tcPr>
            <w:tcW w:type="dxa" w:w="1700"/>
            <w:shd w:fill="B91C1C" w:val="clear"/>
          </w:tcPr>
          <w:p>
            <w:pPr>
              <w:jc w:val="center"/>
            </w:pPr>
            <w:r>
              <w:rPr>
                <w:b/>
                <w:bCs/>
                <w:color w:val="FFFFFF"/>
                <w:sz w:val="18"/>
                <w:szCs w:val="18"/>
              </w:rPr>
              <w:t xml:space="preserve">HIGH</w:t>
            </w:r>
          </w:p>
        </w:tc>
      </w:tr>
      <w:tr>
        <w:tc>
          <w:tcPr>
            <w:tcW w:type="dxa" w:w="700"/>
          </w:tcPr>
          <w:p>
            <w:pPr>
              <w:jc w:val="center"/>
            </w:pPr>
            <w:r>
              <w:rPr>
                <w:b/>
                <w:bCs/>
                <w:color w:val="0F172A"/>
                <w:sz w:val="20"/>
                <w:szCs w:val="20"/>
              </w:rPr>
              <w:t xml:space="preserve">3</w:t>
            </w:r>
          </w:p>
        </w:tc>
        <w:tc>
          <w:tcPr>
            <w:tcW w:type="dxa" w:w="6800"/>
          </w:tcPr>
          <w:p>
            <w:r>
              <w:rPr>
                <w:color w:val="1E293B"/>
                <w:sz w:val="20"/>
                <w:szCs w:val="20"/>
              </w:rPr>
              <w:t xml:space="preserve">Get backend_test.py passing again (username login, add PR coverage)</w:t>
            </w:r>
          </w:p>
        </w:tc>
        <w:tc>
          <w:tcPr>
            <w:tcW w:type="dxa" w:w="1700"/>
            <w:shd w:fill="B91C1C" w:val="clear"/>
          </w:tcPr>
          <w:p>
            <w:pPr>
              <w:jc w:val="center"/>
            </w:pPr>
            <w:r>
              <w:rPr>
                <w:b/>
                <w:bCs/>
                <w:color w:val="FFFFFF"/>
                <w:sz w:val="18"/>
                <w:szCs w:val="18"/>
              </w:rPr>
              <w:t xml:space="preserve">HIGH</w:t>
            </w:r>
          </w:p>
        </w:tc>
      </w:tr>
      <w:tr>
        <w:tc>
          <w:tcPr>
            <w:tcW w:type="dxa" w:w="700"/>
          </w:tcPr>
          <w:p>
            <w:pPr>
              <w:jc w:val="center"/>
            </w:pPr>
            <w:r>
              <w:rPr>
                <w:b/>
                <w:bCs/>
                <w:color w:val="0F172A"/>
                <w:sz w:val="20"/>
                <w:szCs w:val="20"/>
              </w:rPr>
              <w:t xml:space="preserve">4</w:t>
            </w:r>
          </w:p>
        </w:tc>
        <w:tc>
          <w:tcPr>
            <w:tcW w:type="dxa" w:w="6800"/>
          </w:tcPr>
          <w:p>
            <w:r>
              <w:rPr>
                <w:color w:val="1E293B"/>
                <w:sz w:val="20"/>
                <w:szCs w:val="20"/>
              </w:rPr>
              <w:t xml:space="preserve">Make stock / weighted-average cost updates atomic</w:t>
            </w:r>
          </w:p>
        </w:tc>
        <w:tc>
          <w:tcPr>
            <w:tcW w:type="dxa" w:w="1700"/>
            <w:shd w:fill="B91C1C" w:val="clear"/>
          </w:tcPr>
          <w:p>
            <w:pPr>
              <w:jc w:val="center"/>
            </w:pPr>
            <w:r>
              <w:rPr>
                <w:b/>
                <w:bCs/>
                <w:color w:val="FFFFFF"/>
                <w:sz w:val="18"/>
                <w:szCs w:val="18"/>
              </w:rPr>
              <w:t xml:space="preserve">HIGH</w:t>
            </w:r>
          </w:p>
        </w:tc>
      </w:tr>
      <w:tr>
        <w:tc>
          <w:tcPr>
            <w:tcW w:type="dxa" w:w="700"/>
          </w:tcPr>
          <w:p>
            <w:pPr>
              <w:jc w:val="center"/>
            </w:pPr>
            <w:r>
              <w:rPr>
                <w:b/>
                <w:bCs/>
                <w:color w:val="0F172A"/>
                <w:sz w:val="20"/>
                <w:szCs w:val="20"/>
              </w:rPr>
              <w:t xml:space="preserve">5</w:t>
            </w:r>
          </w:p>
        </w:tc>
        <w:tc>
          <w:tcPr>
            <w:tcW w:type="dxa" w:w="6800"/>
          </w:tcPr>
          <w:p>
            <w:r>
              <w:rPr>
                <w:color w:val="1E293B"/>
                <w:sz w:val="20"/>
                <w:szCs w:val="20"/>
              </w:rPr>
              <w:t xml:space="preserve">Split server.py into routers + a service layer; de-duplicate bulk-upload logic</w:t>
            </w:r>
          </w:p>
        </w:tc>
        <w:tc>
          <w:tcPr>
            <w:tcW w:type="dxa" w:w="1700"/>
            <w:shd w:fill="92400E" w:val="clear"/>
          </w:tcPr>
          <w:p>
            <w:pPr>
              <w:jc w:val="center"/>
            </w:pPr>
            <w:r>
              <w:rPr>
                <w:b/>
                <w:bCs/>
                <w:color w:val="FFFFFF"/>
                <w:sz w:val="18"/>
                <w:szCs w:val="18"/>
              </w:rPr>
              <w:t xml:space="preserve">MEDIUM</w:t>
            </w:r>
          </w:p>
        </w:tc>
      </w:tr>
      <w:tr>
        <w:tc>
          <w:tcPr>
            <w:tcW w:type="dxa" w:w="700"/>
          </w:tcPr>
          <w:p>
            <w:pPr>
              <w:jc w:val="center"/>
            </w:pPr>
            <w:r>
              <w:rPr>
                <w:b/>
                <w:bCs/>
                <w:color w:val="0F172A"/>
                <w:sz w:val="20"/>
                <w:szCs w:val="20"/>
              </w:rPr>
              <w:t xml:space="preserve">6</w:t>
            </w:r>
          </w:p>
        </w:tc>
        <w:tc>
          <w:tcPr>
            <w:tcW w:type="dxa" w:w="6800"/>
          </w:tcPr>
          <w:p>
            <w:r>
              <w:rPr>
                <w:color w:val="1E293B"/>
                <w:sz w:val="20"/>
                <w:szCs w:val="20"/>
              </w:rPr>
              <w:t xml:space="preserve">Add real pagination to list/report endpoints before hard caps start truncating data</w:t>
            </w:r>
          </w:p>
        </w:tc>
        <w:tc>
          <w:tcPr>
            <w:tcW w:type="dxa" w:w="1700"/>
            <w:shd w:fill="92400E" w:val="clear"/>
          </w:tcPr>
          <w:p>
            <w:pPr>
              <w:jc w:val="center"/>
            </w:pPr>
            <w:r>
              <w:rPr>
                <w:b/>
                <w:bCs/>
                <w:color w:val="FFFFFF"/>
                <w:sz w:val="18"/>
                <w:szCs w:val="18"/>
              </w:rPr>
              <w:t xml:space="preserve">MEDIUM</w:t>
            </w:r>
          </w:p>
        </w:tc>
      </w:tr>
      <w:tr>
        <w:tc>
          <w:tcPr>
            <w:tcW w:type="dxa" w:w="700"/>
          </w:tcPr>
          <w:p>
            <w:pPr>
              <w:jc w:val="center"/>
            </w:pPr>
            <w:r>
              <w:rPr>
                <w:b/>
                <w:bCs/>
                <w:color w:val="0F172A"/>
                <w:sz w:val="20"/>
                <w:szCs w:val="20"/>
              </w:rPr>
              <w:t xml:space="preserve">7</w:t>
            </w:r>
          </w:p>
        </w:tc>
        <w:tc>
          <w:tcPr>
            <w:tcW w:type="dxa" w:w="6800"/>
          </w:tcPr>
          <w:p>
            <w:r>
              <w:rPr>
                <w:color w:val="1E293B"/>
                <w:sz w:val="20"/>
                <w:szCs w:val="20"/>
              </w:rPr>
              <w:t xml:space="preserve">Add a global 401 handler on the frontend; tighten password policy on admin resets</w:t>
            </w:r>
          </w:p>
        </w:tc>
        <w:tc>
          <w:tcPr>
            <w:tcW w:type="dxa" w:w="1700"/>
            <w:shd w:fill="92400E" w:val="clear"/>
          </w:tcPr>
          <w:p>
            <w:pPr>
              <w:jc w:val="center"/>
            </w:pPr>
            <w:r>
              <w:rPr>
                <w:b/>
                <w:bCs/>
                <w:color w:val="FFFFFF"/>
                <w:sz w:val="18"/>
                <w:szCs w:val="18"/>
              </w:rPr>
              <w:t xml:space="preserve">MEDIUM</w:t>
            </w:r>
          </w:p>
        </w:tc>
      </w:tr>
      <w:tr>
        <w:tc>
          <w:tcPr>
            <w:tcW w:type="dxa" w:w="700"/>
          </w:tcPr>
          <w:p>
            <w:pPr>
              <w:jc w:val="center"/>
            </w:pPr>
            <w:r>
              <w:rPr>
                <w:b/>
                <w:bCs/>
                <w:color w:val="0F172A"/>
                <w:sz w:val="20"/>
                <w:szCs w:val="20"/>
              </w:rPr>
              <w:t xml:space="preserve">8</w:t>
            </w:r>
          </w:p>
        </w:tc>
        <w:tc>
          <w:tcPr>
            <w:tcW w:type="dxa" w:w="6800"/>
          </w:tcPr>
          <w:p>
            <w:r>
              <w:rPr>
                <w:color w:val="1E293B"/>
                <w:sz w:val="20"/>
                <w:szCs w:val="20"/>
              </w:rPr>
              <w:t xml:space="preserve">Housekeeping: HINTO→Lago Bali naming sweep, dependency audit, README</w:t>
            </w:r>
          </w:p>
        </w:tc>
        <w:tc>
          <w:tcPr>
            <w:tcW w:type="dxa" w:w="1700"/>
            <w:shd w:fill="64748B" w:val="clear"/>
          </w:tcPr>
          <w:p>
            <w:pPr>
              <w:jc w:val="center"/>
            </w:pPr>
            <w:r>
              <w:rPr>
                <w:b/>
                <w:bCs/>
                <w:color w:val="FFFFFF"/>
                <w:sz w:val="18"/>
                <w:szCs w:val="18"/>
              </w:rPr>
              <w:t xml:space="preserve">LOW</w:t>
            </w:r>
          </w:p>
        </w:tc>
      </w:tr>
    </w:tbl>
    <w:p>
      <w:pPr>
        <w:pStyle w:val="Heading1"/>
        <w:spacing w:after="160" w:before="380"/>
      </w:pPr>
      <w:r>
        <w:rPr>
          <w:rFonts w:ascii="Calibri" w:cs="Calibri" w:eastAsia="Calibri" w:hAnsi="Calibri"/>
          <w:color w:val="0F172A"/>
        </w:rPr>
        <w:t xml:space="preserve">What's working well</w:t>
      </w:r>
    </w:p>
    <w:p>
      <w:pPr>
        <w:pStyle w:val="ListParagraph"/>
        <w:numPr>
          <w:ilvl w:val="0"/>
          <w:numId w:val="2"/>
        </w:numPr>
        <w:spacing w:after="90"/>
      </w:pPr>
      <w:r>
        <w:rPr>
          <w:color w:val="1E293B"/>
          <w:sz w:val="21"/>
          <w:szCs w:val="21"/>
        </w:rPr>
        <w:t xml:space="preserve">Role-based access control matches the four real personas (admin / purchasing / warehouse / finance) and is enforced consistently through a single require_roles() dependency — not re-implemented ad hoc per route.</w:t>
      </w:r>
    </w:p>
    <w:p>
      <w:pPr>
        <w:pStyle w:val="ListParagraph"/>
        <w:numPr>
          <w:ilvl w:val="0"/>
          <w:numId w:val="2"/>
        </w:numPr>
        <w:spacing w:after="90"/>
      </w:pPr>
      <w:r>
        <w:rPr>
          <w:color w:val="1E293B"/>
          <w:sz w:val="21"/>
          <w:szCs w:val="21"/>
        </w:rPr>
        <w:t xml:space="preserve">Weighted-average COGS calculation on receiving is textbook-correct, and every issue stamps cost_at_issue so historical transactions keep their original cost even after later price changes.</w:t>
      </w:r>
    </w:p>
    <w:p>
      <w:pPr>
        <w:pStyle w:val="ListParagraph"/>
        <w:numPr>
          <w:ilvl w:val="0"/>
          <w:numId w:val="2"/>
        </w:numPr>
        <w:spacing w:after="90"/>
      </w:pPr>
      <w:r>
        <w:rPr>
          <w:color w:val="1E293B"/>
          <w:sz w:val="21"/>
          <w:szCs w:val="21"/>
        </w:rPr>
        <w:t xml:space="preserve">Receiving is correctly gated on an approved PO and validated against remaining (not total) PO quantity, with partial receiving supported end-to-end — this is one of the easiest places for these systems to go wrong, and it's solid here.</w:t>
      </w:r>
    </w:p>
    <w:p>
      <w:pPr>
        <w:pStyle w:val="ListParagraph"/>
        <w:numPr>
          <w:ilvl w:val="0"/>
          <w:numId w:val="2"/>
        </w:numPr>
        <w:spacing w:after="90"/>
      </w:pPr>
      <w:r>
        <w:rPr>
          <w:color w:val="1E293B"/>
          <w:sz w:val="21"/>
          <w:szCs w:val="21"/>
        </w:rPr>
        <w:t xml:space="preserve">The Purchase Request module has a genuinely well-designed state machine (draft → pending_approval → approved/rejected/returned → converted/cancelled) with a configurable, ordered approval flow and a full decision history.</w:t>
      </w:r>
    </w:p>
    <w:p>
      <w:pPr>
        <w:pStyle w:val="ListParagraph"/>
        <w:numPr>
          <w:ilvl w:val="0"/>
          <w:numId w:val="2"/>
        </w:numPr>
        <w:spacing w:after="90"/>
      </w:pPr>
      <w:r>
        <w:rPr>
          <w:color w:val="1E293B"/>
          <w:sz w:val="21"/>
          <w:szCs w:val="21"/>
        </w:rPr>
        <w:t xml:space="preserve">Consistent audit trail across transactional documents: created_by/at, approved_by/at, cancelled_reason/by/at, etc.</w:t>
      </w:r>
    </w:p>
    <w:p>
      <w:pPr>
        <w:pStyle w:val="ListParagraph"/>
        <w:numPr>
          <w:ilvl w:val="0"/>
          <w:numId w:val="2"/>
        </w:numPr>
        <w:spacing w:after="90"/>
      </w:pPr>
      <w:r>
        <w:rPr>
          <w:color w:val="1E293B"/>
          <w:sz w:val="21"/>
          <w:szCs w:val="21"/>
        </w:rPr>
        <w:t xml:space="preserve">CSV bulk upload is available for items, suppliers, POs, GRNs, issues, and PRs — a real help for onboarding historical or bulk data.</w:t>
      </w:r>
    </w:p>
    <w:p>
      <w:pPr>
        <w:pStyle w:val="ListParagraph"/>
        <w:numPr>
          <w:ilvl w:val="0"/>
          <w:numId w:val="2"/>
        </w:numPr>
        <w:spacing w:after="90"/>
      </w:pPr>
      <w:r>
        <w:rPr>
          <w:color w:val="1E293B"/>
          <w:sz w:val="21"/>
          <w:szCs w:val="21"/>
        </w:rPr>
        <w:t xml:space="preserve">Frontend is cleanly organized (pages / components / lib / context), reuses a purpose-built searchable ItemPicker and a shared BulkUploadDialog rather than duplicating that UI per page, and follows a documented design system (design_guidelines.json) on top of shadcn/ui + Tailwind.</w:t>
      </w:r>
    </w:p>
    <w:p>
      <w:pPr>
        <w:pStyle w:val="Heading1"/>
        <w:pBdr>
          <w:bottom w:val="single" w:color="CBD5E1" w:sz="6" w:space="4"/>
        </w:pBdr>
        <w:spacing w:after="160" w:before="380"/>
      </w:pPr>
      <w:r>
        <w:rPr>
          <w:rFonts w:ascii="Calibri" w:cs="Calibri" w:eastAsia="Calibri" w:hAnsi="Calibri"/>
          <w:color w:val="0F172A"/>
        </w:rPr>
        <w:t xml:space="preserve">Critical issues</w:t>
      </w:r>
    </w:p>
    <w:p>
      <w:pPr>
        <w:spacing w:after="140"/>
      </w:pPr>
      <w:r>
        <w:rPr>
          <w:color w:val="1E293B"/>
          <w:sz w:val="21"/>
          <w:szCs w:val="21"/>
        </w:rPr>
        <w:t xml:space="preserve">These four are worth fixing before relying on the system for real day-to-day operations. Each is self-contained — none requires the structural rework in Section 4.</w:t>
      </w:r>
    </w:p>
    <w:p>
      <w:pPr>
        <w:spacing w:after="60" w:before="260"/>
      </w:pPr>
      <w:r>
        <w:rPr>
          <w:b/>
          <w:bCs/>
          <w:color w:val="FFFFFF"/>
          <w:sz w:val="18"/>
          <w:szCs w:val="18"/>
          <w:shd w:fill="B91C1C" w:val="clear"/>
        </w:rPr>
        <w:t xml:space="preserve">  HIGH  </w:t>
      </w:r>
      <w:r>
        <w:rPr>
          <w:b/>
          <w:bCs/>
          <w:color w:val="0F172A"/>
          <w:sz w:val="23"/>
          <w:szCs w:val="23"/>
        </w:rPr>
        <w:t xml:space="preserve">   1. Seeded-user passwords silently reset on every backend restart</w:t>
      </w:r>
    </w:p>
    <w:p>
      <w:pPr>
        <w:spacing w:after="100"/>
      </w:pPr>
      <w:r>
        <w:rPr>
          <w:rFonts w:ascii="Consolas" w:cs="Consolas" w:eastAsia="Consolas" w:hAnsi="Consolas"/>
          <w:i/>
          <w:iCs/>
          <w:color w:val="475569"/>
          <w:sz w:val="18"/>
          <w:szCs w:val="18"/>
        </w:rPr>
        <w:t xml:space="preserve">backend/server.py — seed_data(), lines ~2732–2760</w:t>
      </w:r>
    </w:p>
    <w:p>
      <w:pPr>
        <w:spacing w:after="140"/>
      </w:pPr>
      <w:r>
        <w:rPr>
          <w:color w:val="1E293B"/>
          <w:sz w:val="21"/>
          <w:szCs w:val="21"/>
        </w:rPr>
        <w:t xml:space="preserve">On every application startup, the four seed accounts (admin / purchasing / warehouse / finance) have their password re-checked against fixed defaults (the ADMIN_PASSWORD env var, or “admin123” if unset; “demo123” for the other three). If the currently stored password hash does not match that default, it is silently overwritten back to the default.</w:t>
      </w:r>
    </w:p>
    <w:p>
      <w:pPr>
        <w:spacing w:after="140"/>
      </w:pPr>
      <w:r>
        <w:rPr>
          <w:color w:val="1E293B"/>
          <w:sz w:val="21"/>
          <w:szCs w:val="21"/>
        </w:rPr>
        <w:t xml:space="preserve">In practice: anyone who changes the password on one of these four accounts through the User Management screen will find it reverted back to the original demo password the next time the backend restarts — which happens on every deploy, crash, or host reboot. If ADMIN_PASSWORD is never set in the deployment environment, admin / admin123 remains a permanently valid login no matter what an administrator changes it to in the UI.</w:t>
      </w:r>
    </w:p>
    <w:p>
      <w:pPr>
        <w:pBdr>
          <w:left w:val="single" w:color="0D9488" w:sz="18" w:space="8"/>
        </w:pBdr>
        <w:spacing w:after="200"/>
        <w:ind w:left="200"/>
      </w:pPr>
      <w:r>
        <w:rPr>
          <w:b/>
          <w:bCs/>
          <w:color w:val="0D9488"/>
          <w:sz w:val="20"/>
          <w:szCs w:val="20"/>
        </w:rPr>
        <w:t xml:space="preserve">Fix:  </w:t>
      </w:r>
      <w:r>
        <w:rPr>
          <w:color w:val="1E293B"/>
          <w:sz w:val="20"/>
          <w:szCs w:val="20"/>
        </w:rPr>
        <w:t xml:space="preserve">Seed only on true first-run (create the four accounts if they don't exist; never touch password_hash on an existing user again), and make the app refuse to start in a production-flagged environment if ADMIN_USERNAME/ADMIN_PASSWORD aren't explicitly set.</w:t>
      </w:r>
    </w:p>
    <w:p>
      <w:pPr>
        <w:spacing w:after="60" w:before="260"/>
      </w:pPr>
      <w:r>
        <w:rPr>
          <w:b/>
          <w:bCs/>
          <w:color w:val="FFFFFF"/>
          <w:sz w:val="18"/>
          <w:szCs w:val="18"/>
          <w:shd w:fill="B91C1C" w:val="clear"/>
        </w:rPr>
        <w:t xml:space="preserve">  HIGH  </w:t>
      </w:r>
      <w:r>
        <w:rPr>
          <w:b/>
          <w:bCs/>
          <w:color w:val="0F172A"/>
          <w:sz w:val="23"/>
          <w:szCs w:val="23"/>
        </w:rPr>
        <w:t xml:space="preserve">   2. CORS allows any origin while credentials are enabled</w:t>
      </w:r>
    </w:p>
    <w:p>
      <w:pPr>
        <w:spacing w:after="100"/>
      </w:pPr>
      <w:r>
        <w:rPr>
          <w:rFonts w:ascii="Consolas" w:cs="Consolas" w:eastAsia="Consolas" w:hAnsi="Consolas"/>
          <w:i/>
          <w:iCs/>
          <w:color w:val="475569"/>
          <w:sz w:val="18"/>
          <w:szCs w:val="18"/>
        </w:rPr>
        <w:t xml:space="preserve">backend/server.py — line ~2836</w:t>
      </w:r>
    </w:p>
    <w:p>
      <w:pPr>
        <w:spacing w:after="140"/>
      </w:pPr>
      <w:r>
        <w:rPr>
          <w:color w:val="1E293B"/>
          <w:sz w:val="21"/>
          <w:szCs w:val="21"/>
        </w:rPr>
        <w:t xml:space="preserve">allow_origins reads from CORS_ORIGINS and defaults to “*” if that variable isn't set, combined with allow_credentials=True. Most browsers reject a literal wildcard together with credentialed requests, but relying on browser behavior to enforce this isn't a substitute for an explicit allowlist — and it signals the origin restriction may not actually be active in every deployment.</w:t>
      </w:r>
    </w:p>
    <w:p>
      <w:pPr>
        <w:pBdr>
          <w:left w:val="single" w:color="0D9488" w:sz="18" w:space="8"/>
        </w:pBdr>
        <w:spacing w:after="200"/>
        <w:ind w:left="200"/>
      </w:pPr>
      <w:r>
        <w:rPr>
          <w:b/>
          <w:bCs/>
          <w:color w:val="0D9488"/>
          <w:sz w:val="20"/>
          <w:szCs w:val="20"/>
        </w:rPr>
        <w:t xml:space="preserve">Fix:  </w:t>
      </w:r>
      <w:r>
        <w:rPr>
          <w:color w:val="1E293B"/>
          <w:sz w:val="20"/>
          <w:szCs w:val="20"/>
        </w:rPr>
        <w:t xml:space="preserve">Confirm CORS_ORIGINS is set to the exact production frontend origin (not “*”) in every deployed environment, and have the app fail to start if allow_credentials=True while the origin list is empty or “*”.</w:t>
      </w:r>
    </w:p>
    <w:p>
      <w:pPr>
        <w:spacing w:after="60" w:before="260"/>
      </w:pPr>
      <w:r>
        <w:rPr>
          <w:b/>
          <w:bCs/>
          <w:color w:val="FFFFFF"/>
          <w:sz w:val="18"/>
          <w:szCs w:val="18"/>
          <w:shd w:fill="B91C1C" w:val="clear"/>
        </w:rPr>
        <w:t xml:space="preserve">  HIGH  </w:t>
      </w:r>
      <w:r>
        <w:rPr>
          <w:b/>
          <w:bCs/>
          <w:color w:val="0F172A"/>
          <w:sz w:val="23"/>
          <w:szCs w:val="23"/>
        </w:rPr>
        <w:t xml:space="preserve">   3. The automated backend test suite no longer matches the API it tests</w:t>
      </w:r>
    </w:p>
    <w:p>
      <w:pPr>
        <w:spacing w:after="100"/>
      </w:pPr>
      <w:r>
        <w:rPr>
          <w:rFonts w:ascii="Consolas" w:cs="Consolas" w:eastAsia="Consolas" w:hAnsi="Consolas"/>
          <w:i/>
          <w:iCs/>
          <w:color w:val="475569"/>
          <w:sz w:val="18"/>
          <w:szCs w:val="18"/>
        </w:rPr>
        <w:t xml:space="preserve">backend/tests/backend_test.py; test_result.md</w:t>
      </w:r>
    </w:p>
    <w:p>
      <w:pPr>
        <w:spacing w:after="140"/>
      </w:pPr>
      <w:r>
        <w:rPr>
          <w:color w:val="1E293B"/>
          <w:sz w:val="21"/>
          <w:szCs w:val="21"/>
        </w:rPr>
        <w:t xml:space="preserve">backend_test.py logs in with email/password pairs (“admin@hinto.id” / “admin123”, etc.), but login has required username — not email — since the 26 Aug migration recorded in your own changelog. Running pytest today fails at the very first fixture, before a single real assertion runs. Beyond that, there is no coverage at all of the Purchase Request module: 11 endpoints and the single largest feature added since the tests were last touched.</w:t>
      </w:r>
    </w:p>
    <w:p>
      <w:pPr>
        <w:spacing w:after="140"/>
      </w:pPr>
      <w:r>
        <w:rPr>
          <w:color w:val="1E293B"/>
          <w:sz w:val="21"/>
          <w:szCs w:val="21"/>
        </w:rPr>
        <w:t xml:space="preserve">test_result.md — the file your own testing protocol designates as the source of truth for what's been tested — still contains only the unfilled template; no status_history has ever actually been recorded there. The appearance of a test suite is currently doing more harm than having none, because it invites trusting a safety net that isn't there.</w:t>
      </w:r>
    </w:p>
    <w:p>
      <w:pPr>
        <w:pBdr>
          <w:left w:val="single" w:color="0D9488" w:sz="18" w:space="8"/>
        </w:pBdr>
        <w:spacing w:after="200"/>
        <w:ind w:left="200"/>
      </w:pPr>
      <w:r>
        <w:rPr>
          <w:b/>
          <w:bCs/>
          <w:color w:val="0D9488"/>
          <w:sz w:val="20"/>
          <w:szCs w:val="20"/>
        </w:rPr>
        <w:t xml:space="preserve">Fix:  </w:t>
      </w:r>
      <w:r>
        <w:rPr>
          <w:color w:val="1E293B"/>
          <w:sz w:val="20"/>
          <w:szCs w:val="20"/>
        </w:rPr>
        <w:t xml:space="preserve">Update the fixtures to the current username-based login, add coverage for the PR approval flow (submit / approve / reject / return / convert), and get the suite green before making the structural changes in Section 4 — a passing suite is what makes those changes safe to do quickly.</w:t>
      </w:r>
    </w:p>
    <w:p>
      <w:pPr>
        <w:spacing w:after="60" w:before="260"/>
      </w:pPr>
      <w:r>
        <w:rPr>
          <w:b/>
          <w:bCs/>
          <w:color w:val="FFFFFF"/>
          <w:sz w:val="18"/>
          <w:szCs w:val="18"/>
          <w:shd w:fill="B91C1C" w:val="clear"/>
        </w:rPr>
        <w:t xml:space="preserve">  HIGH  </w:t>
      </w:r>
      <w:r>
        <w:rPr>
          <w:b/>
          <w:bCs/>
          <w:color w:val="0F172A"/>
          <w:sz w:val="23"/>
          <w:szCs w:val="23"/>
        </w:rPr>
        <w:t xml:space="preserve">   4. Stock and weighted-average cost updates are not atomic</w:t>
      </w:r>
    </w:p>
    <w:p>
      <w:pPr>
        <w:spacing w:after="100"/>
      </w:pPr>
      <w:r>
        <w:rPr>
          <w:rFonts w:ascii="Consolas" w:cs="Consolas" w:eastAsia="Consolas" w:hAnsi="Consolas"/>
          <w:i/>
          <w:iCs/>
          <w:color w:val="475569"/>
          <w:sz w:val="18"/>
          <w:szCs w:val="18"/>
        </w:rPr>
        <w:t xml:space="preserve">backend/server.py — apply_weighted_average(), create_issue(), issues_bulk_upload()</w:t>
      </w:r>
    </w:p>
    <w:p>
      <w:pPr>
        <w:spacing w:after="140"/>
      </w:pPr>
      <w:r>
        <w:rPr>
          <w:color w:val="1E293B"/>
          <w:sz w:val="21"/>
          <w:szCs w:val="21"/>
        </w:rPr>
        <w:t xml:space="preserve">Both the receiving path and the stock-out path read an item's current stock/cost, compute a new value in Python, and write it back in a separate round trip — with no transaction and no optimistic lock. Two people receiving the same item, or issuing the same item, within moments of each other can each read the same starting values; the second write silently overwrites the first. The “insufficient stock” check on issue has the same check-then-act shape, so two near-simultaneous stock-outs can each pass validation against the same starting stock and jointly overdraw it.</w:t>
      </w:r>
    </w:p>
    <w:p>
      <w:pPr>
        <w:spacing w:after="140"/>
      </w:pPr>
      <w:r>
        <w:rPr>
          <w:color w:val="1E293B"/>
          <w:sz w:val="21"/>
          <w:szCs w:val="21"/>
        </w:rPr>
        <w:t xml:space="preserve">At a single property this may be infrequent, but the failure mode — quietly wrong stock counts and COGS — is exactly the kind of error that's hard to trace back to its cause weeks later, and it undermines the one number (stock valuation) the whole system exists to get right.</w:t>
      </w:r>
    </w:p>
    <w:p>
      <w:pPr>
        <w:pBdr>
          <w:left w:val="single" w:color="0D9488" w:sz="18" w:space="8"/>
        </w:pBdr>
        <w:spacing w:after="200"/>
        <w:ind w:left="200"/>
      </w:pPr>
      <w:r>
        <w:rPr>
          <w:b/>
          <w:bCs/>
          <w:color w:val="0D9488"/>
          <w:sz w:val="20"/>
          <w:szCs w:val="20"/>
        </w:rPr>
        <w:t xml:space="preserve">Fix:  </w:t>
      </w:r>
      <w:r>
        <w:rPr>
          <w:color w:val="1E293B"/>
          <w:sz w:val="20"/>
          <w:szCs w:val="20"/>
        </w:rPr>
        <w:t xml:space="preserve">Use MongoDB's atomic find_one_and_update with $inc for stock and a server-side computed weighted-average (or a short transaction spanning the read-compute-write) in both the single-item and bulk-upload code paths.</w:t>
      </w:r>
    </w:p>
    <w:p>
      <w:pPr>
        <w:pStyle w:val="Heading1"/>
        <w:pBdr>
          <w:bottom w:val="single" w:color="CBD5E1" w:sz="6" w:space="4"/>
        </w:pBdr>
        <w:spacing w:after="160" w:before="380"/>
      </w:pPr>
      <w:r>
        <w:rPr>
          <w:rFonts w:ascii="Calibri" w:cs="Calibri" w:eastAsia="Calibri" w:hAnsi="Calibri"/>
          <w:color w:val="0F172A"/>
        </w:rPr>
        <w:t xml:space="preserve">Architecture &amp; code quality</w:t>
      </w:r>
    </w:p>
    <w:p>
      <w:pPr>
        <w:spacing w:after="60" w:before="260"/>
      </w:pPr>
      <w:r>
        <w:rPr>
          <w:b/>
          <w:bCs/>
          <w:color w:val="FFFFFF"/>
          <w:sz w:val="18"/>
          <w:szCs w:val="18"/>
          <w:shd w:fill="92400E" w:val="clear"/>
        </w:rPr>
        <w:t xml:space="preserve">  MEDIUM  </w:t>
      </w:r>
      <w:r>
        <w:rPr>
          <w:b/>
          <w:bCs/>
          <w:color w:val="0F172A"/>
          <w:sz w:val="23"/>
          <w:szCs w:val="23"/>
        </w:rPr>
        <w:t xml:space="preserve">   4.1. server.py is a single 2,840-line file</w:t>
      </w:r>
    </w:p>
    <w:p>
      <w:pPr>
        <w:spacing w:after="100"/>
      </w:pPr>
      <w:r>
        <w:rPr>
          <w:rFonts w:ascii="Consolas" w:cs="Consolas" w:eastAsia="Consolas" w:hAnsi="Consolas"/>
          <w:i/>
          <w:iCs/>
          <w:color w:val="475569"/>
          <w:sz w:val="18"/>
          <w:szCs w:val="18"/>
        </w:rPr>
        <w:t xml:space="preserve">backend/server.py</w:t>
      </w:r>
    </w:p>
    <w:p>
      <w:pPr>
        <w:spacing w:after="140"/>
      </w:pPr>
      <w:r>
        <w:rPr>
          <w:color w:val="1E293B"/>
          <w:sz w:val="21"/>
          <w:szCs w:val="21"/>
        </w:rPr>
        <w:t xml:space="preserve">Every Pydantic model, every route across 10+ modules, and every helper function lives in one file — already flagged in your own PRD backlog as P2 (“Refactor server.py (1400+ lines)…”; it has since grown to roughly double that). This makes code review, onboarding a second developer, and simply locating the logic for a given feature harder than necessary, and it's a direct contributor to Section 4.2.</w:t>
      </w:r>
    </w:p>
    <w:p>
      <w:pPr>
        <w:pBdr>
          <w:left w:val="single" w:color="0D9488" w:sz="18" w:space="8"/>
        </w:pBdr>
        <w:spacing w:after="200"/>
        <w:ind w:left="200"/>
      </w:pPr>
      <w:r>
        <w:rPr>
          <w:b/>
          <w:bCs/>
          <w:color w:val="0D9488"/>
          <w:sz w:val="20"/>
          <w:szCs w:val="20"/>
        </w:rPr>
        <w:t xml:space="preserve">Fix:  </w:t>
      </w:r>
      <w:r>
        <w:rPr>
          <w:color w:val="1E293B"/>
          <w:sz w:val="20"/>
          <w:szCs w:val="20"/>
        </w:rPr>
        <w:t xml:space="preserve">Split into routers/{auth,items,suppliers,orders,purchase_requests,receiving,issues,opname,revenue,reports,recipes}.py, with a services/ layer for the two pieces of real business logic — weighted-average COGS and the PR approval state machine — so they can be unit-tested without a running FastAPI/Mongo stack.</w:t>
      </w:r>
    </w:p>
    <w:p>
      <w:pPr>
        <w:spacing w:after="60" w:before="260"/>
      </w:pPr>
      <w:r>
        <w:rPr>
          <w:b/>
          <w:bCs/>
          <w:color w:val="FFFFFF"/>
          <w:sz w:val="18"/>
          <w:szCs w:val="18"/>
          <w:shd w:fill="92400E" w:val="clear"/>
        </w:rPr>
        <w:t xml:space="preserve">  MEDIUM  </w:t>
      </w:r>
      <w:r>
        <w:rPr>
          <w:b/>
          <w:bCs/>
          <w:color w:val="0F172A"/>
          <w:sz w:val="23"/>
          <w:szCs w:val="23"/>
        </w:rPr>
        <w:t xml:space="preserve">   4.2. Business logic is duplicated between single-create and bulk-upload endpoints</w:t>
      </w:r>
    </w:p>
    <w:p>
      <w:pPr>
        <w:spacing w:after="100"/>
      </w:pPr>
      <w:r>
        <w:rPr>
          <w:rFonts w:ascii="Consolas" w:cs="Consolas" w:eastAsia="Consolas" w:hAnsi="Consolas"/>
          <w:i/>
          <w:iCs/>
          <w:color w:val="475569"/>
          <w:sz w:val="18"/>
          <w:szCs w:val="18"/>
        </w:rPr>
        <w:t xml:space="preserve">backend/server.py — create_order/orders_bulk_upload, create_receiving/receivings_bulk_upload, create_issue/issues_bulk_upload, create_pr/prs_bulk_upload</w:t>
      </w:r>
    </w:p>
    <w:p>
      <w:pPr>
        <w:spacing w:after="140"/>
      </w:pPr>
      <w:r>
        <w:rPr>
          <w:color w:val="1E293B"/>
          <w:sz w:val="21"/>
          <w:szCs w:val="21"/>
        </w:rPr>
        <w:t xml:space="preserve">Each pair re-implements the same validation and stock/cost mutation independently rather than sharing one function. Any future fix — including the atomic-update fix in Section 3.4 — has to be made twice, and it's easy to update one path and forget the other; the PR bulk-upload path, for instance, already applies a different validation message than the single-create path for the same qty&gt;0 rule.</w:t>
      </w:r>
    </w:p>
    <w:p>
      <w:pPr>
        <w:pBdr>
          <w:left w:val="single" w:color="0D9488" w:sz="18" w:space="8"/>
        </w:pBdr>
        <w:spacing w:after="200"/>
        <w:ind w:left="200"/>
      </w:pPr>
      <w:r>
        <w:rPr>
          <w:b/>
          <w:bCs/>
          <w:color w:val="0D9488"/>
          <w:sz w:val="20"/>
          <w:szCs w:val="20"/>
        </w:rPr>
        <w:t xml:space="preserve">Fix:  </w:t>
      </w:r>
      <w:r>
        <w:rPr>
          <w:color w:val="1E293B"/>
          <w:sz w:val="20"/>
          <w:szCs w:val="20"/>
        </w:rPr>
        <w:t xml:space="preserve">Extract one shared “apply items to X” function per module that both the single-create route and the bulk-upload loop call.</w:t>
      </w:r>
    </w:p>
    <w:p>
      <w:pPr>
        <w:spacing w:after="60" w:before="260"/>
      </w:pPr>
      <w:r>
        <w:rPr>
          <w:b/>
          <w:bCs/>
          <w:color w:val="FFFFFF"/>
          <w:sz w:val="18"/>
          <w:szCs w:val="18"/>
          <w:shd w:fill="92400E" w:val="clear"/>
        </w:rPr>
        <w:t xml:space="preserve">  MEDIUM  </w:t>
      </w:r>
      <w:r>
        <w:rPr>
          <w:b/>
          <w:bCs/>
          <w:color w:val="0F172A"/>
          <w:sz w:val="23"/>
          <w:szCs w:val="23"/>
        </w:rPr>
        <w:t xml:space="preserve">   4.3. Hard-coded result caps will start silently truncating reports as data grows</w:t>
      </w:r>
    </w:p>
    <w:p>
      <w:pPr>
        <w:spacing w:after="100"/>
      </w:pPr>
      <w:r>
        <w:rPr>
          <w:rFonts w:ascii="Consolas" w:cs="Consolas" w:eastAsia="Consolas" w:hAnsi="Consolas"/>
          <w:i/>
          <w:iCs/>
          <w:color w:val="475569"/>
          <w:sz w:val="18"/>
          <w:szCs w:val="18"/>
        </w:rPr>
        <w:t xml:space="preserve">backend/server.py — virtually every list/report endpoint (.to_list(500/1000/2000/5000))</w:t>
      </w:r>
    </w:p>
    <w:p>
      <w:pPr>
        <w:spacing w:after="140"/>
      </w:pPr>
      <w:r>
        <w:rPr>
          <w:color w:val="1E293B"/>
          <w:sz w:val="21"/>
          <w:szCs w:val="21"/>
        </w:rPr>
        <w:t xml:space="preserve">List and report endpoints fetch up to a fixed cap with no pagination and no signal when that cap is hit. report_stock_movement alone fetches up to 5,000 receivings, 5,000 issues, and 5,000 opnames into memory per request, filtering by date in Python afterward rather than at the query level. With a young dataset this is invisible; after a year of daily transactions across 13 outlets, reports will begin quietly dropping older rows — the kind of issue that surfaces as “why isn't last month's PO in this report” long after it ships.</w:t>
      </w:r>
    </w:p>
    <w:p>
      <w:pPr>
        <w:pBdr>
          <w:left w:val="single" w:color="0D9488" w:sz="18" w:space="8"/>
        </w:pBdr>
        <w:spacing w:after="200"/>
        <w:ind w:left="200"/>
      </w:pPr>
      <w:r>
        <w:rPr>
          <w:b/>
          <w:bCs/>
          <w:color w:val="0D9488"/>
          <w:sz w:val="20"/>
          <w:szCs w:val="20"/>
        </w:rPr>
        <w:t xml:space="preserve">Fix:  </w:t>
      </w:r>
      <w:r>
        <w:rPr>
          <w:color w:val="1E293B"/>
          <w:sz w:val="20"/>
          <w:szCs w:val="20"/>
        </w:rPr>
        <w:t xml:space="preserve">Add real pagination (skip/limit or a cursor) to list endpoints, and push date-range filtering into the MongoDB query for reports instead of fetching everything and filtering client-side in Python.</w:t>
      </w:r>
    </w:p>
    <w:p>
      <w:pPr>
        <w:spacing w:after="60" w:before="260"/>
      </w:pPr>
      <w:r>
        <w:rPr>
          <w:b/>
          <w:bCs/>
          <w:color w:val="FFFFFF"/>
          <w:sz w:val="18"/>
          <w:szCs w:val="18"/>
          <w:shd w:fill="92400E" w:val="clear"/>
        </w:rPr>
        <w:t xml:space="preserve">  MEDIUM  </w:t>
      </w:r>
      <w:r>
        <w:rPr>
          <w:b/>
          <w:bCs/>
          <w:color w:val="0F172A"/>
          <w:sz w:val="23"/>
          <w:szCs w:val="23"/>
        </w:rPr>
        <w:t xml:space="preserve">   4.4. N+1 queries in reports and recipe costing</w:t>
      </w:r>
    </w:p>
    <w:p>
      <w:pPr>
        <w:spacing w:after="100"/>
      </w:pPr>
      <w:r>
        <w:rPr>
          <w:rFonts w:ascii="Consolas" w:cs="Consolas" w:eastAsia="Consolas" w:hAnsi="Consolas"/>
          <w:i/>
          <w:iCs/>
          <w:color w:val="475569"/>
          <w:sz w:val="18"/>
          <w:szCs w:val="18"/>
        </w:rPr>
        <w:t xml:space="preserve">backend/server.py — report_stock_movement(), list_recipes()</w:t>
      </w:r>
    </w:p>
    <w:p>
      <w:pPr>
        <w:spacing w:after="140"/>
      </w:pPr>
      <w:r>
        <w:rPr>
          <w:color w:val="1E293B"/>
          <w:sz w:val="21"/>
          <w:szCs w:val="21"/>
        </w:rPr>
        <w:t xml:space="preserve">report_stock_movement resolves each movement line's item with a separate db.items.find_one() call inside a loop when an item_sku filter is supplied, and list_recipes looks up every recipe ingredient's item one at a time. Both will get slower in direct proportion to catalog size.</w:t>
      </w:r>
    </w:p>
    <w:p>
      <w:pPr>
        <w:pBdr>
          <w:left w:val="single" w:color="0D9488" w:sz="18" w:space="8"/>
        </w:pBdr>
        <w:spacing w:after="200"/>
        <w:ind w:left="200"/>
      </w:pPr>
      <w:r>
        <w:rPr>
          <w:b/>
          <w:bCs/>
          <w:color w:val="0D9488"/>
          <w:sz w:val="20"/>
          <w:szCs w:val="20"/>
        </w:rPr>
        <w:t xml:space="preserve">Fix:  </w:t>
      </w:r>
      <w:r>
        <w:rPr>
          <w:color w:val="1E293B"/>
          <w:sz w:val="20"/>
          <w:szCs w:val="20"/>
        </w:rPr>
        <w:t xml:space="preserve">Pre-fetch the relevant items into an in-memory dict keyed by item_id (or use a $lookup aggregation) instead of querying per row.</w:t>
      </w:r>
    </w:p>
    <w:p>
      <w:pPr>
        <w:spacing w:after="60" w:before="260"/>
      </w:pPr>
      <w:r>
        <w:rPr>
          <w:b/>
          <w:bCs/>
          <w:color w:val="FFFFFF"/>
          <w:sz w:val="18"/>
          <w:szCs w:val="18"/>
          <w:shd w:fill="92400E" w:val="clear"/>
        </w:rPr>
        <w:t xml:space="preserve">  MEDIUM  </w:t>
      </w:r>
      <w:r>
        <w:rPr>
          <w:b/>
          <w:bCs/>
          <w:color w:val="0F172A"/>
          <w:sz w:val="23"/>
          <w:szCs w:val="23"/>
        </w:rPr>
        <w:t xml:space="preserve">   4.5. PR attachments are stored as base64 inside MongoDB documents</w:t>
      </w:r>
    </w:p>
    <w:p>
      <w:pPr>
        <w:spacing w:after="100"/>
      </w:pPr>
      <w:r>
        <w:rPr>
          <w:rFonts w:ascii="Consolas" w:cs="Consolas" w:eastAsia="Consolas" w:hAnsi="Consolas"/>
          <w:i/>
          <w:iCs/>
          <w:color w:val="475569"/>
          <w:sz w:val="18"/>
          <w:szCs w:val="18"/>
        </w:rPr>
        <w:t xml:space="preserve">backend/server.py — PRAttachmentIn; purchase_requests collection</w:t>
      </w:r>
    </w:p>
    <w:p>
      <w:pPr>
        <w:spacing w:after="140"/>
      </w:pPr>
      <w:r>
        <w:rPr>
          <w:color w:val="1E293B"/>
          <w:sz w:val="21"/>
          <w:szCs w:val="21"/>
        </w:rPr>
        <w:t xml:space="preserve">Purchase Request attachments (up to 5 files × 2MB) are embedded as base64 data URLs directly in the document. Base64 adds roughly 33% size overhead on top of the file size, MongoDB documents are capped at 16MB, and boto3 is already listed as a project dependency but appears unused — suggesting object storage was intended but never wired up. A modest number of PRs with photo attachments will bloat the collection and slow every query that touches it.</w:t>
      </w:r>
    </w:p>
    <w:p>
      <w:pPr>
        <w:pBdr>
          <w:left w:val="single" w:color="0D9488" w:sz="18" w:space="8"/>
        </w:pBdr>
        <w:spacing w:after="200"/>
        <w:ind w:left="200"/>
      </w:pPr>
      <w:r>
        <w:rPr>
          <w:b/>
          <w:bCs/>
          <w:color w:val="0D9488"/>
          <w:sz w:val="20"/>
          <w:szCs w:val="20"/>
        </w:rPr>
        <w:t xml:space="preserve">Fix:  </w:t>
      </w:r>
      <w:r>
        <w:rPr>
          <w:color w:val="1E293B"/>
          <w:sz w:val="20"/>
          <w:szCs w:val="20"/>
        </w:rPr>
        <w:t xml:space="preserve">Move attachments to object storage (S3-compatible) and store a reference/URL on the PR document instead of the file bytes.</w:t>
      </w:r>
    </w:p>
    <w:p>
      <w:pPr>
        <w:spacing w:after="60" w:before="260"/>
      </w:pPr>
      <w:r>
        <w:rPr>
          <w:b/>
          <w:bCs/>
          <w:color w:val="FFFFFF"/>
          <w:sz w:val="18"/>
          <w:szCs w:val="18"/>
          <w:shd w:fill="64748B" w:val="clear"/>
        </w:rPr>
        <w:t xml:space="preserve">  LOW  </w:t>
      </w:r>
      <w:r>
        <w:rPr>
          <w:b/>
          <w:bCs/>
          <w:color w:val="0F172A"/>
          <w:sz w:val="23"/>
          <w:szCs w:val="23"/>
        </w:rPr>
        <w:t xml:space="preserve">   4.6. Some financial read endpoints aren't role-restricted</w:t>
      </w:r>
    </w:p>
    <w:p>
      <w:pPr>
        <w:spacing w:after="100"/>
      </w:pPr>
      <w:r>
        <w:rPr>
          <w:rFonts w:ascii="Consolas" w:cs="Consolas" w:eastAsia="Consolas" w:hAnsi="Consolas"/>
          <w:i/>
          <w:iCs/>
          <w:color w:val="475569"/>
          <w:sz w:val="18"/>
          <w:szCs w:val="18"/>
        </w:rPr>
        <w:t xml:space="preserve">backend/server.py — flash-cost, revenue, and report endpoints</w:t>
      </w:r>
    </w:p>
    <w:p>
      <w:pPr>
        <w:spacing w:after="140"/>
      </w:pPr>
      <w:r>
        <w:rPr>
          <w:color w:val="1E293B"/>
          <w:sz w:val="21"/>
          <w:szCs w:val="21"/>
        </w:rPr>
        <w:t xml:space="preserve">Reports and revenue endpoints (financial flash-cost, revenue by outlet, PO valuation) only require an authenticated user of any role — including Warehouse — to read figures that, per design_guidelines.json's own role table, are scoped to Finance/Admin. This may be intentional for a four-person team, but if not, it's a one-line require_roles() change per endpoint.</w:t>
      </w:r>
    </w:p>
    <w:p>
      <w:pPr>
        <w:pStyle w:val="Heading1"/>
        <w:pBdr>
          <w:bottom w:val="single" w:color="CBD5E1" w:sz="6" w:space="4"/>
        </w:pBdr>
        <w:spacing w:after="160" w:before="380"/>
      </w:pPr>
      <w:r>
        <w:rPr>
          <w:rFonts w:ascii="Calibri" w:cs="Calibri" w:eastAsia="Calibri" w:hAnsi="Calibri"/>
          <w:color w:val="0F172A"/>
        </w:rPr>
        <w:t xml:space="preserve">Reliability &amp; frontend UX</w:t>
      </w:r>
    </w:p>
    <w:p>
      <w:pPr>
        <w:spacing w:after="60" w:before="260"/>
      </w:pPr>
      <w:r>
        <w:rPr>
          <w:b/>
          <w:bCs/>
          <w:color w:val="FFFFFF"/>
          <w:sz w:val="18"/>
          <w:szCs w:val="18"/>
          <w:shd w:fill="92400E" w:val="clear"/>
        </w:rPr>
        <w:t xml:space="preserve">  MEDIUM  </w:t>
      </w:r>
      <w:r>
        <w:rPr>
          <w:b/>
          <w:bCs/>
          <w:color w:val="0F172A"/>
          <w:sz w:val="23"/>
          <w:szCs w:val="23"/>
        </w:rPr>
        <w:t xml:space="preserve">   5.1. No global handling for an expired/invalid session</w:t>
      </w:r>
    </w:p>
    <w:p>
      <w:pPr>
        <w:spacing w:after="100"/>
      </w:pPr>
      <w:r>
        <w:rPr>
          <w:rFonts w:ascii="Consolas" w:cs="Consolas" w:eastAsia="Consolas" w:hAnsi="Consolas"/>
          <w:i/>
          <w:iCs/>
          <w:color w:val="475569"/>
          <w:sz w:val="18"/>
          <w:szCs w:val="18"/>
        </w:rPr>
        <w:t xml:space="preserve">frontend/src/lib/api.js</w:t>
      </w:r>
    </w:p>
    <w:p>
      <w:pPr>
        <w:spacing w:after="140"/>
      </w:pPr>
      <w:r>
        <w:rPr>
          <w:color w:val="1E293B"/>
          <w:sz w:val="21"/>
          <w:szCs w:val="21"/>
        </w:rPr>
        <w:t xml:space="preserve">The axios instance attaches the bearer token on every request but has no response interceptor for 401s. When the 12-hour token expires or is otherwise rejected, each page fails independently with whatever ad hoc error handling it happens to have, instead of a single clean redirect to /login.</w:t>
      </w:r>
    </w:p>
    <w:p>
      <w:pPr>
        <w:pBdr>
          <w:left w:val="single" w:color="0D9488" w:sz="18" w:space="8"/>
        </w:pBdr>
        <w:spacing w:after="200"/>
        <w:ind w:left="200"/>
      </w:pPr>
      <w:r>
        <w:rPr>
          <w:b/>
          <w:bCs/>
          <w:color w:val="0D9488"/>
          <w:sz w:val="20"/>
          <w:szCs w:val="20"/>
        </w:rPr>
        <w:t xml:space="preserve">Fix:  </w:t>
      </w:r>
      <w:r>
        <w:rPr>
          <w:color w:val="1E293B"/>
          <w:sz w:val="20"/>
          <w:szCs w:val="20"/>
        </w:rPr>
        <w:t xml:space="preserve">Add one axios response interceptor in lib/api.js: on a 401, clear the stored token and redirect to /login. Fixes this everywhere at once.</w:t>
      </w:r>
    </w:p>
    <w:p>
      <w:pPr>
        <w:spacing w:after="60" w:before="260"/>
      </w:pPr>
      <w:r>
        <w:rPr>
          <w:b/>
          <w:bCs/>
          <w:color w:val="FFFFFF"/>
          <w:sz w:val="18"/>
          <w:szCs w:val="18"/>
          <w:shd w:fill="64748B" w:val="clear"/>
        </w:rPr>
        <w:t xml:space="preserve">  LOW  </w:t>
      </w:r>
      <w:r>
        <w:rPr>
          <w:b/>
          <w:bCs/>
          <w:color w:val="0F172A"/>
          <w:sz w:val="23"/>
          <w:szCs w:val="23"/>
        </w:rPr>
        <w:t xml:space="preserve">   5.2. Password policy is inconsistent between create and admin-reset</w:t>
      </w:r>
    </w:p>
    <w:p>
      <w:pPr>
        <w:spacing w:after="100"/>
      </w:pPr>
      <w:r>
        <w:rPr>
          <w:rFonts w:ascii="Consolas" w:cs="Consolas" w:eastAsia="Consolas" w:hAnsi="Consolas"/>
          <w:i/>
          <w:iCs/>
          <w:color w:val="475569"/>
          <w:sz w:val="18"/>
          <w:szCs w:val="18"/>
        </w:rPr>
        <w:t xml:space="preserve">backend/server.py — register() vs update_user()</w:t>
      </w:r>
    </w:p>
    <w:p>
      <w:pPr>
        <w:spacing w:after="140"/>
      </w:pPr>
      <w:r>
        <w:rPr>
          <w:color w:val="1E293B"/>
          <w:sz w:val="21"/>
          <w:szCs w:val="21"/>
        </w:rPr>
        <w:t xml:space="preserve">Creating a user enforces a 6-character minimum password; PATCH /users/{id}, which an admin uses to reset someone's password, does not enforce any minimum.</w:t>
      </w:r>
    </w:p>
    <w:p>
      <w:pPr>
        <w:spacing w:after="60" w:before="260"/>
      </w:pPr>
      <w:r>
        <w:rPr>
          <w:b/>
          <w:bCs/>
          <w:color w:val="FFFFFF"/>
          <w:sz w:val="18"/>
          <w:szCs w:val="18"/>
          <w:shd w:fill="64748B" w:val="clear"/>
        </w:rPr>
        <w:t xml:space="preserve">  LOW  </w:t>
      </w:r>
      <w:r>
        <w:rPr>
          <w:b/>
          <w:bCs/>
          <w:color w:val="0F172A"/>
          <w:sz w:val="23"/>
          <w:szCs w:val="23"/>
        </w:rPr>
        <w:t xml:space="preserve">   5.3. No throttling on login</w:t>
      </w:r>
    </w:p>
    <w:p>
      <w:pPr>
        <w:spacing w:after="100"/>
      </w:pPr>
      <w:r>
        <w:rPr>
          <w:rFonts w:ascii="Consolas" w:cs="Consolas" w:eastAsia="Consolas" w:hAnsi="Consolas"/>
          <w:i/>
          <w:iCs/>
          <w:color w:val="475569"/>
          <w:sz w:val="18"/>
          <w:szCs w:val="18"/>
        </w:rPr>
        <w:t xml:space="preserve">backend/server.py — /auth/login</w:t>
      </w:r>
    </w:p>
    <w:p>
      <w:pPr>
        <w:spacing w:after="140"/>
      </w:pPr>
      <w:r>
        <w:rPr>
          <w:color w:val="1E293B"/>
          <w:sz w:val="21"/>
          <w:szCs w:val="21"/>
        </w:rPr>
        <w:t xml:space="preserve">With only four fixed usernames and no rate limiting or lockout, credential brute-forcing is unthrottled. Worth a basic per-IP or per-username rate limit if this is reachable from the open internet.</w:t>
      </w:r>
    </w:p>
    <w:p>
      <w:pPr>
        <w:spacing w:after="60" w:before="260"/>
      </w:pPr>
      <w:r>
        <w:rPr>
          <w:b/>
          <w:bCs/>
          <w:color w:val="FFFFFF"/>
          <w:sz w:val="18"/>
          <w:szCs w:val="18"/>
          <w:shd w:fill="64748B" w:val="clear"/>
        </w:rPr>
        <w:t xml:space="preserve">  LOW  </w:t>
      </w:r>
      <w:r>
        <w:rPr>
          <w:b/>
          <w:bCs/>
          <w:color w:val="0F172A"/>
          <w:sz w:val="23"/>
          <w:szCs w:val="23"/>
        </w:rPr>
        <w:t xml:space="preserve">   5.4. Session token lives in localStorage</w:t>
      </w:r>
    </w:p>
    <w:p>
      <w:pPr>
        <w:spacing w:after="100"/>
      </w:pPr>
      <w:r>
        <w:rPr>
          <w:rFonts w:ascii="Consolas" w:cs="Consolas" w:eastAsia="Consolas" w:hAnsi="Consolas"/>
          <w:i/>
          <w:iCs/>
          <w:color w:val="475569"/>
          <w:sz w:val="18"/>
          <w:szCs w:val="18"/>
        </w:rPr>
        <w:t xml:space="preserve">frontend/src/lib/api.js, AuthContext.jsx</w:t>
      </w:r>
    </w:p>
    <w:p>
      <w:pPr>
        <w:spacing w:after="140"/>
      </w:pPr>
      <w:r>
        <w:rPr>
          <w:color w:val="1E293B"/>
          <w:sz w:val="21"/>
          <w:szCs w:val="21"/>
        </w:rPr>
        <w:t xml:space="preserve">Standard trade-off for a Bearer-token SPA, but it means any future XSS (for example, via an unsanitized attachment or free-text field) could exfiltrate a live session token. Worth keeping in mind now that PR attachments accept arbitrary uploaded files.</w:t>
      </w:r>
    </w:p>
    <w:p>
      <w:pPr>
        <w:pStyle w:val="Heading1"/>
        <w:pBdr>
          <w:bottom w:val="single" w:color="CBD5E1" w:sz="6" w:space="4"/>
        </w:pBdr>
        <w:spacing w:after="160" w:before="380"/>
      </w:pPr>
      <w:r>
        <w:rPr>
          <w:rFonts w:ascii="Calibri" w:cs="Calibri" w:eastAsia="Calibri" w:hAnsi="Calibri"/>
          <w:color w:val="0F172A"/>
        </w:rPr>
        <w:t xml:space="preserve">Housekeeping</w:t>
      </w:r>
    </w:p>
    <w:p>
      <w:pPr>
        <w:pStyle w:val="ListParagraph"/>
        <w:numPr>
          <w:ilvl w:val="0"/>
          <w:numId w:val="2"/>
        </w:numPr>
        <w:spacing w:after="90"/>
      </w:pPr>
      <w:r>
        <w:rPr>
          <w:color w:val="1E293B"/>
          <w:sz w:val="21"/>
          <w:szCs w:val="21"/>
        </w:rPr>
        <w:t xml:space="preserve">Leftover product-name inconsistency: the FastAPI app title (“HINTO Inventory API”), the logger name (“hinto”), the frontend's localStorage key (“hinto_token”), and design_guidelines.json's app_name all still say “HINTO”, even though the product is branded “Lago Bali” everywhere a user actually sees it. Purely cosmetic, but worth a global rename pass — including .emergent/ and the emergentintegrations dependency, both leftovers of the original scaffold tool.</w:t>
      </w:r>
    </w:p>
    <w:p>
      <w:pPr>
        <w:pStyle w:val="ListParagraph"/>
        <w:numPr>
          <w:ilvl w:val="0"/>
          <w:numId w:val="2"/>
        </w:numPr>
        <w:spacing w:after="90"/>
      </w:pPr>
      <w:r>
        <w:rPr>
          <w:color w:val="1E293B"/>
          <w:sz w:val="21"/>
          <w:szCs w:val="21"/>
        </w:rPr>
        <w:t xml:space="preserve">backend/requirements.txt lists packages the code doesn't appear to import (pandas, numpy, jq, typer, python-jose, requests-oauthlib, cryptography, emergentintegrations) alongside the ones it does use (fastapi, motor, bcrypt, pyjwt, pydantic). Worth auditing and trimming — a smaller, accurate dependency list installs faster and has less security-patch surface to track.</w:t>
      </w:r>
    </w:p>
    <w:p>
      <w:pPr>
        <w:pStyle w:val="ListParagraph"/>
        <w:numPr>
          <w:ilvl w:val="0"/>
          <w:numId w:val="2"/>
        </w:numPr>
        <w:spacing w:after="90"/>
      </w:pPr>
      <w:r>
        <w:rPr>
          <w:color w:val="1E293B"/>
          <w:sz w:val="21"/>
          <w:szCs w:val="21"/>
        </w:rPr>
        <w:t xml:space="preserve">README.md is currently a placeholder (“# Here are your Instructions”) with no setup guide — required env vars, how to run backend + frontend together, what seeding does on first run. Worth writing now while the answers are still fresh, before a second developer needs them.</w:t>
      </w:r>
    </w:p>
    <w:p>
      <w:pPr>
        <w:pStyle w:val="ListParagraph"/>
        <w:numPr>
          <w:ilvl w:val="0"/>
          <w:numId w:val="2"/>
        </w:numPr>
        <w:spacing w:after="90"/>
      </w:pPr>
      <w:r>
        <w:rPr>
          <w:color w:val="1E293B"/>
          <w:sz w:val="21"/>
          <w:szCs w:val="21"/>
        </w:rPr>
        <w:t xml:space="preserve">Code comments and docstrings are a mix of Indonesian and English (report endpoints in particular), while the 26 Aug changelog entry notes the UI and user-facing error messages were already translated to English — worth finishing that sweep for consistency.</w:t>
      </w:r>
    </w:p>
    <w:p>
      <w:pPr>
        <w:pStyle w:val="Heading1"/>
        <w:pBdr>
          <w:bottom w:val="single" w:color="CBD5E1" w:sz="6" w:space="4"/>
        </w:pBdr>
        <w:spacing w:after="160" w:before="380"/>
      </w:pPr>
      <w:r>
        <w:rPr>
          <w:rFonts w:ascii="Calibri" w:cs="Calibri" w:eastAsia="Calibri" w:hAnsi="Calibri"/>
          <w:color w:val="0F172A"/>
        </w:rPr>
        <w:t xml:space="preserve">Closing note</w:t>
      </w:r>
    </w:p>
    <w:p>
      <w:pPr>
        <w:spacing w:after="140"/>
      </w:pPr>
      <w:r>
        <w:rPr>
          <w:color w:val="1E293B"/>
          <w:sz w:val="21"/>
          <w:szCs w:val="21"/>
        </w:rPr>
        <w:t xml:space="preserve">None of the above is a knock on the system as it stands — for a single builder, shipping a working purchase-to-pay, inventory, COGS, and reporting stack with correctly-modeled weighted-average costing and partial receiving is a genuinely solid result; those are exactly the pieces that are easy to get subtly wrong, and here they aren't. The items above are the specific, concrete gaps between what's here today and a version of this system you can fully trust to run Lago Bali's operations without a second thought — roughly a week of focused work for the four Critical items, with the Medium items as the natural next phase once the test suite in Section 3.3 is green and can catch regressions along the way.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20"/>
    </w:pPr>
    <w:rPr>
      <w:rFonts w:ascii="Calibri" w:cs="Calibri" w:eastAsia="Calibri" w:hAnsi="Calibri"/>
      <w:b/>
      <w:bCs/>
      <w:color w:val="0F172A"/>
      <w:sz w:val="34"/>
      <w:szCs w:val="34"/>
    </w:rPr>
  </w:style>
  <w:style w:type="paragraph" w:styleId="Heading2">
    <w:name w:val="Heading 2"/>
    <w:basedOn w:val="Normal"/>
    <w:next w:val="Normal"/>
    <w:qFormat/>
    <w:pPr>
      <w:spacing w:after="140" w:before="340"/>
    </w:pPr>
    <w:rPr>
      <w:rFonts w:ascii="Calibri" w:cs="Calibri" w:eastAsia="Calibri" w:hAnsi="Calibri"/>
      <w:b/>
      <w:bCs/>
      <w:color w:val="0F172A"/>
      <w:sz w:val="26"/>
      <w:szCs w:val="26"/>
    </w:rPr>
  </w:style>
  <w:style w:type="paragraph" w:styleId="Heading3">
    <w:name w:val="Heading 3"/>
    <w:basedOn w:val="Normal"/>
    <w:next w:val="Normal"/>
    <w:qFormat/>
    <w:pPr>
      <w:spacing w:after="100" w:before="240"/>
    </w:pPr>
    <w:rPr>
      <w:rFonts w:ascii="Calibri" w:cs="Calibri" w:eastAsia="Calibri" w:hAnsi="Calibri"/>
      <w:b/>
      <w:bCs/>
      <w:color w:val="0D9488"/>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2026-08-31T07:56:37.482Z</dcterms:created>
  <dcterms:modified xsi:type="dcterms:W3CDTF">2026-08-31T07:56:37.483Z</dcterms:modified>
</cp:coreProperties>
</file>

<file path=docProps/custom.xml><?xml version="1.0" encoding="utf-8"?>
<Properties xmlns="http://schemas.openxmlformats.org/officeDocument/2006/custom-properties" xmlns:vt="http://schemas.openxmlformats.org/officeDocument/2006/docPropsVTypes"/>
</file>