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F6F62"/>
          <w:sz w:val="20"/>
          <w:szCs w:val="20"/>
        </w:rPr>
        <w:t xml:space="preserve">LAGO BALI · INVENTORY &amp; F&amp;B OS</w:t>
      </w:r>
    </w:p>
    <w:p>
      <w:pPr>
        <w:spacing w:after="120"/>
      </w:pPr>
      <w:r>
        <w:rPr>
          <w:b/>
          <w:bCs/>
          <w:color w:val="1A1A1A"/>
          <w:sz w:val="40"/>
          <w:szCs w:val="40"/>
        </w:rPr>
        <w:t xml:space="preserve">System Review — v2 (Live Production Verification)</w:t>
      </w:r>
    </w:p>
    <w:p>
      <w:pPr>
        <w:spacing w:after="260"/>
      </w:pPr>
      <w:r>
        <w:rPr>
          <w:i/>
          <w:iCs/>
          <w:color w:val="595959"/>
          <w:sz w:val="21"/>
          <w:szCs w:val="21"/>
        </w:rPr>
        <w:t xml:space="preserve">Full-stack code review plus a hands-on check of the live production app against that review — what's fixed, what's actually deployed, and what's still open.</w:t>
      </w:r>
    </w:p>
    <w:p>
      <w:pPr>
        <w:spacing w:after="40"/>
      </w:pPr>
      <w:r>
        <w:rPr>
          <w:b/>
          <w:bCs/>
          <w:sz w:val="20"/>
          <w:szCs w:val="20"/>
        </w:rPr>
        <w:t xml:space="preserve">Prepared for: </w:t>
      </w:r>
      <w:r>
        <w:rPr>
          <w:sz w:val="20"/>
          <w:szCs w:val="20"/>
        </w:rPr>
        <w:t xml:space="preserve">Nanda Hary — Lago Bali</w:t>
      </w:r>
    </w:p>
    <w:p>
      <w:pPr>
        <w:spacing w:after="40"/>
      </w:pPr>
      <w:r>
        <w:rPr>
          <w:b/>
          <w:bCs/>
          <w:sz w:val="20"/>
          <w:szCs w:val="20"/>
        </w:rPr>
        <w:t xml:space="preserve">Date: </w:t>
      </w:r>
      <w:r>
        <w:rPr>
          <w:sz w:val="20"/>
          <w:szCs w:val="20"/>
        </w:rPr>
        <w:t xml:space="preserve">31 August 2026</w:t>
      </w:r>
    </w:p>
    <w:p>
      <w:pPr>
        <w:spacing w:after="40"/>
      </w:pPr>
      <w:r>
        <w:rPr>
          <w:b/>
          <w:bCs/>
          <w:sz w:val="20"/>
          <w:szCs w:val="20"/>
        </w:rPr>
        <w:t xml:space="preserve">Live app reviewed: </w:t>
      </w:r>
      <w:r>
        <w:rPr>
          <w:sz w:val="20"/>
          <w:szCs w:val="20"/>
        </w:rPr>
        <w:t xml:space="preserve">https://hotel-supply-ops.emergent.host/dashboard (signed in as Admin)</w:t>
      </w:r>
    </w:p>
    <w:p>
      <w:pPr>
        <w:spacing w:after="300"/>
      </w:pPr>
      <w:r>
        <w:rPr>
          <w:b/>
          <w:bCs/>
          <w:sz w:val="20"/>
          <w:szCs w:val="20"/>
        </w:rPr>
        <w:t xml:space="preserve">Codebase reviewed: </w:t>
      </w:r>
      <w:r>
        <w:rPr>
          <w:sz w:val="20"/>
          <w:szCs w:val="20"/>
        </w:rPr>
        <w:t xml:space="preserve">backend/server.py (~3,000 lines, ~60+ endpoints), full React frontend (14+ pages), git history, test suite, dependency manifests. Supersedes Lago_Bali_System_Review.docx (same day, earlier).</w:t>
      </w:r>
    </w:p>
    <w:p>
      <w:pPr>
        <w:pStyle w:val="Heading1"/>
        <w:pBdr>
          <w:bottom w:val="single" w:color="2F6F62" w:sz="8" w:space="4"/>
        </w:pBdr>
        <w:spacing w:after="160" w:before="360"/>
      </w:pPr>
      <w:r>
        <w:rPr>
          <w:b/>
          <w:bCs/>
          <w:color w:val="2F6F62"/>
          <w:sz w:val="27"/>
          <w:szCs w:val="27"/>
        </w:rPr>
        <w:t xml:space="preserve">Executive summary</w:t>
      </w:r>
    </w:p>
    <w:p>
      <w:pPr>
        <w:spacing w:after="160" w:line="300"/>
      </w:pPr>
      <w:r>
        <w:rPr>
          <w:color w:val="1A1A1A"/>
          <w:sz w:val="21"/>
          <w:szCs w:val="21"/>
        </w:rPr>
        <w:t xml:space="preserve">The original review (earlier today) found this to be a genuinely capable system — the purchase-to-pay chain (Purchase Request → Purchase Order → Receiving → Stock Out → Opname), weighted-average COGS, a configurable multi-level PR approval flow, and a 7-tab reporting suite are all present and, for the most part, correctly modeled. It flagged four Critical issues and a set of Medium/Low findings, detailed from page 3 onward.</w:t>
      </w:r>
    </w:p>
    <w:p>
      <w:pPr>
        <w:spacing w:after="160" w:line="300"/>
      </w:pPr>
      <w:r>
        <w:rPr>
          <w:color w:val="1A1A1A"/>
          <w:sz w:val="21"/>
          <w:szCs w:val="21"/>
        </w:rPr>
        <w:t xml:space="preserve">Since that review, four rounds of fixes and new features landed the same day — the seed-password bug fix, a new Requestor role, direct-item auto-consumption, and two new reports — and all of it is committed and pushed to origin/main on GitHub (verified: local main and origin/main point at the same commit).</w:t>
      </w:r>
    </w:p>
    <w:p>
      <w:pPr>
        <w:spacing w:after="100"/>
      </w:pPr>
      <w:r>
        <w:rPr>
          <w:b/>
          <w:bCs/>
          <w:color w:val="FFFFFF"/>
          <w:sz w:val="17"/>
          <w:szCs w:val="17"/>
          <w:shd w:fill="B3261E" w:val="clear"/>
        </w:rPr>
        <w:t xml:space="preserve"> KEY FINDING </w:t>
      </w:r>
      <w:r>
        <w:rPr>
          <w:b/>
          <w:bCs/>
          <w:color w:val="1A1A1A"/>
          <w:sz w:val="22"/>
          <w:szCs w:val="22"/>
        </w:rPr>
        <w:t xml:space="preserve">  None of today's changes are live yet.</w:t>
      </w:r>
    </w:p>
    <w:p>
      <w:pPr>
        <w:spacing w:after="160" w:line="300"/>
      </w:pPr>
      <w:r>
        <w:rPr>
          <w:color w:val="1A1A1A"/>
          <w:sz w:val="21"/>
          <w:szCs w:val="21"/>
        </w:rPr>
        <w:t xml:space="preserve">Signing into the production app at hotel-supply-ops.emergent.host and walking through Login, Inventory, Reports and Users shows the old build still running: no Requestor option on the sign-in screen, no Direct/Stocked column on the Items page, and no PR Outstanding or PO Received Summary tabs on Reports. That means the seed-password bug — rated HIGH in the original review, and already fixed in the code sitting on GitHub — is still active on the live server right now, and will keep silently reverting any password change on the four seed accounts until this build is redeployed. Getting the already-written fix live is a five-minute deploy, not a coding task, which is why it's now the single highest-priority item in this report.</w:t>
      </w:r>
    </w:p>
    <w:p>
      <w:pPr>
        <w:spacing w:after="160" w:line="300"/>
      </w:pPr>
      <w:r>
        <w:rPr>
          <w:color w:val="1A1A1A"/>
          <w:sz w:val="21"/>
          <w:szCs w:val="21"/>
        </w:rPr>
        <w:t xml:space="preserve">This is also confirmed to be a real, actively used system, not a staging demo: 71 purchase orders on file, GRNs and opnames posted with today's date, and named staff accounts beyond the four demo logins. That raises the stakes on the Critical items that are still genuinely open in the code — CORS, the stale test suite, and non-atomic stock updates — and on two new findings surfaced only by looking at the live app: the Low Stock dashboard widget is currently near-meaningless (Section 2.2), and User Management exposes a one-click “Reset transactions” control worth a second look (Section 2.3).</w:t>
      </w:r>
    </w:p>
    <w:p>
      <w:pPr>
        <w:pStyle w:val="Heading1"/>
        <w:pBdr>
          <w:bottom w:val="single" w:color="2F6F62" w:sz="8" w:space="4"/>
        </w:pBdr>
        <w:spacing w:after="160" w:before="360"/>
      </w:pPr>
      <w:r>
        <w:rPr>
          <w:b/>
          <w:bCs/>
          <w:color w:val="2F6F62"/>
          <w:sz w:val="27"/>
          <w:szCs w:val="27"/>
        </w:rPr>
        <w:t xml:space="preserve">Updated fix priority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7350"/>
        <w:gridCol w:w="1500"/>
      </w:tblGrid>
      <w:tr>
        <w:trPr>
          <w:tblHeader/>
        </w:trPr>
        <w:tc>
          <w:tcPr>
            <w:tcW w:type="dxa" w:w="500"/>
            <w:shd w:fill="2F6F62" w:val="clear"/>
            <w:tcMar>
              <w:top w:type="dxa" w:w="100"/>
              <w:left w:type="dxa" w:w="120"/>
              <w:bottom w:type="dxa" w:w="100"/>
              <w:right w:type="dxa" w:w="120"/>
            </w:tcMar>
            <w:vAlign w:val="center"/>
          </w:tcPr>
          <w:p>
            <w:r>
              <w:rPr>
                <w:b/>
                <w:bCs/>
                <w:color w:val="FFFFFF"/>
                <w:sz w:val="19"/>
                <w:szCs w:val="19"/>
              </w:rPr>
              <w:t xml:space="preserve">#</w:t>
            </w:r>
          </w:p>
        </w:tc>
        <w:tc>
          <w:tcPr>
            <w:tcW w:type="dxa" w:w="7350"/>
            <w:shd w:fill="2F6F62" w:val="clear"/>
            <w:tcMar>
              <w:top w:type="dxa" w:w="100"/>
              <w:left w:type="dxa" w:w="120"/>
              <w:bottom w:type="dxa" w:w="100"/>
              <w:right w:type="dxa" w:w="120"/>
            </w:tcMar>
            <w:vAlign w:val="center"/>
          </w:tcPr>
          <w:p>
            <w:r>
              <w:rPr>
                <w:b/>
                <w:bCs/>
                <w:color w:val="FFFFFF"/>
                <w:sz w:val="19"/>
                <w:szCs w:val="19"/>
              </w:rPr>
              <w:t xml:space="preserve">Action</w:t>
            </w:r>
          </w:p>
        </w:tc>
        <w:tc>
          <w:tcPr>
            <w:tcW w:type="dxa" w:w="1500"/>
            <w:shd w:fill="2F6F62" w:val="clear"/>
            <w:tcMar>
              <w:top w:type="dxa" w:w="100"/>
              <w:left w:type="dxa" w:w="120"/>
              <w:bottom w:type="dxa" w:w="100"/>
              <w:right w:type="dxa" w:w="120"/>
            </w:tcMar>
            <w:vAlign w:val="center"/>
          </w:tcPr>
          <w:p>
            <w:r>
              <w:rPr>
                <w:b/>
                <w:bCs/>
                <w:color w:val="FFFFFF"/>
                <w:sz w:val="19"/>
                <w:szCs w:val="19"/>
              </w:rPr>
              <w:t xml:space="preserve">Severity</w:t>
            </w:r>
          </w:p>
        </w:tc>
      </w:tr>
      <w:tr>
        <w:trPr>
          <w:tblHeader w:val="false"/>
        </w:trPr>
        <w:tc>
          <w:tcPr>
            <w:tcW w:type="dxa" w:w="500"/>
            <w:shd w:fill="FFFFFF" w:val="clear"/>
            <w:tcMar>
              <w:top w:type="dxa" w:w="100"/>
              <w:left w:type="dxa" w:w="120"/>
              <w:bottom w:type="dxa" w:w="100"/>
              <w:right w:type="dxa" w:w="120"/>
            </w:tcMar>
            <w:vAlign w:val="center"/>
          </w:tcPr>
          <w:p>
            <w:r>
              <w:rPr>
                <w:b w:val="false"/>
                <w:bCs w:val="false"/>
                <w:color w:val="1A1A1A"/>
                <w:sz w:val="19"/>
                <w:szCs w:val="19"/>
              </w:rPr>
              <w:t xml:space="preserve">1</w:t>
            </w:r>
          </w:p>
        </w:tc>
        <w:tc>
          <w:tcPr>
            <w:tcW w:type="dxa" w:w="7350"/>
            <w:shd w:fill="FFFFFF" w:val="clear"/>
            <w:tcMar>
              <w:top w:type="dxa" w:w="100"/>
              <w:left w:type="dxa" w:w="120"/>
              <w:bottom w:type="dxa" w:w="100"/>
              <w:right w:type="dxa" w:w="120"/>
            </w:tcMar>
            <w:vAlign w:val="center"/>
          </w:tcPr>
          <w:p>
            <w:r>
              <w:rPr>
                <w:b w:val="false"/>
                <w:bCs w:val="false"/>
                <w:color w:val="1A1A1A"/>
                <w:sz w:val="19"/>
                <w:szCs w:val="19"/>
              </w:rPr>
              <w:t xml:space="preserve">Deploy the code already merged to main (seed-password fix, requestor role, direct-item consumption, 2 new reports) to the live app — it is not live yet</w:t>
            </w:r>
          </w:p>
        </w:tc>
        <w:tc>
          <w:tcPr>
            <w:tcW w:type="dxa" w:w="1500"/>
            <w:shd w:fill="FFFFFF" w:val="clear"/>
            <w:tcMar>
              <w:top w:type="dxa" w:w="100"/>
              <w:left w:type="dxa" w:w="120"/>
              <w:bottom w:type="dxa" w:w="100"/>
              <w:right w:type="dxa" w:w="120"/>
            </w:tcMar>
            <w:vAlign w:val="center"/>
          </w:tcPr>
          <w:p>
            <w:r>
              <w:rPr>
                <w:b/>
                <w:bCs/>
                <w:color w:val="B3261E"/>
                <w:sz w:val="19"/>
                <w:szCs w:val="19"/>
              </w:rPr>
              <w:t xml:space="preserve">URGENT</w:t>
            </w:r>
          </w:p>
        </w:tc>
      </w:tr>
      <w:tr>
        <w:trPr>
          <w:tblHeader w:val="false"/>
        </w:trPr>
        <w:tc>
          <w:tcPr>
            <w:tcW w:type="dxa" w:w="500"/>
            <w:shd w:fill="EFF5F3" w:val="clear"/>
            <w:tcMar>
              <w:top w:type="dxa" w:w="100"/>
              <w:left w:type="dxa" w:w="120"/>
              <w:bottom w:type="dxa" w:w="100"/>
              <w:right w:type="dxa" w:w="120"/>
            </w:tcMar>
            <w:vAlign w:val="center"/>
          </w:tcPr>
          <w:p>
            <w:r>
              <w:rPr>
                <w:b w:val="false"/>
                <w:bCs w:val="false"/>
                <w:color w:val="1A1A1A"/>
                <w:sz w:val="19"/>
                <w:szCs w:val="19"/>
              </w:rPr>
              <w:t xml:space="preserve">2</w:t>
            </w:r>
          </w:p>
        </w:tc>
        <w:tc>
          <w:tcPr>
            <w:tcW w:type="dxa" w:w="7350"/>
            <w:shd w:fill="EFF5F3" w:val="clear"/>
            <w:tcMar>
              <w:top w:type="dxa" w:w="100"/>
              <w:left w:type="dxa" w:w="120"/>
              <w:bottom w:type="dxa" w:w="100"/>
              <w:right w:type="dxa" w:w="120"/>
            </w:tcMar>
            <w:vAlign w:val="center"/>
          </w:tcPr>
          <w:p>
            <w:r>
              <w:rPr>
                <w:b w:val="false"/>
                <w:bCs w:val="false"/>
                <w:color w:val="1A1A1A"/>
                <w:sz w:val="19"/>
                <w:szCs w:val="19"/>
              </w:rPr>
              <w:t xml:space="preserve">Lock CORS_ORIGINS to the real frontend origin in the production environment</w:t>
            </w:r>
          </w:p>
        </w:tc>
        <w:tc>
          <w:tcPr>
            <w:tcW w:type="dxa" w:w="1500"/>
            <w:shd w:fill="EFF5F3" w:val="clear"/>
            <w:tcMar>
              <w:top w:type="dxa" w:w="100"/>
              <w:left w:type="dxa" w:w="120"/>
              <w:bottom w:type="dxa" w:w="100"/>
              <w:right w:type="dxa" w:w="120"/>
            </w:tcMar>
            <w:vAlign w:val="center"/>
          </w:tcPr>
          <w:p>
            <w:r>
              <w:rPr>
                <w:b/>
                <w:bCs/>
                <w:color w:val="C0392B"/>
                <w:sz w:val="19"/>
                <w:szCs w:val="19"/>
              </w:rPr>
              <w:t xml:space="preserve">HIGH</w:t>
            </w:r>
          </w:p>
        </w:tc>
      </w:tr>
      <w:tr>
        <w:trPr>
          <w:tblHeader w:val="false"/>
        </w:trPr>
        <w:tc>
          <w:tcPr>
            <w:tcW w:type="dxa" w:w="500"/>
            <w:shd w:fill="FFFFFF" w:val="clear"/>
            <w:tcMar>
              <w:top w:type="dxa" w:w="100"/>
              <w:left w:type="dxa" w:w="120"/>
              <w:bottom w:type="dxa" w:w="100"/>
              <w:right w:type="dxa" w:w="120"/>
            </w:tcMar>
            <w:vAlign w:val="center"/>
          </w:tcPr>
          <w:p>
            <w:r>
              <w:rPr>
                <w:b w:val="false"/>
                <w:bCs w:val="false"/>
                <w:color w:val="1A1A1A"/>
                <w:sz w:val="19"/>
                <w:szCs w:val="19"/>
              </w:rPr>
              <w:t xml:space="preserve">3</w:t>
            </w:r>
          </w:p>
        </w:tc>
        <w:tc>
          <w:tcPr>
            <w:tcW w:type="dxa" w:w="7350"/>
            <w:shd w:fill="FFFFFF" w:val="clear"/>
            <w:tcMar>
              <w:top w:type="dxa" w:w="100"/>
              <w:left w:type="dxa" w:w="120"/>
              <w:bottom w:type="dxa" w:w="100"/>
              <w:right w:type="dxa" w:w="120"/>
            </w:tcMar>
            <w:vAlign w:val="center"/>
          </w:tcPr>
          <w:p>
            <w:r>
              <w:rPr>
                <w:b w:val="false"/>
                <w:bCs w:val="false"/>
                <w:color w:val="1A1A1A"/>
                <w:sz w:val="19"/>
                <w:szCs w:val="19"/>
              </w:rPr>
              <w:t xml:space="preserve">Fix backend_test.py (username login, PR + requestor + direct-item coverage) — unblocks safe change going forward</w:t>
            </w:r>
          </w:p>
        </w:tc>
        <w:tc>
          <w:tcPr>
            <w:tcW w:type="dxa" w:w="1500"/>
            <w:shd w:fill="FFFFFF" w:val="clear"/>
            <w:tcMar>
              <w:top w:type="dxa" w:w="100"/>
              <w:left w:type="dxa" w:w="120"/>
              <w:bottom w:type="dxa" w:w="100"/>
              <w:right w:type="dxa" w:w="120"/>
            </w:tcMar>
            <w:vAlign w:val="center"/>
          </w:tcPr>
          <w:p>
            <w:r>
              <w:rPr>
                <w:b/>
                <w:bCs/>
                <w:color w:val="C0392B"/>
                <w:sz w:val="19"/>
                <w:szCs w:val="19"/>
              </w:rPr>
              <w:t xml:space="preserve">HIGH</w:t>
            </w:r>
          </w:p>
        </w:tc>
      </w:tr>
      <w:tr>
        <w:trPr>
          <w:tblHeader w:val="false"/>
        </w:trPr>
        <w:tc>
          <w:tcPr>
            <w:tcW w:type="dxa" w:w="500"/>
            <w:shd w:fill="EFF5F3" w:val="clear"/>
            <w:tcMar>
              <w:top w:type="dxa" w:w="100"/>
              <w:left w:type="dxa" w:w="120"/>
              <w:bottom w:type="dxa" w:w="100"/>
              <w:right w:type="dxa" w:w="120"/>
            </w:tcMar>
            <w:vAlign w:val="center"/>
          </w:tcPr>
          <w:p>
            <w:r>
              <w:rPr>
                <w:b w:val="false"/>
                <w:bCs w:val="false"/>
                <w:color w:val="1A1A1A"/>
                <w:sz w:val="19"/>
                <w:szCs w:val="19"/>
              </w:rPr>
              <w:t xml:space="preserve">4</w:t>
            </w:r>
          </w:p>
        </w:tc>
        <w:tc>
          <w:tcPr>
            <w:tcW w:type="dxa" w:w="7350"/>
            <w:shd w:fill="EFF5F3" w:val="clear"/>
            <w:tcMar>
              <w:top w:type="dxa" w:w="100"/>
              <w:left w:type="dxa" w:w="120"/>
              <w:bottom w:type="dxa" w:w="100"/>
              <w:right w:type="dxa" w:w="120"/>
            </w:tcMar>
            <w:vAlign w:val="center"/>
          </w:tcPr>
          <w:p>
            <w:r>
              <w:rPr>
                <w:b w:val="false"/>
                <w:bCs w:val="false"/>
                <w:color w:val="1A1A1A"/>
                <w:sz w:val="19"/>
                <w:szCs w:val="19"/>
              </w:rPr>
              <w:t xml:space="preserve">Make stock/cost updates atomic (find_one_and_update, both single and bulk paths)</w:t>
            </w:r>
          </w:p>
        </w:tc>
        <w:tc>
          <w:tcPr>
            <w:tcW w:type="dxa" w:w="1500"/>
            <w:shd w:fill="EFF5F3" w:val="clear"/>
            <w:tcMar>
              <w:top w:type="dxa" w:w="100"/>
              <w:left w:type="dxa" w:w="120"/>
              <w:bottom w:type="dxa" w:w="100"/>
              <w:right w:type="dxa" w:w="120"/>
            </w:tcMar>
            <w:vAlign w:val="center"/>
          </w:tcPr>
          <w:p>
            <w:r>
              <w:rPr>
                <w:b/>
                <w:bCs/>
                <w:color w:val="C0392B"/>
                <w:sz w:val="19"/>
                <w:szCs w:val="19"/>
              </w:rPr>
              <w:t xml:space="preserve">HIGH</w:t>
            </w:r>
          </w:p>
        </w:tc>
      </w:tr>
      <w:tr>
        <w:trPr>
          <w:tblHeader w:val="false"/>
        </w:trPr>
        <w:tc>
          <w:tcPr>
            <w:tcW w:type="dxa" w:w="500"/>
            <w:shd w:fill="FFFFFF" w:val="clear"/>
            <w:tcMar>
              <w:top w:type="dxa" w:w="100"/>
              <w:left w:type="dxa" w:w="120"/>
              <w:bottom w:type="dxa" w:w="100"/>
              <w:right w:type="dxa" w:w="120"/>
            </w:tcMar>
            <w:vAlign w:val="center"/>
          </w:tcPr>
          <w:p>
            <w:r>
              <w:rPr>
                <w:b w:val="false"/>
                <w:bCs w:val="false"/>
                <w:color w:val="1A1A1A"/>
                <w:sz w:val="19"/>
                <w:szCs w:val="19"/>
              </w:rPr>
              <w:t xml:space="preserve">5</w:t>
            </w:r>
          </w:p>
        </w:tc>
        <w:tc>
          <w:tcPr>
            <w:tcW w:type="dxa" w:w="7350"/>
            <w:shd w:fill="FFFFFF" w:val="clear"/>
            <w:tcMar>
              <w:top w:type="dxa" w:w="100"/>
              <w:left w:type="dxa" w:w="120"/>
              <w:bottom w:type="dxa" w:w="100"/>
              <w:right w:type="dxa" w:w="120"/>
            </w:tcMar>
            <w:vAlign w:val="center"/>
          </w:tcPr>
          <w:p>
            <w:r>
              <w:rPr>
                <w:b w:val="false"/>
                <w:bCs w:val="false"/>
                <w:color w:val="1A1A1A"/>
                <w:sz w:val="19"/>
                <w:szCs w:val="19"/>
              </w:rPr>
              <w:t xml:space="preserve">Populate min_stock across the catalog (or change the Low Stock rule) so the dashboard alert is trustworthy</w:t>
            </w:r>
          </w:p>
        </w:tc>
        <w:tc>
          <w:tcPr>
            <w:tcW w:type="dxa" w:w="1500"/>
            <w:shd w:fill="FFFFFF" w:val="clear"/>
            <w:tcMar>
              <w:top w:type="dxa" w:w="100"/>
              <w:left w:type="dxa" w:w="120"/>
              <w:bottom w:type="dxa" w:w="100"/>
              <w:right w:type="dxa" w:w="120"/>
            </w:tcMar>
            <w:vAlign w:val="center"/>
          </w:tcPr>
          <w:p>
            <w:r>
              <w:rPr>
                <w:b/>
                <w:bCs/>
                <w:color w:val="B7791F"/>
                <w:sz w:val="19"/>
                <w:szCs w:val="19"/>
              </w:rPr>
              <w:t xml:space="preserve">MEDIUM</w:t>
            </w:r>
          </w:p>
        </w:tc>
      </w:tr>
      <w:tr>
        <w:trPr>
          <w:tblHeader w:val="false"/>
        </w:trPr>
        <w:tc>
          <w:tcPr>
            <w:tcW w:type="dxa" w:w="500"/>
            <w:shd w:fill="EFF5F3" w:val="clear"/>
            <w:tcMar>
              <w:top w:type="dxa" w:w="100"/>
              <w:left w:type="dxa" w:w="120"/>
              <w:bottom w:type="dxa" w:w="100"/>
              <w:right w:type="dxa" w:w="120"/>
            </w:tcMar>
            <w:vAlign w:val="center"/>
          </w:tcPr>
          <w:p>
            <w:r>
              <w:rPr>
                <w:b w:val="false"/>
                <w:bCs w:val="false"/>
                <w:color w:val="1A1A1A"/>
                <w:sz w:val="19"/>
                <w:szCs w:val="19"/>
              </w:rPr>
              <w:t xml:space="preserve">6</w:t>
            </w:r>
          </w:p>
        </w:tc>
        <w:tc>
          <w:tcPr>
            <w:tcW w:type="dxa" w:w="7350"/>
            <w:shd w:fill="EFF5F3" w:val="clear"/>
            <w:tcMar>
              <w:top w:type="dxa" w:w="100"/>
              <w:left w:type="dxa" w:w="120"/>
              <w:bottom w:type="dxa" w:w="100"/>
              <w:right w:type="dxa" w:w="120"/>
            </w:tcMar>
            <w:vAlign w:val="center"/>
          </w:tcPr>
          <w:p>
            <w:r>
              <w:rPr>
                <w:b w:val="false"/>
                <w:bCs w:val="false"/>
                <w:color w:val="1A1A1A"/>
                <w:sz w:val="19"/>
                <w:szCs w:val="19"/>
              </w:rPr>
              <w:t xml:space="preserve">Confirm what “Reset transactions” does and who can reach it; add a confirmation step if not already present</w:t>
            </w:r>
          </w:p>
        </w:tc>
        <w:tc>
          <w:tcPr>
            <w:tcW w:type="dxa" w:w="1500"/>
            <w:shd w:fill="EFF5F3" w:val="clear"/>
            <w:tcMar>
              <w:top w:type="dxa" w:w="100"/>
              <w:left w:type="dxa" w:w="120"/>
              <w:bottom w:type="dxa" w:w="100"/>
              <w:right w:type="dxa" w:w="120"/>
            </w:tcMar>
            <w:vAlign w:val="center"/>
          </w:tcPr>
          <w:p>
            <w:r>
              <w:rPr>
                <w:b/>
                <w:bCs/>
                <w:color w:val="B7791F"/>
                <w:sz w:val="19"/>
                <w:szCs w:val="19"/>
              </w:rPr>
              <w:t xml:space="preserve">MEDIUM</w:t>
            </w:r>
          </w:p>
        </w:tc>
      </w:tr>
      <w:tr>
        <w:trPr>
          <w:tblHeader w:val="false"/>
        </w:trPr>
        <w:tc>
          <w:tcPr>
            <w:tcW w:type="dxa" w:w="500"/>
            <w:shd w:fill="FFFFFF" w:val="clear"/>
            <w:tcMar>
              <w:top w:type="dxa" w:w="100"/>
              <w:left w:type="dxa" w:w="120"/>
              <w:bottom w:type="dxa" w:w="100"/>
              <w:right w:type="dxa" w:w="120"/>
            </w:tcMar>
            <w:vAlign w:val="center"/>
          </w:tcPr>
          <w:p>
            <w:r>
              <w:rPr>
                <w:b w:val="false"/>
                <w:bCs w:val="false"/>
                <w:color w:val="1A1A1A"/>
                <w:sz w:val="19"/>
                <w:szCs w:val="19"/>
              </w:rPr>
              <w:t xml:space="preserve">7</w:t>
            </w:r>
          </w:p>
        </w:tc>
        <w:tc>
          <w:tcPr>
            <w:tcW w:type="dxa" w:w="7350"/>
            <w:shd w:fill="FFFFFF" w:val="clear"/>
            <w:tcMar>
              <w:top w:type="dxa" w:w="100"/>
              <w:left w:type="dxa" w:w="120"/>
              <w:bottom w:type="dxa" w:w="100"/>
              <w:right w:type="dxa" w:w="120"/>
            </w:tcMar>
            <w:vAlign w:val="center"/>
          </w:tcPr>
          <w:p>
            <w:r>
              <w:rPr>
                <w:b w:val="false"/>
                <w:bCs w:val="false"/>
                <w:color w:val="1A1A1A"/>
                <w:sz w:val="19"/>
                <w:szCs w:val="19"/>
              </w:rPr>
              <w:t xml:space="preserve">Split server.py into routers + a services layer; de-duplicate bulk-upload logic</w:t>
            </w:r>
          </w:p>
        </w:tc>
        <w:tc>
          <w:tcPr>
            <w:tcW w:type="dxa" w:w="1500"/>
            <w:shd w:fill="FFFFFF" w:val="clear"/>
            <w:tcMar>
              <w:top w:type="dxa" w:w="100"/>
              <w:left w:type="dxa" w:w="120"/>
              <w:bottom w:type="dxa" w:w="100"/>
              <w:right w:type="dxa" w:w="120"/>
            </w:tcMar>
            <w:vAlign w:val="center"/>
          </w:tcPr>
          <w:p>
            <w:r>
              <w:rPr>
                <w:b/>
                <w:bCs/>
                <w:color w:val="B7791F"/>
                <w:sz w:val="19"/>
                <w:szCs w:val="19"/>
              </w:rPr>
              <w:t xml:space="preserve">MEDIUM</w:t>
            </w:r>
          </w:p>
        </w:tc>
      </w:tr>
      <w:tr>
        <w:trPr>
          <w:tblHeader w:val="false"/>
        </w:trPr>
        <w:tc>
          <w:tcPr>
            <w:tcW w:type="dxa" w:w="500"/>
            <w:shd w:fill="EFF5F3" w:val="clear"/>
            <w:tcMar>
              <w:top w:type="dxa" w:w="100"/>
              <w:left w:type="dxa" w:w="120"/>
              <w:bottom w:type="dxa" w:w="100"/>
              <w:right w:type="dxa" w:w="120"/>
            </w:tcMar>
            <w:vAlign w:val="center"/>
          </w:tcPr>
          <w:p>
            <w:r>
              <w:rPr>
                <w:b w:val="false"/>
                <w:bCs w:val="false"/>
                <w:color w:val="1A1A1A"/>
                <w:sz w:val="19"/>
                <w:szCs w:val="19"/>
              </w:rPr>
              <w:t xml:space="preserve">8</w:t>
            </w:r>
          </w:p>
        </w:tc>
        <w:tc>
          <w:tcPr>
            <w:tcW w:type="dxa" w:w="7350"/>
            <w:shd w:fill="EFF5F3" w:val="clear"/>
            <w:tcMar>
              <w:top w:type="dxa" w:w="100"/>
              <w:left w:type="dxa" w:w="120"/>
              <w:bottom w:type="dxa" w:w="100"/>
              <w:right w:type="dxa" w:w="120"/>
            </w:tcMar>
            <w:vAlign w:val="center"/>
          </w:tcPr>
          <w:p>
            <w:r>
              <w:rPr>
                <w:b w:val="false"/>
                <w:bCs w:val="false"/>
                <w:color w:val="1A1A1A"/>
                <w:sz w:val="19"/>
                <w:szCs w:val="19"/>
              </w:rPr>
              <w:t xml:space="preserve">Real pagination on list/report endpoints</w:t>
            </w:r>
          </w:p>
        </w:tc>
        <w:tc>
          <w:tcPr>
            <w:tcW w:type="dxa" w:w="1500"/>
            <w:shd w:fill="EFF5F3" w:val="clear"/>
            <w:tcMar>
              <w:top w:type="dxa" w:w="100"/>
              <w:left w:type="dxa" w:w="120"/>
              <w:bottom w:type="dxa" w:w="100"/>
              <w:right w:type="dxa" w:w="120"/>
            </w:tcMar>
            <w:vAlign w:val="center"/>
          </w:tcPr>
          <w:p>
            <w:r>
              <w:rPr>
                <w:b/>
                <w:bCs/>
                <w:color w:val="B7791F"/>
                <w:sz w:val="19"/>
                <w:szCs w:val="19"/>
              </w:rPr>
              <w:t xml:space="preserve">MEDIUM</w:t>
            </w:r>
          </w:p>
        </w:tc>
      </w:tr>
      <w:tr>
        <w:trPr>
          <w:tblHeader w:val="false"/>
        </w:trPr>
        <w:tc>
          <w:tcPr>
            <w:tcW w:type="dxa" w:w="500"/>
            <w:shd w:fill="FFFFFF" w:val="clear"/>
            <w:tcMar>
              <w:top w:type="dxa" w:w="100"/>
              <w:left w:type="dxa" w:w="120"/>
              <w:bottom w:type="dxa" w:w="100"/>
              <w:right w:type="dxa" w:w="120"/>
            </w:tcMar>
            <w:vAlign w:val="center"/>
          </w:tcPr>
          <w:p>
            <w:r>
              <w:rPr>
                <w:b w:val="false"/>
                <w:bCs w:val="false"/>
                <w:color w:val="1A1A1A"/>
                <w:sz w:val="19"/>
                <w:szCs w:val="19"/>
              </w:rPr>
              <w:t xml:space="preserve">9</w:t>
            </w:r>
          </w:p>
        </w:tc>
        <w:tc>
          <w:tcPr>
            <w:tcW w:type="dxa" w:w="7350"/>
            <w:shd w:fill="FFFFFF" w:val="clear"/>
            <w:tcMar>
              <w:top w:type="dxa" w:w="100"/>
              <w:left w:type="dxa" w:w="120"/>
              <w:bottom w:type="dxa" w:w="100"/>
              <w:right w:type="dxa" w:w="120"/>
            </w:tcMar>
            <w:vAlign w:val="center"/>
          </w:tcPr>
          <w:p>
            <w:r>
              <w:rPr>
                <w:b w:val="false"/>
                <w:bCs w:val="false"/>
                <w:color w:val="1A1A1A"/>
                <w:sz w:val="19"/>
                <w:szCs w:val="19"/>
              </w:rPr>
              <w:t xml:space="preserve">Global 401 handler on the frontend; tighten password policy on admin resets</w:t>
            </w:r>
          </w:p>
        </w:tc>
        <w:tc>
          <w:tcPr>
            <w:tcW w:type="dxa" w:w="1500"/>
            <w:shd w:fill="FFFFFF" w:val="clear"/>
            <w:tcMar>
              <w:top w:type="dxa" w:w="100"/>
              <w:left w:type="dxa" w:w="120"/>
              <w:bottom w:type="dxa" w:w="100"/>
              <w:right w:type="dxa" w:w="120"/>
            </w:tcMar>
            <w:vAlign w:val="center"/>
          </w:tcPr>
          <w:p>
            <w:r>
              <w:rPr>
                <w:b/>
                <w:bCs/>
                <w:color w:val="B7791F"/>
                <w:sz w:val="19"/>
                <w:szCs w:val="19"/>
              </w:rPr>
              <w:t xml:space="preserve">MEDIUM</w:t>
            </w:r>
          </w:p>
        </w:tc>
      </w:tr>
      <w:tr>
        <w:trPr>
          <w:tblHeader w:val="false"/>
        </w:trPr>
        <w:tc>
          <w:tcPr>
            <w:tcW w:type="dxa" w:w="500"/>
            <w:shd w:fill="EFF5F3" w:val="clear"/>
            <w:tcMar>
              <w:top w:type="dxa" w:w="100"/>
              <w:left w:type="dxa" w:w="120"/>
              <w:bottom w:type="dxa" w:w="100"/>
              <w:right w:type="dxa" w:w="120"/>
            </w:tcMar>
            <w:vAlign w:val="center"/>
          </w:tcPr>
          <w:p>
            <w:r>
              <w:rPr>
                <w:b w:val="false"/>
                <w:bCs w:val="false"/>
                <w:color w:val="1A1A1A"/>
                <w:sz w:val="19"/>
                <w:szCs w:val="19"/>
              </w:rPr>
              <w:t xml:space="preserve">10</w:t>
            </w:r>
          </w:p>
        </w:tc>
        <w:tc>
          <w:tcPr>
            <w:tcW w:type="dxa" w:w="7350"/>
            <w:shd w:fill="EFF5F3" w:val="clear"/>
            <w:tcMar>
              <w:top w:type="dxa" w:w="100"/>
              <w:left w:type="dxa" w:w="120"/>
              <w:bottom w:type="dxa" w:w="100"/>
              <w:right w:type="dxa" w:w="120"/>
            </w:tcMar>
            <w:vAlign w:val="center"/>
          </w:tcPr>
          <w:p>
            <w:r>
              <w:rPr>
                <w:b w:val="false"/>
                <w:bCs w:val="false"/>
                <w:color w:val="1A1A1A"/>
                <w:sz w:val="19"/>
                <w:szCs w:val="19"/>
              </w:rPr>
              <w:t xml:space="preserve">Housekeeping: HINTO→Lago Bali naming, dependency audit, README</w:t>
            </w:r>
          </w:p>
        </w:tc>
        <w:tc>
          <w:tcPr>
            <w:tcW w:type="dxa" w:w="1500"/>
            <w:shd w:fill="EFF5F3" w:val="clear"/>
            <w:tcMar>
              <w:top w:type="dxa" w:w="100"/>
              <w:left w:type="dxa" w:w="120"/>
              <w:bottom w:type="dxa" w:w="100"/>
              <w:right w:type="dxa" w:w="120"/>
            </w:tcMar>
            <w:vAlign w:val="center"/>
          </w:tcPr>
          <w:p>
            <w:r>
              <w:rPr>
                <w:b/>
                <w:bCs/>
                <w:color w:val="595959"/>
                <w:sz w:val="19"/>
                <w:szCs w:val="19"/>
              </w:rPr>
              <w:t xml:space="preserve">LOW</w:t>
            </w:r>
          </w:p>
        </w:tc>
      </w:tr>
    </w:tbl>
    <w:p>
      <w:pPr>
        <w:spacing w:before="200"/>
      </w:pPr>
    </w:p>
    <w:p>
      <w:pPr>
        <w:pStyle w:val="Heading1"/>
        <w:pBdr>
          <w:bottom w:val="single" w:color="2F6F62" w:sz="8" w:space="4"/>
        </w:pBdr>
        <w:spacing w:after="160" w:before="360"/>
      </w:pPr>
      <w:r>
        <w:rPr>
          <w:b/>
          <w:bCs/>
          <w:color w:val="2F6F62"/>
          <w:sz w:val="27"/>
          <w:szCs w:val="27"/>
        </w:rPr>
        <w:t xml:space="preserve">1. Production verification (new)</w:t>
      </w:r>
    </w:p>
    <w:p>
      <w:pPr>
        <w:spacing w:after="160" w:line="300"/>
      </w:pPr>
      <w:r>
        <w:rPr>
          <w:color w:val="1A1A1A"/>
          <w:sz w:val="21"/>
          <w:szCs w:val="21"/>
        </w:rPr>
        <w:t xml:space="preserve">Everything in this section comes from directly using the live app as Admin on 31 Aug 2026, cross-checked against the code and git history in the connected project folder.</w:t>
      </w:r>
    </w:p>
    <w:p>
      <w:pPr>
        <w:pStyle w:val="Heading2"/>
        <w:spacing w:after="100" w:before="260"/>
      </w:pPr>
      <w:r>
        <w:rPr>
          <w:b/>
          <w:bCs/>
          <w:color w:val="B3261E"/>
          <w:sz w:val="23"/>
          <w:szCs w:val="23"/>
        </w:rPr>
        <w:t xml:space="preserve">1.1  Deployed build is behind the repository</w:t>
      </w:r>
    </w:p>
    <w:p>
      <w:pPr>
        <w:spacing w:after="160" w:line="300"/>
      </w:pPr>
      <w:r>
        <w:rPr>
          <w:color w:val="1A1A1A"/>
          <w:sz w:val="21"/>
          <w:szCs w:val="21"/>
        </w:rPr>
        <w:t xml:space="preserve">Local git history shows: clone → commit “update 31 aug 2026” → fast-forward pull → both main and origin/main resolving to the same commit. In other words, today's four rounds of changes are merged and pushed — the code is not stuck locally. But the live app was checked feature-by-feature and shows the pre-fix behaviour on every count:</w:t>
      </w:r>
    </w:p>
    <w:p>
      <w:pPr>
        <w:pStyle w:val="ListParagraph"/>
        <w:numPr>
          <w:ilvl w:val="0"/>
          <w:numId w:val="2"/>
        </w:numPr>
        <w:spacing w:after="90" w:line="280"/>
      </w:pPr>
      <w:r>
        <w:rPr>
          <w:color w:val="1A1A1A"/>
          <w:sz w:val="21"/>
          <w:szCs w:val="21"/>
        </w:rPr>
        <w:t xml:space="preserve">Sign-in screen lists only Admin / Purchasing / Warehouse / Finance demo accounts — no Requestor.</w:t>
      </w:r>
    </w:p>
    <w:p>
      <w:pPr>
        <w:pStyle w:val="ListParagraph"/>
        <w:numPr>
          <w:ilvl w:val="0"/>
          <w:numId w:val="2"/>
        </w:numPr>
        <w:spacing w:after="90" w:line="280"/>
      </w:pPr>
      <w:r>
        <w:rPr>
          <w:color w:val="1A1A1A"/>
          <w:sz w:val="21"/>
          <w:szCs w:val="21"/>
        </w:rPr>
        <w:t xml:space="preserve">Items page has no Direct/Stocked column or filter.</w:t>
      </w:r>
    </w:p>
    <w:p>
      <w:pPr>
        <w:pStyle w:val="ListParagraph"/>
        <w:numPr>
          <w:ilvl w:val="0"/>
          <w:numId w:val="2"/>
        </w:numPr>
        <w:spacing w:after="90" w:line="280"/>
      </w:pPr>
      <w:r>
        <w:rPr>
          <w:color w:val="1A1A1A"/>
          <w:sz w:val="21"/>
          <w:szCs w:val="21"/>
        </w:rPr>
        <w:t xml:space="preserve">Reports page has the original tabs (PO per Supplier, PO Outstanding, Stock Balance, Stock Movement, Flash Cost, Low Stock, Top Consumed) but not the new PR Outstanding or PO Received Summary.</w:t>
      </w:r>
    </w:p>
    <w:p>
      <w:pPr>
        <w:pBdr>
          <w:left w:val="single" w:color="B3261E" w:sz="16" w:space="8"/>
        </w:pBdr>
        <w:spacing w:after="200" w:before="80"/>
        <w:ind w:left="360"/>
      </w:pPr>
      <w:r>
        <w:rPr>
          <w:b/>
          <w:bCs/>
          <w:color w:val="B3261E"/>
          <w:sz w:val="20"/>
          <w:szCs w:val="20"/>
        </w:rPr>
        <w:t xml:space="preserve">Live status:  </w:t>
      </w:r>
      <w:r>
        <w:rPr>
          <w:color w:val="1A1A1A"/>
          <w:sz w:val="20"/>
          <w:szCs w:val="20"/>
        </w:rPr>
        <w:t xml:space="preserve">Not deployed. The seed-password revert bug (original Critical #1) is still live in production.</w:t>
      </w:r>
    </w:p>
    <w:p>
      <w:pPr>
        <w:pBdr>
          <w:left w:val="single" w:color="2F6F62" w:sz="16" w:space="8"/>
        </w:pBdr>
        <w:spacing w:after="200" w:before="80"/>
        <w:ind w:left="360"/>
      </w:pPr>
      <w:r>
        <w:rPr>
          <w:b/>
          <w:bCs/>
          <w:color w:val="2F6F62"/>
          <w:sz w:val="20"/>
          <w:szCs w:val="20"/>
        </w:rPr>
        <w:t xml:space="preserve">Fix:  </w:t>
      </w:r>
      <w:r>
        <w:rPr>
          <w:color w:val="1A1A1A"/>
          <w:sz w:val="20"/>
          <w:szCs w:val="20"/>
        </w:rPr>
        <w:t xml:space="preserve">Redeploy the current main branch to the Emergent-hosted app (or trigger whatever the platform's publish/deploy step is) and re-run this same walkthrough afterward to confirm all four changes appear. Until then, treat the original review's Critical #1 as still open in the environment that matters.</w:t>
      </w:r>
    </w:p>
    <w:p>
      <w:pPr>
        <w:pStyle w:val="Heading2"/>
        <w:spacing w:after="100" w:before="260"/>
      </w:pPr>
      <w:r>
        <w:rPr>
          <w:b/>
          <w:bCs/>
          <w:color w:val="B7791F"/>
          <w:sz w:val="23"/>
          <w:szCs w:val="23"/>
        </w:rPr>
        <w:t xml:space="preserve">1.2  Low Stock alert is dominated by unconfigured items, not real shortages</w:t>
      </w:r>
    </w:p>
    <w:p>
      <w:pPr>
        <w:spacing w:after="160" w:line="300"/>
      </w:pPr>
      <w:r>
        <w:rPr>
          <w:color w:val="1A1A1A"/>
          <w:sz w:val="21"/>
          <w:szCs w:val="21"/>
        </w:rPr>
        <w:t xml:space="preserve">The live dashboard reports 409 items as “Low stock.” The Items list shows many of them at 0 stock with “min. 0” as their threshold. The rule in server.py is stock ≤ min_stock, and min_stock defaults to 0 for any item where it was never set — so an item that simply has never been stocked at that outlet (0 ≤ 0) is flagged identically to an item that genuinely ran out below a real reorder point. With hundreds of items apparently sharing an unset min_stock, the count of 409 tells a manager almost nothing actionable today.</w:t>
      </w:r>
    </w:p>
    <w:p>
      <w:pPr>
        <w:pBdr>
          <w:left w:val="single" w:color="2F6F62" w:sz="16" w:space="8"/>
        </w:pBdr>
        <w:spacing w:after="200" w:before="80"/>
        <w:ind w:left="360"/>
      </w:pPr>
      <w:r>
        <w:rPr>
          <w:b/>
          <w:bCs/>
          <w:color w:val="2F6F62"/>
          <w:sz w:val="20"/>
          <w:szCs w:val="20"/>
        </w:rPr>
        <w:t xml:space="preserve">Fix:  </w:t>
      </w:r>
      <w:r>
        <w:rPr>
          <w:color w:val="1A1A1A"/>
          <w:sz w:val="20"/>
          <w:szCs w:val="20"/>
        </w:rPr>
        <w:t xml:space="preserve">Either backfill min_stock for the active catalog (even a rough reorder point beats 0), or change the rule so an item with min_stock == 0 (never configured) is excluded from the Low Stock count instead of trivially satisfying it. Either fix turns this from a number nobody trusts into one they'll actually act on.</w:t>
      </w:r>
    </w:p>
    <w:p>
      <w:pPr>
        <w:pStyle w:val="Heading2"/>
        <w:spacing w:after="100" w:before="260"/>
      </w:pPr>
      <w:r>
        <w:rPr>
          <w:b/>
          <w:bCs/>
          <w:color w:val="B7791F"/>
          <w:sz w:val="23"/>
          <w:szCs w:val="23"/>
        </w:rPr>
        <w:t xml:space="preserve">1.3  “Reset transactions” is one click away on the Users page</w:t>
      </w:r>
    </w:p>
    <w:p>
      <w:pPr>
        <w:spacing w:after="160" w:line="300"/>
      </w:pPr>
      <w:r>
        <w:rPr>
          <w:color w:val="1A1A1A"/>
          <w:sz w:val="21"/>
          <w:szCs w:val="21"/>
        </w:rPr>
        <w:t xml:space="preserve">User Management (as Admin) shows a “Reset transactions” button at the top of the page, next to “Add user,” with no description of scope visible on the page itself. Given the name and its placement among account-administration controls, it reads like it could clear transactional data (orders, receivings, issues) rather than user accounts. This was not clicked during this review — the live database has 71 real POs and daily GRNs, and testing a destructively-named control against production data isn't worth the risk.</w:t>
      </w:r>
    </w:p>
    <w:p>
      <w:pPr>
        <w:pBdr>
          <w:left w:val="single" w:color="2F6F62" w:sz="16" w:space="8"/>
        </w:pBdr>
        <w:spacing w:after="200" w:before="80"/>
        <w:ind w:left="360"/>
      </w:pPr>
      <w:r>
        <w:rPr>
          <w:b/>
          <w:bCs/>
          <w:color w:val="2F6F62"/>
          <w:sz w:val="20"/>
          <w:szCs w:val="20"/>
        </w:rPr>
        <w:t xml:space="preserve">Fix:  </w:t>
      </w:r>
      <w:r>
        <w:rPr>
          <w:color w:val="1A1A1A"/>
          <w:sz w:val="20"/>
          <w:szCs w:val="20"/>
        </w:rPr>
        <w:t xml:space="preserve">Confirm in the code exactly what this button does and who can reach it, then either add a confirmation dialog stating the scope explicitly (“This deletes all orders/receivings/issues — type CONFIRM”) if it doesn't already have one, or rename/relocate it if it's meant only for demo-data resets during setup and has no place on a production User Management screen.</w:t>
      </w:r>
    </w:p>
    <w:p>
      <w:pPr>
        <w:pStyle w:val="Heading2"/>
        <w:spacing w:after="100" w:before="260"/>
      </w:pPr>
      <w:r>
        <w:rPr>
          <w:b/>
          <w:bCs/>
          <w:color w:val="2F6F62"/>
          <w:sz w:val="23"/>
          <w:szCs w:val="23"/>
        </w:rPr>
        <w:t xml:space="preserve">1.4  What's confirmed working live</w:t>
      </w:r>
    </w:p>
    <w:p>
      <w:pPr>
        <w:pStyle w:val="ListParagraph"/>
        <w:numPr>
          <w:ilvl w:val="0"/>
          <w:numId w:val="2"/>
        </w:numPr>
        <w:spacing w:after="90" w:line="280"/>
      </w:pPr>
      <w:r>
        <w:rPr>
          <w:color w:val="1A1A1A"/>
          <w:sz w:val="21"/>
          <w:szCs w:val="21"/>
        </w:rPr>
        <w:t xml:space="preserve">Admin login, Dashboard, Inventory, Purchase Requests, Purchase Orders and User Management all loaded cleanly with zero console errors and only expected 200-status API calls.</w:t>
      </w:r>
    </w:p>
    <w:p>
      <w:pPr>
        <w:pStyle w:val="ListParagraph"/>
        <w:numPr>
          <w:ilvl w:val="0"/>
          <w:numId w:val="2"/>
        </w:numPr>
        <w:spacing w:after="90" w:line="280"/>
      </w:pPr>
      <w:r>
        <w:rPr>
          <w:color w:val="1A1A1A"/>
          <w:sz w:val="21"/>
          <w:szCs w:val="21"/>
        </w:rPr>
        <w:t xml:space="preserve">Purchase Request module: 3 PRs on file, all correctly showing “Converted to PO” — the approval-to-conversion path works end to end in production.</w:t>
      </w:r>
    </w:p>
    <w:p>
      <w:pPr>
        <w:pStyle w:val="ListParagraph"/>
        <w:numPr>
          <w:ilvl w:val="0"/>
          <w:numId w:val="2"/>
        </w:numPr>
        <w:spacing w:after="90" w:line="280"/>
      </w:pPr>
      <w:r>
        <w:rPr>
          <w:color w:val="1A1A1A"/>
          <w:sz w:val="21"/>
          <w:szCs w:val="21"/>
        </w:rPr>
        <w:t xml:space="preserve">Purchase Order module: 71 POs on file with correct partial-receiving percentages displayed, matching the “partial receiving is solid” finding from the original code review.</w:t>
      </w:r>
    </w:p>
    <w:p>
      <w:pPr>
        <w:pStyle w:val="ListParagraph"/>
        <w:numPr>
          <w:ilvl w:val="0"/>
          <w:numId w:val="2"/>
        </w:numPr>
        <w:spacing w:after="90" w:line="280"/>
      </w:pPr>
      <w:r>
        <w:rPr>
          <w:color w:val="1A1A1A"/>
          <w:sz w:val="21"/>
          <w:szCs w:val="21"/>
        </w:rPr>
        <w:t xml:space="preserve">The configurable PR approval flow (Users page) is live and currently set to a single-step Requester → Admin chain.</w:t>
      </w:r>
    </w:p>
    <w:p>
      <w:pPr>
        <w:pStyle w:val="Heading1"/>
        <w:pBdr>
          <w:bottom w:val="single" w:color="2F6F62" w:sz="8" w:space="4"/>
        </w:pBdr>
        <w:spacing w:after="160" w:before="360"/>
      </w:pPr>
      <w:r>
        <w:rPr>
          <w:b/>
          <w:bCs/>
          <w:color w:val="2F6F62"/>
          <w:sz w:val="27"/>
          <w:szCs w:val="27"/>
        </w:rPr>
        <w:t xml:space="preserve">2. Remaining critical issues (from code review, still open)</w:t>
      </w:r>
    </w:p>
    <w:p>
      <w:pPr>
        <w:spacing w:after="160" w:line="300"/>
      </w:pPr>
      <w:r>
        <w:rPr>
          <w:color w:val="1A1A1A"/>
          <w:sz w:val="21"/>
          <w:szCs w:val="21"/>
        </w:rPr>
        <w:t xml:space="preserve">These three are unchanged from the original review — nothing was fixed for them today, and they cannot be verified purely by browsing the live UI. Full detail (file/line references and fixes) is in the original Lago_Bali_System_Review.docx; summarized here for a single point of reference.</w:t>
      </w:r>
    </w:p>
    <w:p>
      <w:pPr>
        <w:spacing w:after="100"/>
      </w:pPr>
      <w:r>
        <w:rPr>
          <w:b/>
          <w:bCs/>
          <w:color w:val="FFFFFF"/>
          <w:sz w:val="17"/>
          <w:szCs w:val="17"/>
          <w:shd w:fill="C0392B" w:val="clear"/>
        </w:rPr>
        <w:t xml:space="preserve"> HIGH </w:t>
      </w:r>
      <w:r>
        <w:rPr>
          <w:b/>
          <w:bCs/>
          <w:color w:val="1A1A1A"/>
          <w:sz w:val="22"/>
          <w:szCs w:val="22"/>
        </w:rPr>
        <w:t xml:space="preserve">  CORS allows any origin while credentials are enabled</w:t>
      </w:r>
    </w:p>
    <w:p>
      <w:pPr>
        <w:spacing w:after="160" w:line="300"/>
      </w:pPr>
      <w:r>
        <w:rPr>
          <w:color w:val="1A1A1A"/>
          <w:sz w:val="21"/>
          <w:szCs w:val="21"/>
        </w:rPr>
        <w:t xml:space="preserve">allow_origins defaults to “*” when CORS_ORIGINS is unset, combined with allow_credentials=True. Not independently verifiable from inside the app itself (frontend and API share an origin here), so this needs a direct check of the CORS_ORIGINS environment variable in the production deployment config.</w:t>
      </w:r>
    </w:p>
    <w:p>
      <w:pPr>
        <w:pBdr>
          <w:left w:val="single" w:color="2F6F62" w:sz="16" w:space="8"/>
        </w:pBdr>
        <w:spacing w:after="200" w:before="80"/>
        <w:ind w:left="360"/>
      </w:pPr>
      <w:r>
        <w:rPr>
          <w:b/>
          <w:bCs/>
          <w:color w:val="2F6F62"/>
          <w:sz w:val="20"/>
          <w:szCs w:val="20"/>
        </w:rPr>
        <w:t xml:space="preserve">Fix:  </w:t>
      </w:r>
      <w:r>
        <w:rPr>
          <w:color w:val="1A1A1A"/>
          <w:sz w:val="20"/>
          <w:szCs w:val="20"/>
        </w:rPr>
        <w:t xml:space="preserve">Set CORS_ORIGINS explicitly to the production frontend origin, and have the app refuse to start with allow_credentials=True and an empty/wildcard origin list.</w:t>
      </w:r>
    </w:p>
    <w:p>
      <w:pPr>
        <w:spacing w:after="100"/>
      </w:pPr>
      <w:r>
        <w:rPr>
          <w:b/>
          <w:bCs/>
          <w:color w:val="FFFFFF"/>
          <w:sz w:val="17"/>
          <w:szCs w:val="17"/>
          <w:shd w:fill="C0392B" w:val="clear"/>
        </w:rPr>
        <w:t xml:space="preserve"> HIGH </w:t>
      </w:r>
      <w:r>
        <w:rPr>
          <w:b/>
          <w:bCs/>
          <w:color w:val="1A1A1A"/>
          <w:sz w:val="22"/>
          <w:szCs w:val="22"/>
        </w:rPr>
        <w:t xml:space="preserve">  Backend test suite no longer matches the API</w:t>
      </w:r>
    </w:p>
    <w:p>
      <w:pPr>
        <w:spacing w:after="160" w:line="300"/>
      </w:pPr>
      <w:r>
        <w:rPr>
          <w:color w:val="1A1A1A"/>
          <w:sz w:val="21"/>
          <w:szCs w:val="21"/>
        </w:rPr>
        <w:t xml:space="preserve">backend_test.py still logs in with email instead of username, so pytest fails before a single real assertion runs, and there is zero coverage of the PR module, the new Requestor role, or direct-item consumption.</w:t>
      </w:r>
    </w:p>
    <w:p>
      <w:pPr>
        <w:pBdr>
          <w:left w:val="single" w:color="2F6F62" w:sz="16" w:space="8"/>
        </w:pBdr>
        <w:spacing w:after="200" w:before="80"/>
        <w:ind w:left="360"/>
      </w:pPr>
      <w:r>
        <w:rPr>
          <w:b/>
          <w:bCs/>
          <w:color w:val="2F6F62"/>
          <w:sz w:val="20"/>
          <w:szCs w:val="20"/>
        </w:rPr>
        <w:t xml:space="preserve">Fix:  </w:t>
      </w:r>
      <w:r>
        <w:rPr>
          <w:color w:val="1A1A1A"/>
          <w:sz w:val="20"/>
          <w:szCs w:val="20"/>
        </w:rPr>
        <w:t xml:space="preserve">Update fixtures to username-based login and add coverage for PR approval, Requestor-role restrictions, and direct-item receiving before the next round of changes.</w:t>
      </w:r>
    </w:p>
    <w:p>
      <w:pPr>
        <w:spacing w:after="100"/>
      </w:pPr>
      <w:r>
        <w:rPr>
          <w:b/>
          <w:bCs/>
          <w:color w:val="FFFFFF"/>
          <w:sz w:val="17"/>
          <w:szCs w:val="17"/>
          <w:shd w:fill="C0392B" w:val="clear"/>
        </w:rPr>
        <w:t xml:space="preserve"> HIGH </w:t>
      </w:r>
      <w:r>
        <w:rPr>
          <w:b/>
          <w:bCs/>
          <w:color w:val="1A1A1A"/>
          <w:sz w:val="22"/>
          <w:szCs w:val="22"/>
        </w:rPr>
        <w:t xml:space="preserve">  Stock/cost updates are not atomic</w:t>
      </w:r>
    </w:p>
    <w:p>
      <w:pPr>
        <w:spacing w:after="160" w:line="300"/>
      </w:pPr>
      <w:r>
        <w:rPr>
          <w:color w:val="1A1A1A"/>
          <w:sz w:val="21"/>
          <w:szCs w:val="21"/>
        </w:rPr>
        <w:t xml:space="preserve">Receiving and issuing both read-then-write stock and weighted-average cost with no transaction or optimistic lock; concurrent operations on the same item can silently corrupt stock counts. This now also applies to the new apply_receiving_line direct-item path, since it's built on the same weighted-average function.</w:t>
      </w:r>
    </w:p>
    <w:p>
      <w:pPr>
        <w:pBdr>
          <w:left w:val="single" w:color="2F6F62" w:sz="16" w:space="8"/>
        </w:pBdr>
        <w:spacing w:after="200" w:before="80"/>
        <w:ind w:left="360"/>
      </w:pPr>
      <w:r>
        <w:rPr>
          <w:b/>
          <w:bCs/>
          <w:color w:val="2F6F62"/>
          <w:sz w:val="20"/>
          <w:szCs w:val="20"/>
        </w:rPr>
        <w:t xml:space="preserve">Fix:  </w:t>
      </w:r>
      <w:r>
        <w:rPr>
          <w:color w:val="1A1A1A"/>
          <w:sz w:val="20"/>
          <w:szCs w:val="20"/>
        </w:rPr>
        <w:t xml:space="preserve">Use MongoDB's atomic find_one_and_update with $inc, or a short transaction spanning read-compute-write, in every stock-mutating path (single-item and bulk).</w:t>
      </w:r>
    </w:p>
    <w:p>
      <w:pPr>
        <w:pStyle w:val="Heading1"/>
        <w:pBdr>
          <w:bottom w:val="single" w:color="2F6F62" w:sz="8" w:space="4"/>
        </w:pBdr>
        <w:spacing w:after="160" w:before="360"/>
      </w:pPr>
      <w:r>
        <w:rPr>
          <w:b/>
          <w:bCs/>
          <w:color w:val="2F6F62"/>
          <w:sz w:val="27"/>
          <w:szCs w:val="27"/>
        </w:rPr>
        <w:t xml:space="preserve">3. Architecture, medium &amp; low findings (condensed)</w:t>
      </w:r>
    </w:p>
    <w:p>
      <w:pPr>
        <w:spacing w:after="160" w:line="300"/>
      </w:pPr>
      <w:r>
        <w:rPr>
          <w:color w:val="1A1A1A"/>
          <w:sz w:val="21"/>
          <w:szCs w:val="21"/>
        </w:rPr>
        <w:t xml:space="preserve">Unchanged from the original review — see that document for full file/line detail and suggested fixes:</w:t>
      </w:r>
    </w:p>
    <w:p>
      <w:pPr>
        <w:pStyle w:val="ListParagraph"/>
        <w:numPr>
          <w:ilvl w:val="0"/>
          <w:numId w:val="2"/>
        </w:numPr>
        <w:spacing w:after="90" w:line="280"/>
      </w:pPr>
      <w:r>
        <w:rPr>
          <w:color w:val="1A1A1A"/>
          <w:sz w:val="21"/>
          <w:szCs w:val="21"/>
        </w:rPr>
        <w:t xml:space="preserve">server.py is a single ~3,000-line file (already on the project's own PRD backlog) — recommend splitting into routers/ + a services/ layer.</w:t>
      </w:r>
    </w:p>
    <w:p>
      <w:pPr>
        <w:pStyle w:val="ListParagraph"/>
        <w:numPr>
          <w:ilvl w:val="0"/>
          <w:numId w:val="2"/>
        </w:numPr>
        <w:spacing w:after="90" w:line="280"/>
      </w:pPr>
      <w:r>
        <w:rPr>
          <w:color w:val="1A1A1A"/>
          <w:sz w:val="21"/>
          <w:szCs w:val="21"/>
        </w:rPr>
        <w:t xml:space="preserve">Business logic is duplicated between single-create and bulk-upload endpoints (orders, receivings, issues, PRs) — today's direct-item logic had to be added to both paths, reconfirming the pattern is worth eliminating.</w:t>
      </w:r>
    </w:p>
    <w:p>
      <w:pPr>
        <w:pStyle w:val="ListParagraph"/>
        <w:numPr>
          <w:ilvl w:val="0"/>
          <w:numId w:val="2"/>
        </w:numPr>
        <w:spacing w:after="90" w:line="280"/>
      </w:pPr>
      <w:r>
        <w:rPr>
          <w:color w:val="1A1A1A"/>
          <w:sz w:val="21"/>
          <w:szCs w:val="21"/>
        </w:rPr>
        <w:t xml:space="preserve">Hard-coded .to_list(500–5000) caps with no real pagination on nearly every list/report endpoint.</w:t>
      </w:r>
    </w:p>
    <w:p>
      <w:pPr>
        <w:pStyle w:val="ListParagraph"/>
        <w:numPr>
          <w:ilvl w:val="0"/>
          <w:numId w:val="2"/>
        </w:numPr>
        <w:spacing w:after="90" w:line="280"/>
      </w:pPr>
      <w:r>
        <w:rPr>
          <w:color w:val="1A1A1A"/>
          <w:sz w:val="21"/>
          <w:szCs w:val="21"/>
        </w:rPr>
        <w:t xml:space="preserve">N+1 queries in report_stock_movement() and list_recipes().</w:t>
      </w:r>
    </w:p>
    <w:p>
      <w:pPr>
        <w:pStyle w:val="ListParagraph"/>
        <w:numPr>
          <w:ilvl w:val="0"/>
          <w:numId w:val="2"/>
        </w:numPr>
        <w:spacing w:after="90" w:line="280"/>
      </w:pPr>
      <w:r>
        <w:rPr>
          <w:color w:val="1A1A1A"/>
          <w:sz w:val="21"/>
          <w:szCs w:val="21"/>
        </w:rPr>
        <w:t xml:space="preserve">PR attachments stored as base64 inside MongoDB documents; boto3 is a listed dependency but unused.</w:t>
      </w:r>
    </w:p>
    <w:p>
      <w:pPr>
        <w:pStyle w:val="ListParagraph"/>
        <w:numPr>
          <w:ilvl w:val="0"/>
          <w:numId w:val="2"/>
        </w:numPr>
        <w:spacing w:after="90" w:line="280"/>
      </w:pPr>
      <w:r>
        <w:rPr>
          <w:color w:val="1A1A1A"/>
          <w:sz w:val="21"/>
          <w:szCs w:val="21"/>
        </w:rPr>
        <w:t xml:space="preserve">No global 401 handler in frontend/src/lib/api.js — an expired session fails per-page instead of redirecting to /login.</w:t>
      </w:r>
    </w:p>
    <w:p>
      <w:pPr>
        <w:pStyle w:val="ListParagraph"/>
        <w:numPr>
          <w:ilvl w:val="0"/>
          <w:numId w:val="2"/>
        </w:numPr>
        <w:spacing w:after="90" w:line="280"/>
      </w:pPr>
      <w:r>
        <w:rPr>
          <w:color w:val="1A1A1A"/>
          <w:sz w:val="21"/>
          <w:szCs w:val="21"/>
        </w:rPr>
        <w:t xml:space="preserve">Minor: inconsistent password-length policy between account creation and admin reset; no login rate limiting; JWT kept in localStorage.</w:t>
      </w:r>
    </w:p>
    <w:p>
      <w:pPr>
        <w:pStyle w:val="ListParagraph"/>
        <w:numPr>
          <w:ilvl w:val="0"/>
          <w:numId w:val="2"/>
        </w:numPr>
        <w:spacing w:after="90" w:line="280"/>
      </w:pPr>
      <w:r>
        <w:rPr>
          <w:color w:val="1A1A1A"/>
          <w:sz w:val="21"/>
          <w:szCs w:val="21"/>
        </w:rPr>
        <w:t xml:space="preserve">Housekeeping: leftover “HINTO” naming throughout (app title, logger, localStorage key); unused dependencies in requirements.txt; README.md is a placeholder; code comments mix Indonesian/English.</w:t>
      </w:r>
    </w:p>
    <w:p>
      <w:pPr>
        <w:pStyle w:val="Heading1"/>
        <w:pBdr>
          <w:bottom w:val="single" w:color="2F6F62" w:sz="8" w:space="4"/>
        </w:pBdr>
        <w:spacing w:after="160" w:before="360"/>
      </w:pPr>
      <w:r>
        <w:rPr>
          <w:b/>
          <w:bCs/>
          <w:color w:val="2F6F62"/>
          <w:sz w:val="27"/>
          <w:szCs w:val="27"/>
        </w:rPr>
        <w:t xml:space="preserve">Closing note</w:t>
      </w:r>
    </w:p>
    <w:p>
      <w:pPr>
        <w:spacing w:after="160" w:line="300"/>
      </w:pPr>
      <w:r>
        <w:rPr>
          <w:color w:val="1A1A1A"/>
          <w:sz w:val="21"/>
          <w:szCs w:val="21"/>
        </w:rPr>
        <w:t xml:space="preserve">The engineering here continues to hold up under real use — 71 purchase orders and daily receivings running through a correctly-modeled weighted-average costing and PR approval engine is exactly the hard part to get right, and it is right. The gap this update surfaces isn't in the code quality; it's in the last mile between “committed to main” and “running in production.” Closing that gap (redeploy) takes minutes. Closing the three still-open Critical items realistically takes the same “around a week of focused work” estimated in the original review — and doing it now matters more than it did this morning, because this review confirms real staff are depending on this system daily, not just testing it.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2026-08-31T12:14:54.351Z</dcterms:created>
  <dcterms:modified xsi:type="dcterms:W3CDTF">2026-08-31T12:14:54.371Z</dcterms:modified>
</cp:coreProperties>
</file>

<file path=docProps/custom.xml><?xml version="1.0" encoding="utf-8"?>
<Properties xmlns="http://schemas.openxmlformats.org/officeDocument/2006/custom-properties" xmlns:vt="http://schemas.openxmlformats.org/officeDocument/2006/docPropsVTypes"/>
</file>