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Calibri" w:hAnsi="Calibri"/>
          <w:b/>
          <w:color w:val="002D62"/>
          <w:sz w:val="52"/>
        </w:rPr>
        <w:t>Farmer Identity, Deduplication &amp; Consent Architecture</w:t>
      </w:r>
    </w:p>
    <w:p>
      <w:pPr>
        <w:spacing w:after="400"/>
      </w:pPr>
      <w:r>
        <w:rPr>
          <w:rFonts w:ascii="Calibri" w:hAnsi="Calibri"/>
          <w:color w:val="64748B"/>
          <w:sz w:val="26"/>
        </w:rPr>
        <w:t>Privacy-Preserving DPI Architecture, Comparative Technical Analysis &amp; Production Hardening Guide</w:t>
        <w:br/>
        <w:t>OpenAgriNet Kenya (OAN) | Safaricom Technical Release v2.2</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tcMar>
              <w:top w:w="70" w:type="dxa"/>
              <w:bottom w:w="70" w:type="dxa"/>
              <w:left w:w="100" w:type="dxa"/>
              <w:right w:w="100" w:type="dxa"/>
            </w:tcMar>
          </w:tcPr>
          <w:p>
            <w:pPr>
              <w:spacing w:after="0"/>
            </w:pPr>
            <w:r>
              <w:rPr>
                <w:rFonts w:ascii="Calibri" w:hAnsi="Calibri"/>
                <w:b/>
                <w:color w:val="002D62"/>
                <w:sz w:val="19"/>
              </w:rPr>
              <w:t>Target Program</w:t>
            </w:r>
          </w:p>
        </w:tc>
        <w:tc>
          <w:tcPr>
            <w:tcW w:type="dxa" w:w="6192"/>
            <w:tcMar>
              <w:top w:w="70" w:type="dxa"/>
              <w:bottom w:w="70" w:type="dxa"/>
              <w:left w:w="100" w:type="dxa"/>
              <w:right w:w="100" w:type="dxa"/>
            </w:tcMar>
          </w:tcPr>
          <w:p>
            <w:pPr>
              <w:spacing w:after="0"/>
            </w:pPr>
            <w:r>
              <w:rPr>
                <w:rFonts w:ascii="Calibri" w:hAnsi="Calibri"/>
                <w:color w:val="1E293B"/>
                <w:sz w:val="19"/>
              </w:rPr>
              <w:t>OpenAgriNet (OAN) Kenya 50,000-Farmer Advisory Pilot</w:t>
            </w:r>
          </w:p>
        </w:tc>
      </w:tr>
      <w:tr>
        <w:tc>
          <w:tcPr>
            <w:tcW w:type="dxa" w:w="3168"/>
            <w:tcMar>
              <w:top w:w="70" w:type="dxa"/>
              <w:bottom w:w="70" w:type="dxa"/>
              <w:left w:w="100" w:type="dxa"/>
              <w:right w:w="100" w:type="dxa"/>
            </w:tcMar>
          </w:tcPr>
          <w:p>
            <w:pPr>
              <w:spacing w:after="0"/>
            </w:pPr>
            <w:r>
              <w:rPr>
                <w:rFonts w:ascii="Calibri" w:hAnsi="Calibri"/>
                <w:b/>
                <w:color w:val="002D62"/>
                <w:sz w:val="19"/>
              </w:rPr>
              <w:t>Anchor Partners</w:t>
            </w:r>
          </w:p>
        </w:tc>
        <w:tc>
          <w:tcPr>
            <w:tcW w:type="dxa" w:w="6192"/>
            <w:tcMar>
              <w:top w:w="70" w:type="dxa"/>
              <w:bottom w:w="70" w:type="dxa"/>
              <w:left w:w="100" w:type="dxa"/>
              <w:right w:w="100" w:type="dxa"/>
            </w:tcMar>
          </w:tcPr>
          <w:p>
            <w:pPr>
              <w:spacing w:after="0"/>
            </w:pPr>
            <w:r>
              <w:rPr>
                <w:rFonts w:ascii="Calibri" w:hAnsi="Calibri"/>
                <w:color w:val="1E293B"/>
                <w:sz w:val="19"/>
              </w:rPr>
              <w:t>Safaricom PLC, One Acre Fund, KTDA, DigiFarm, Deloitte DPI Team</w:t>
            </w:r>
          </w:p>
        </w:tc>
      </w:tr>
      <w:tr>
        <w:tc>
          <w:tcPr>
            <w:tcW w:type="dxa" w:w="3168"/>
            <w:tcMar>
              <w:top w:w="70" w:type="dxa"/>
              <w:bottom w:w="70" w:type="dxa"/>
              <w:left w:w="100" w:type="dxa"/>
              <w:right w:w="100" w:type="dxa"/>
            </w:tcMar>
          </w:tcPr>
          <w:p>
            <w:pPr>
              <w:spacing w:after="0"/>
            </w:pPr>
            <w:r>
              <w:rPr>
                <w:rFonts w:ascii="Calibri" w:hAnsi="Calibri"/>
                <w:b/>
                <w:color w:val="002D62"/>
                <w:sz w:val="19"/>
              </w:rPr>
              <w:t>Technical Version</w:t>
            </w:r>
          </w:p>
        </w:tc>
        <w:tc>
          <w:tcPr>
            <w:tcW w:type="dxa" w:w="6192"/>
            <w:tcMar>
              <w:top w:w="70" w:type="dxa"/>
              <w:bottom w:w="70" w:type="dxa"/>
              <w:left w:w="100" w:type="dxa"/>
              <w:right w:w="100" w:type="dxa"/>
            </w:tcMar>
          </w:tcPr>
          <w:p>
            <w:pPr>
              <w:spacing w:after="0"/>
            </w:pPr>
            <w:r>
              <w:rPr>
                <w:rFonts w:ascii="Calibri" w:hAnsi="Calibri"/>
                <w:color w:val="1E293B"/>
                <w:sz w:val="19"/>
              </w:rPr>
              <w:t>Version 2.2 — Production Hardened Release (Audit Round 7)</w:t>
            </w:r>
          </w:p>
        </w:tc>
      </w:tr>
      <w:tr>
        <w:tc>
          <w:tcPr>
            <w:tcW w:type="dxa" w:w="3168"/>
            <w:tcMar>
              <w:top w:w="70" w:type="dxa"/>
              <w:bottom w:w="70" w:type="dxa"/>
              <w:left w:w="100" w:type="dxa"/>
              <w:right w:w="100" w:type="dxa"/>
            </w:tcMar>
          </w:tcPr>
          <w:p>
            <w:pPr>
              <w:spacing w:after="0"/>
            </w:pPr>
            <w:r>
              <w:rPr>
                <w:rFonts w:ascii="Calibri" w:hAnsi="Calibri"/>
                <w:b/>
                <w:color w:val="002D62"/>
                <w:sz w:val="19"/>
              </w:rPr>
              <w:t>Repository &amp; Branch</w:t>
            </w:r>
          </w:p>
        </w:tc>
        <w:tc>
          <w:tcPr>
            <w:tcW w:type="dxa" w:w="6192"/>
            <w:tcMar>
              <w:top w:w="70" w:type="dxa"/>
              <w:bottom w:w="70" w:type="dxa"/>
              <w:left w:w="100" w:type="dxa"/>
              <w:right w:w="100" w:type="dxa"/>
            </w:tcMar>
          </w:tcPr>
          <w:p>
            <w:pPr>
              <w:spacing w:after="0"/>
            </w:pPr>
            <w:r>
              <w:rPr>
                <w:rFonts w:ascii="Calibri" w:hAnsi="Calibri"/>
                <w:color w:val="1E293B"/>
                <w:sz w:val="19"/>
              </w:rPr>
              <w:t>https://github.com/nandakishore2404/kenya-farmer-hash-registry.git (branch: fix/review-2026-10-15)</w:t>
            </w:r>
          </w:p>
        </w:tc>
      </w:tr>
      <w:tr>
        <w:tc>
          <w:tcPr>
            <w:tcW w:type="dxa" w:w="3168"/>
            <w:tcMar>
              <w:top w:w="70" w:type="dxa"/>
              <w:bottom w:w="70" w:type="dxa"/>
              <w:left w:w="100" w:type="dxa"/>
              <w:right w:w="100" w:type="dxa"/>
            </w:tcMar>
          </w:tcPr>
          <w:p>
            <w:pPr>
              <w:spacing w:after="0"/>
            </w:pPr>
            <w:r>
              <w:rPr>
                <w:rFonts w:ascii="Calibri" w:hAnsi="Calibri"/>
                <w:b/>
                <w:color w:val="002D62"/>
                <w:sz w:val="19"/>
              </w:rPr>
              <w:t>Audited Commit</w:t>
            </w:r>
          </w:p>
        </w:tc>
        <w:tc>
          <w:tcPr>
            <w:tcW w:type="dxa" w:w="6192"/>
            <w:tcMar>
              <w:top w:w="70" w:type="dxa"/>
              <w:bottom w:w="70" w:type="dxa"/>
              <w:left w:w="100" w:type="dxa"/>
              <w:right w:w="100" w:type="dxa"/>
            </w:tcMar>
          </w:tcPr>
          <w:p>
            <w:pPr>
              <w:spacing w:after="0"/>
            </w:pPr>
            <w:r>
              <w:rPr>
                <w:rFonts w:ascii="Calibri" w:hAnsi="Calibri"/>
                <w:color w:val="1E293B"/>
                <w:sz w:val="19"/>
              </w:rPr>
              <w:t>ee9e5f0 / a28d035 (90/90 Automated Tests Passing — 100% Pass Rate)</w:t>
            </w:r>
          </w:p>
        </w:tc>
      </w:tr>
      <w:tr>
        <w:tc>
          <w:tcPr>
            <w:tcW w:type="dxa" w:w="3168"/>
            <w:tcMar>
              <w:top w:w="70" w:type="dxa"/>
              <w:bottom w:w="70" w:type="dxa"/>
              <w:left w:w="100" w:type="dxa"/>
              <w:right w:w="100" w:type="dxa"/>
            </w:tcMar>
          </w:tcPr>
          <w:p>
            <w:pPr>
              <w:spacing w:after="0"/>
            </w:pPr>
            <w:r>
              <w:rPr>
                <w:rFonts w:ascii="Calibri" w:hAnsi="Calibri"/>
                <w:b/>
                <w:color w:val="002D62"/>
                <w:sz w:val="19"/>
              </w:rPr>
              <w:t>Classification</w:t>
            </w:r>
          </w:p>
        </w:tc>
        <w:tc>
          <w:tcPr>
            <w:tcW w:type="dxa" w:w="6192"/>
            <w:tcMar>
              <w:top w:w="70" w:type="dxa"/>
              <w:bottom w:w="70" w:type="dxa"/>
              <w:left w:w="100" w:type="dxa"/>
              <w:right w:w="100" w:type="dxa"/>
            </w:tcMar>
          </w:tcPr>
          <w:p>
            <w:pPr>
              <w:spacing w:after="0"/>
            </w:pPr>
            <w:r>
              <w:rPr>
                <w:rFonts w:ascii="Calibri" w:hAnsi="Calibri"/>
                <w:color w:val="1E293B"/>
                <w:sz w:val="19"/>
              </w:rPr>
              <w:t>Confidential / Client Technical Delivery Specification</w:t>
            </w:r>
          </w:p>
        </w:tc>
      </w:tr>
    </w:tbl>
    <w:p>
      <w:r>
        <w:br w:type="page"/>
      </w:r>
    </w:p>
    <w:p>
      <w:pPr>
        <w:keepNext/>
        <w:spacing w:before="360" w:after="120"/>
      </w:pPr>
      <w:r>
        <w:rPr>
          <w:rFonts w:ascii="Calibri" w:hAnsi="Calibri"/>
          <w:b/>
          <w:color w:val="002D62"/>
          <w:sz w:val="32"/>
        </w:rPr>
        <w:t>1. Executive Summary</w:t>
      </w:r>
    </w:p>
    <w:p>
      <w:pPr>
        <w:spacing w:after="100" w:line="276" w:lineRule="auto"/>
      </w:pPr>
      <w:r>
        <w:rPr>
          <w:rFonts w:ascii="Calibri" w:hAnsi="Calibri"/>
          <w:b w:val="0"/>
          <w:i w:val="0"/>
          <w:color w:val="1E293B"/>
          <w:sz w:val="21"/>
        </w:rPr>
        <w:t>OpenAgriNet (OAN) Kenya is a national Digital Public Infrastructure (DPI) designed to deliver agricultural advisory messages, fertilizer subsidies, crop insurance, and market access to smallholder farmers across Kenya. In the Kenyan agricultural ecosystem, multiple independent providers—most notably One Acre Fund, Kenya Tea Development Agency (KTDA), and DigiFarm by Safaricom—routinely serve the same individual farmer across different crops and seasons.</w:t>
      </w:r>
    </w:p>
    <w:p>
      <w:pPr>
        <w:spacing w:after="100" w:line="276" w:lineRule="auto"/>
      </w:pPr>
      <w:r>
        <w:rPr>
          <w:rFonts w:ascii="Calibri" w:hAnsi="Calibri"/>
          <w:b w:val="0"/>
          <w:i w:val="0"/>
          <w:color w:val="1E293B"/>
          <w:sz w:val="21"/>
        </w:rPr>
        <w:t>To measure genuine pilot scale across 50,000 farmers and eliminate duplicate advisory alerts without collecting or storing sensitive personal data (such as national ID numbers or cleartext mobile numbers), OAN Kenya evaluated three distinct architectural paradigms: (1) Legacy Double-Hashing, (2) Pure Decentralized DID Wallets, and (3) The Target Hybrid VOPRF Architecture.</w:t>
      </w:r>
    </w:p>
    <w:tbl>
      <w:tblPr>
        <w:tblW w:type="auto" w:w="0"/>
        <w:jc w:val="center"/>
        <w:tblLook w:firstColumn="1" w:firstRow="1" w:lastColumn="0" w:lastRow="0" w:noHBand="0" w:noVBand="1" w:val="04A0"/>
      </w:tblPr>
      <w:tblGrid>
        <w:gridCol w:w="9360"/>
      </w:tblGrid>
      <w:tr>
        <w:tc>
          <w:tcPr>
            <w:tcW w:type="dxa" w:w="9360"/>
            <w:tcBorders>
              <w:left w:val="single" w:sz="36" w:space="0" w:color="059669"/>
              <w:top w:val="none"/>
              <w:right w:val="none"/>
              <w:bottom w:val="none"/>
            </w:tcBorders>
            <w:shd w:fill="F8FAFC"/>
            <w:tcMar>
              <w:top w:w="140" w:type="dxa"/>
              <w:bottom w:w="140" w:type="dxa"/>
              <w:left w:w="180" w:type="dxa"/>
              <w:right w:w="140" w:type="dxa"/>
            </w:tcMar>
          </w:tcPr>
          <w:p>
            <w:pPr>
              <w:spacing w:after="60"/>
            </w:pPr>
            <w:r>
              <w:rPr>
                <w:rFonts w:ascii="Calibri" w:hAnsi="Calibri"/>
                <w:b/>
                <w:color w:val="059669"/>
                <w:sz w:val="19"/>
              </w:rPr>
              <w:t>[KEY EXECUTIVE TAKEAWAY]</w:t>
              <w:br/>
            </w:r>
            <w:r>
              <w:rPr>
                <w:rFonts w:ascii="Calibri" w:hAnsi="Calibri"/>
                <w:color w:val="1E293B"/>
                <w:sz w:val="20"/>
              </w:rPr>
              <w:t>The Target Hybrid Architecture (RFC 9497 VOPRF) was selected as the sole viable solution. It bridges the divide between bank-grade cryptographic privacy and rural field realities: it blinds phone numbers locally so the central evaluator never sees raw numbers, eliminates the offline rainbow table threat, provides 100% operational compatibility with basic 2G feature phones (Nokia 3310 / USSD), and delivers sub-millisecond (&lt;0.05ms) in-memory consent verification at the Policy Enforcement Point (PEP).</w:t>
            </w:r>
          </w:p>
        </w:tc>
      </w:tr>
    </w:tbl>
    <w:p>
      <w:pPr>
        <w:spacing w:after="80"/>
      </w:pPr>
    </w:p>
    <w:p>
      <w:pPr>
        <w:keepNext/>
        <w:spacing w:before="360" w:after="120"/>
      </w:pPr>
      <w:r>
        <w:rPr>
          <w:rFonts w:ascii="Calibri" w:hAnsi="Calibri"/>
          <w:b/>
          <w:color w:val="002D62"/>
          <w:sz w:val="32"/>
        </w:rPr>
        <w:t>2. Evolution &amp; Comparative Analysis of Approaches</w:t>
      </w:r>
    </w:p>
    <w:p>
      <w:pPr>
        <w:spacing w:after="100" w:line="276" w:lineRule="auto"/>
      </w:pPr>
      <w:r>
        <w:rPr>
          <w:rFonts w:ascii="Calibri" w:hAnsi="Calibri"/>
          <w:b w:val="0"/>
          <w:i w:val="0"/>
          <w:color w:val="1E293B"/>
          <w:sz w:val="21"/>
        </w:rPr>
        <w:t>To understand why the Hybrid Architecture is the optimal foundation for Kenya's DPI, we examine the three competing architectural designs across cryptographic resilience, operational viability, and regulatory compliance.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592"/>
            <w:shd w:fill="002D62"/>
            <w:tcMar>
              <w:top w:w="100" w:type="dxa"/>
              <w:bottom w:w="100" w:type="dxa"/>
              <w:left w:w="100" w:type="dxa"/>
              <w:right w:w="100" w:type="dxa"/>
            </w:tcMar>
          </w:tcPr>
          <w:p>
            <w:pPr>
              <w:spacing w:after="0"/>
            </w:pPr>
            <w:r>
              <w:rPr>
                <w:rFonts w:ascii="Calibri" w:hAnsi="Calibri"/>
                <w:b/>
                <w:color w:val="FFFFFF"/>
                <w:sz w:val="19"/>
              </w:rPr>
              <w:t>Architectural Dimension</w:t>
            </w:r>
          </w:p>
        </w:tc>
        <w:tc>
          <w:tcPr>
            <w:tcW w:type="dxa" w:w="2160"/>
            <w:shd w:fill="002D62"/>
            <w:tcMar>
              <w:top w:w="100" w:type="dxa"/>
              <w:bottom w:w="100" w:type="dxa"/>
              <w:left w:w="100" w:type="dxa"/>
              <w:right w:w="100" w:type="dxa"/>
            </w:tcMar>
          </w:tcPr>
          <w:p>
            <w:pPr>
              <w:spacing w:after="0"/>
            </w:pPr>
            <w:r>
              <w:rPr>
                <w:rFonts w:ascii="Calibri" w:hAnsi="Calibri"/>
                <w:b/>
                <w:color w:val="FFFFFF"/>
                <w:sz w:val="19"/>
              </w:rPr>
              <w:t>Approach 1: Double-Hashing</w:t>
            </w:r>
          </w:p>
        </w:tc>
        <w:tc>
          <w:tcPr>
            <w:tcW w:type="dxa" w:w="2160"/>
            <w:shd w:fill="002D62"/>
            <w:tcMar>
              <w:top w:w="100" w:type="dxa"/>
              <w:bottom w:w="100" w:type="dxa"/>
              <w:left w:w="100" w:type="dxa"/>
              <w:right w:w="100" w:type="dxa"/>
            </w:tcMar>
          </w:tcPr>
          <w:p>
            <w:pPr>
              <w:spacing w:after="0"/>
            </w:pPr>
            <w:r>
              <w:rPr>
                <w:rFonts w:ascii="Calibri" w:hAnsi="Calibri"/>
                <w:b/>
                <w:color w:val="FFFFFF"/>
                <w:sz w:val="19"/>
              </w:rPr>
              <w:t>Approach 2: Pure Decentralized (DID)</w:t>
            </w:r>
          </w:p>
        </w:tc>
        <w:tc>
          <w:tcPr>
            <w:tcW w:type="dxa" w:w="2448"/>
            <w:shd w:fill="002D62"/>
            <w:tcMar>
              <w:top w:w="100" w:type="dxa"/>
              <w:bottom w:w="100" w:type="dxa"/>
              <w:left w:w="100" w:type="dxa"/>
              <w:right w:w="100" w:type="dxa"/>
            </w:tcMar>
          </w:tcPr>
          <w:p>
            <w:pPr>
              <w:spacing w:after="0"/>
            </w:pPr>
            <w:r>
              <w:rPr>
                <w:rFonts w:ascii="Calibri" w:hAnsi="Calibri"/>
                <w:b/>
                <w:color w:val="FFFFFF"/>
                <w:sz w:val="19"/>
              </w:rPr>
              <w:t>Approach 3: Target Hybrid (VOPRF)</w:t>
            </w:r>
          </w:p>
        </w:tc>
      </w:tr>
      <w:tr>
        <w:tc>
          <w:tcPr>
            <w:tcW w:type="dxa" w:w="2592"/>
            <w:tcMar>
              <w:top w:w="70" w:type="dxa"/>
              <w:bottom w:w="70" w:type="dxa"/>
              <w:left w:w="100" w:type="dxa"/>
              <w:right w:w="100" w:type="dxa"/>
            </w:tcMar>
          </w:tcPr>
          <w:p>
            <w:pPr>
              <w:spacing w:after="0"/>
            </w:pPr>
            <w:r>
              <w:rPr>
                <w:rFonts w:ascii="Calibri" w:hAnsi="Calibri"/>
                <w:b/>
                <w:color w:val="002D62"/>
                <w:sz w:val="18"/>
              </w:rPr>
              <w:t>Core Cryptography</w:t>
            </w:r>
          </w:p>
        </w:tc>
        <w:tc>
          <w:tcPr>
            <w:tcW w:type="dxa" w:w="2160"/>
            <w:tcMar>
              <w:top w:w="70" w:type="dxa"/>
              <w:bottom w:w="70" w:type="dxa"/>
              <w:left w:w="100" w:type="dxa"/>
              <w:right w:w="100" w:type="dxa"/>
            </w:tcMar>
          </w:tcPr>
          <w:p>
            <w:pPr>
              <w:spacing w:after="0"/>
            </w:pPr>
            <w:r>
              <w:rPr>
                <w:rFonts w:ascii="Calibri" w:hAnsi="Calibri"/>
                <w:color w:val="1E293B"/>
                <w:sz w:val="18"/>
              </w:rPr>
              <w:t>HMAC-SHA256 with shared partner &amp; server keys</w:t>
            </w:r>
          </w:p>
        </w:tc>
        <w:tc>
          <w:tcPr>
            <w:tcW w:type="dxa" w:w="2160"/>
            <w:tcMar>
              <w:top w:w="70" w:type="dxa"/>
              <w:bottom w:w="70" w:type="dxa"/>
              <w:left w:w="100" w:type="dxa"/>
              <w:right w:w="100" w:type="dxa"/>
            </w:tcMar>
          </w:tcPr>
          <w:p>
            <w:pPr>
              <w:spacing w:after="0"/>
            </w:pPr>
            <w:r>
              <w:rPr>
                <w:rFonts w:ascii="Calibri" w:hAnsi="Calibri"/>
                <w:color w:val="1E293B"/>
                <w:sz w:val="18"/>
              </w:rPr>
              <w:t>Asymmetric keypairs stored in smartphone wallet</w:t>
            </w:r>
          </w:p>
        </w:tc>
        <w:tc>
          <w:tcPr>
            <w:tcW w:type="dxa" w:w="2448"/>
            <w:tcMar>
              <w:top w:w="70" w:type="dxa"/>
              <w:bottom w:w="70" w:type="dxa"/>
              <w:left w:w="100" w:type="dxa"/>
              <w:right w:w="100" w:type="dxa"/>
            </w:tcMar>
          </w:tcPr>
          <w:p>
            <w:pPr>
              <w:spacing w:after="0"/>
            </w:pPr>
            <w:r>
              <w:rPr>
                <w:rFonts w:ascii="Calibri" w:hAnsi="Calibri"/>
                <w:b/>
                <w:color w:val="059669"/>
                <w:sz w:val="18"/>
              </w:rPr>
              <w:t>RFC 9497 VOPRF over secp256k1 with DLEQ zero-knowledge proofs</w:t>
            </w:r>
          </w:p>
        </w:tc>
      </w:tr>
      <w:tr>
        <w:tc>
          <w:tcPr>
            <w:tcW w:type="dxa" w:w="2592"/>
            <w:shd w:fill="F8FAFC"/>
            <w:tcMar>
              <w:top w:w="70" w:type="dxa"/>
              <w:bottom w:w="70" w:type="dxa"/>
              <w:left w:w="100" w:type="dxa"/>
              <w:right w:w="100" w:type="dxa"/>
            </w:tcMar>
          </w:tcPr>
          <w:p>
            <w:pPr>
              <w:spacing w:after="0"/>
            </w:pPr>
            <w:r>
              <w:rPr>
                <w:rFonts w:ascii="Calibri" w:hAnsi="Calibri"/>
                <w:b/>
                <w:color w:val="002D62"/>
                <w:sz w:val="18"/>
              </w:rPr>
              <w:t>Rainbow Table Resistance</w:t>
            </w:r>
          </w:p>
        </w:tc>
        <w:tc>
          <w:tcPr>
            <w:tcW w:type="dxa" w:w="2160"/>
            <w:shd w:fill="F8FAFC"/>
            <w:tcMar>
              <w:top w:w="70" w:type="dxa"/>
              <w:bottom w:w="70" w:type="dxa"/>
              <w:left w:w="100" w:type="dxa"/>
              <w:right w:w="100" w:type="dxa"/>
            </w:tcMar>
          </w:tcPr>
          <w:p>
            <w:pPr>
              <w:spacing w:after="0"/>
            </w:pPr>
            <w:r>
              <w:rPr>
                <w:rFonts w:ascii="Calibri" w:hAnsi="Calibri"/>
                <w:color w:val="1E293B"/>
                <w:sz w:val="18"/>
              </w:rPr>
              <w:t>VULNERABLE: 200M Kenyan numbers crackable in &lt;2 min if key leaks</w:t>
            </w:r>
          </w:p>
        </w:tc>
        <w:tc>
          <w:tcPr>
            <w:tcW w:type="dxa" w:w="2160"/>
            <w:shd w:fill="F8FAFC"/>
            <w:tcMar>
              <w:top w:w="70" w:type="dxa"/>
              <w:bottom w:w="70" w:type="dxa"/>
              <w:left w:w="100" w:type="dxa"/>
              <w:right w:w="100" w:type="dxa"/>
            </w:tcMar>
          </w:tcPr>
          <w:p>
            <w:pPr>
              <w:spacing w:after="0"/>
            </w:pPr>
            <w:r>
              <w:rPr>
                <w:rFonts w:ascii="Calibri" w:hAnsi="Calibri"/>
                <w:color w:val="1E293B"/>
                <w:sz w:val="18"/>
              </w:rPr>
              <w:t>IMMUNE: No central phone hash created</w:t>
            </w:r>
          </w:p>
        </w:tc>
        <w:tc>
          <w:tcPr>
            <w:tcW w:type="dxa" w:w="2448"/>
            <w:shd w:fill="F8FAFC"/>
            <w:tcMar>
              <w:top w:w="70" w:type="dxa"/>
              <w:bottom w:w="70" w:type="dxa"/>
              <w:left w:w="100" w:type="dxa"/>
              <w:right w:w="100" w:type="dxa"/>
            </w:tcMar>
          </w:tcPr>
          <w:p>
            <w:pPr>
              <w:spacing w:after="0"/>
            </w:pPr>
            <w:r>
              <w:rPr>
                <w:rFonts w:ascii="Calibri" w:hAnsi="Calibri"/>
                <w:b/>
                <w:color w:val="059669"/>
                <w:sz w:val="18"/>
              </w:rPr>
              <w:t>IMMUNE: Evaluator HSM rate-limits checks; offline brute-forcing impossible</w:t>
            </w:r>
          </w:p>
        </w:tc>
      </w:tr>
      <w:tr>
        <w:tc>
          <w:tcPr>
            <w:tcW w:type="dxa" w:w="2592"/>
            <w:tcMar>
              <w:top w:w="70" w:type="dxa"/>
              <w:bottom w:w="70" w:type="dxa"/>
              <w:left w:w="100" w:type="dxa"/>
              <w:right w:w="100" w:type="dxa"/>
            </w:tcMar>
          </w:tcPr>
          <w:p>
            <w:pPr>
              <w:spacing w:after="0"/>
            </w:pPr>
            <w:r>
              <w:rPr>
                <w:rFonts w:ascii="Calibri" w:hAnsi="Calibri"/>
                <w:b/>
                <w:color w:val="002D62"/>
                <w:sz w:val="18"/>
              </w:rPr>
              <w:t>Feature Phone Compatibility</w:t>
            </w:r>
          </w:p>
        </w:tc>
        <w:tc>
          <w:tcPr>
            <w:tcW w:type="dxa" w:w="2160"/>
            <w:tcMar>
              <w:top w:w="70" w:type="dxa"/>
              <w:bottom w:w="70" w:type="dxa"/>
              <w:left w:w="100" w:type="dxa"/>
              <w:right w:w="100" w:type="dxa"/>
            </w:tcMar>
          </w:tcPr>
          <w:p>
            <w:pPr>
              <w:spacing w:after="0"/>
            </w:pPr>
            <w:r>
              <w:rPr>
                <w:rFonts w:ascii="Calibri" w:hAnsi="Calibri"/>
                <w:color w:val="1E293B"/>
                <w:sz w:val="18"/>
              </w:rPr>
              <w:t>HIGH: Compatible with basic 2G phones</w:t>
            </w:r>
          </w:p>
        </w:tc>
        <w:tc>
          <w:tcPr>
            <w:tcW w:type="dxa" w:w="2160"/>
            <w:tcMar>
              <w:top w:w="70" w:type="dxa"/>
              <w:bottom w:w="70" w:type="dxa"/>
              <w:left w:w="100" w:type="dxa"/>
              <w:right w:w="100" w:type="dxa"/>
            </w:tcMar>
          </w:tcPr>
          <w:p>
            <w:pPr>
              <w:spacing w:after="0"/>
            </w:pPr>
            <w:r>
              <w:rPr>
                <w:rFonts w:ascii="Calibri" w:hAnsi="Calibri"/>
                <w:color w:val="1E293B"/>
                <w:sz w:val="18"/>
              </w:rPr>
              <w:t>ZERO: Requires smartphone with secure enclave / biometric chips</w:t>
            </w:r>
          </w:p>
        </w:tc>
        <w:tc>
          <w:tcPr>
            <w:tcW w:type="dxa" w:w="2448"/>
            <w:tcMar>
              <w:top w:w="70" w:type="dxa"/>
              <w:bottom w:w="70" w:type="dxa"/>
              <w:left w:w="100" w:type="dxa"/>
              <w:right w:w="100" w:type="dxa"/>
            </w:tcMar>
          </w:tcPr>
          <w:p>
            <w:pPr>
              <w:spacing w:after="0"/>
            </w:pPr>
            <w:r>
              <w:rPr>
                <w:rFonts w:ascii="Calibri" w:hAnsi="Calibri"/>
                <w:b/>
                <w:color w:val="059669"/>
                <w:sz w:val="18"/>
              </w:rPr>
              <w:t>HIGH: Works via field agent tablets and SMS/USSD; farmer needs basic phone</w:t>
            </w:r>
          </w:p>
        </w:tc>
      </w:tr>
      <w:tr>
        <w:tc>
          <w:tcPr>
            <w:tcW w:type="dxa" w:w="2592"/>
            <w:shd w:fill="F8FAFC"/>
            <w:tcMar>
              <w:top w:w="70" w:type="dxa"/>
              <w:bottom w:w="70" w:type="dxa"/>
              <w:left w:w="100" w:type="dxa"/>
              <w:right w:w="100" w:type="dxa"/>
            </w:tcMar>
          </w:tcPr>
          <w:p>
            <w:pPr>
              <w:spacing w:after="0"/>
            </w:pPr>
            <w:r>
              <w:rPr>
                <w:rFonts w:ascii="Calibri" w:hAnsi="Calibri"/>
                <w:b/>
                <w:color w:val="002D62"/>
                <w:sz w:val="18"/>
              </w:rPr>
              <w:t>Offline Rural Registration</w:t>
            </w:r>
          </w:p>
        </w:tc>
        <w:tc>
          <w:tcPr>
            <w:tcW w:type="dxa" w:w="2160"/>
            <w:shd w:fill="F8FAFC"/>
            <w:tcMar>
              <w:top w:w="70" w:type="dxa"/>
              <w:bottom w:w="70" w:type="dxa"/>
              <w:left w:w="100" w:type="dxa"/>
              <w:right w:w="100" w:type="dxa"/>
            </w:tcMar>
          </w:tcPr>
          <w:p>
            <w:pPr>
              <w:spacing w:after="0"/>
            </w:pPr>
            <w:r>
              <w:rPr>
                <w:rFonts w:ascii="Calibri" w:hAnsi="Calibri"/>
                <w:color w:val="1E293B"/>
                <w:sz w:val="18"/>
              </w:rPr>
              <w:t>PARTIAL: Plain numbers stored on local device</w:t>
            </w:r>
          </w:p>
        </w:tc>
        <w:tc>
          <w:tcPr>
            <w:tcW w:type="dxa" w:w="2160"/>
            <w:shd w:fill="F8FAFC"/>
            <w:tcMar>
              <w:top w:w="70" w:type="dxa"/>
              <w:bottom w:w="70" w:type="dxa"/>
              <w:left w:w="100" w:type="dxa"/>
              <w:right w:w="100" w:type="dxa"/>
            </w:tcMar>
          </w:tcPr>
          <w:p>
            <w:pPr>
              <w:spacing w:after="0"/>
            </w:pPr>
            <w:r>
              <w:rPr>
                <w:rFonts w:ascii="Calibri" w:hAnsi="Calibri"/>
                <w:color w:val="1E293B"/>
                <w:sz w:val="18"/>
              </w:rPr>
              <w:t>HIGH: Local wallet execution</w:t>
            </w:r>
          </w:p>
        </w:tc>
        <w:tc>
          <w:tcPr>
            <w:tcW w:type="dxa" w:w="2448"/>
            <w:shd w:fill="F8FAFC"/>
            <w:tcMar>
              <w:top w:w="70" w:type="dxa"/>
              <w:bottom w:w="70" w:type="dxa"/>
              <w:left w:w="100" w:type="dxa"/>
              <w:right w:w="100" w:type="dxa"/>
            </w:tcMar>
          </w:tcPr>
          <w:p>
            <w:pPr>
              <w:spacing w:after="0"/>
            </w:pPr>
            <w:r>
              <w:rPr>
                <w:rFonts w:ascii="Calibri" w:hAnsi="Calibri"/>
                <w:b/>
                <w:color w:val="059669"/>
                <w:sz w:val="18"/>
              </w:rPr>
              <w:t>HIGH: Local encrypted SQLite with automatic cryptographic memory shredding</w:t>
            </w:r>
          </w:p>
        </w:tc>
      </w:tr>
      <w:tr>
        <w:tc>
          <w:tcPr>
            <w:tcW w:type="dxa" w:w="2592"/>
            <w:tcMar>
              <w:top w:w="70" w:type="dxa"/>
              <w:bottom w:w="70" w:type="dxa"/>
              <w:left w:w="100" w:type="dxa"/>
              <w:right w:w="100" w:type="dxa"/>
            </w:tcMar>
          </w:tcPr>
          <w:p>
            <w:pPr>
              <w:spacing w:after="0"/>
            </w:pPr>
            <w:r>
              <w:rPr>
                <w:rFonts w:ascii="Calibri" w:hAnsi="Calibri"/>
                <w:b/>
                <w:color w:val="002D62"/>
                <w:sz w:val="18"/>
              </w:rPr>
              <w:t>Consent Scoping &amp; Decoupling</w:t>
            </w:r>
          </w:p>
        </w:tc>
        <w:tc>
          <w:tcPr>
            <w:tcW w:type="dxa" w:w="2160"/>
            <w:tcMar>
              <w:top w:w="70" w:type="dxa"/>
              <w:bottom w:w="70" w:type="dxa"/>
              <w:left w:w="100" w:type="dxa"/>
              <w:right w:w="100" w:type="dxa"/>
            </w:tcMar>
          </w:tcPr>
          <w:p>
            <w:pPr>
              <w:spacing w:after="0"/>
            </w:pPr>
            <w:r>
              <w:rPr>
                <w:rFonts w:ascii="Calibri" w:hAnsi="Calibri"/>
                <w:color w:val="1E293B"/>
                <w:sz w:val="18"/>
              </w:rPr>
              <w:t>POOR: Consent tied to deletion; history lost on opt-out</w:t>
            </w:r>
          </w:p>
        </w:tc>
        <w:tc>
          <w:tcPr>
            <w:tcW w:type="dxa" w:w="2160"/>
            <w:tcMar>
              <w:top w:w="70" w:type="dxa"/>
              <w:bottom w:w="70" w:type="dxa"/>
              <w:left w:w="100" w:type="dxa"/>
              <w:right w:w="100" w:type="dxa"/>
            </w:tcMar>
          </w:tcPr>
          <w:p>
            <w:pPr>
              <w:spacing w:after="0"/>
            </w:pPr>
            <w:r>
              <w:rPr>
                <w:rFonts w:ascii="Calibri" w:hAnsi="Calibri"/>
                <w:color w:val="1E293B"/>
                <w:sz w:val="18"/>
              </w:rPr>
              <w:t>MEDIUM: Complex cryptographic revocation credentials</w:t>
            </w:r>
          </w:p>
        </w:tc>
        <w:tc>
          <w:tcPr>
            <w:tcW w:type="dxa" w:w="2448"/>
            <w:tcMar>
              <w:top w:w="70" w:type="dxa"/>
              <w:bottom w:w="70" w:type="dxa"/>
              <w:left w:w="100" w:type="dxa"/>
              <w:right w:w="100" w:type="dxa"/>
            </w:tcMar>
          </w:tcPr>
          <w:p>
            <w:pPr>
              <w:spacing w:after="0"/>
            </w:pPr>
            <w:r>
              <w:rPr>
                <w:rFonts w:ascii="Calibri" w:hAnsi="Calibri"/>
                <w:b/>
                <w:color w:val="059669"/>
                <w:sz w:val="18"/>
              </w:rPr>
              <w:t>EXCELLENT: Independent mutable consent state; PEP blocks advisory SMS while preserving identity</w:t>
            </w:r>
          </w:p>
        </w:tc>
      </w:tr>
      <w:tr>
        <w:tc>
          <w:tcPr>
            <w:tcW w:type="dxa" w:w="2592"/>
            <w:shd w:fill="F8FAFC"/>
            <w:tcMar>
              <w:top w:w="70" w:type="dxa"/>
              <w:bottom w:w="70" w:type="dxa"/>
              <w:left w:w="100" w:type="dxa"/>
              <w:right w:w="100" w:type="dxa"/>
            </w:tcMar>
          </w:tcPr>
          <w:p>
            <w:pPr>
              <w:spacing w:after="0"/>
            </w:pPr>
            <w:r>
              <w:rPr>
                <w:rFonts w:ascii="Calibri" w:hAnsi="Calibri"/>
                <w:b/>
                <w:color w:val="002D62"/>
                <w:sz w:val="18"/>
              </w:rPr>
              <w:t>Cross-Provider Deduplication</w:t>
            </w:r>
          </w:p>
        </w:tc>
        <w:tc>
          <w:tcPr>
            <w:tcW w:type="dxa" w:w="2160"/>
            <w:shd w:fill="F8FAFC"/>
            <w:tcMar>
              <w:top w:w="70" w:type="dxa"/>
              <w:bottom w:w="70" w:type="dxa"/>
              <w:left w:w="100" w:type="dxa"/>
              <w:right w:w="100" w:type="dxa"/>
            </w:tcMar>
          </w:tcPr>
          <w:p>
            <w:pPr>
              <w:spacing w:after="0"/>
            </w:pPr>
            <w:r>
              <w:rPr>
                <w:rFonts w:ascii="Calibri" w:hAnsi="Calibri"/>
                <w:color w:val="1E293B"/>
                <w:sz w:val="18"/>
              </w:rPr>
              <w:t>YES: Single shared deterministic code</w:t>
            </w:r>
          </w:p>
        </w:tc>
        <w:tc>
          <w:tcPr>
            <w:tcW w:type="dxa" w:w="2160"/>
            <w:shd w:fill="F8FAFC"/>
            <w:tcMar>
              <w:top w:w="70" w:type="dxa"/>
              <w:bottom w:w="70" w:type="dxa"/>
              <w:left w:w="100" w:type="dxa"/>
              <w:right w:w="100" w:type="dxa"/>
            </w:tcMar>
          </w:tcPr>
          <w:p>
            <w:pPr>
              <w:spacing w:after="0"/>
            </w:pPr>
            <w:r>
              <w:rPr>
                <w:rFonts w:ascii="Calibri" w:hAnsi="Calibri"/>
                <w:color w:val="1E293B"/>
                <w:sz w:val="18"/>
              </w:rPr>
              <w:t>NO: Broken across isolated provider wallets</w:t>
            </w:r>
          </w:p>
        </w:tc>
        <w:tc>
          <w:tcPr>
            <w:tcW w:type="dxa" w:w="2448"/>
            <w:shd w:fill="F8FAFC"/>
            <w:tcMar>
              <w:top w:w="70" w:type="dxa"/>
              <w:bottom w:w="70" w:type="dxa"/>
              <w:left w:w="100" w:type="dxa"/>
              <w:right w:w="100" w:type="dxa"/>
            </w:tcMar>
          </w:tcPr>
          <w:p>
            <w:pPr>
              <w:spacing w:after="0"/>
            </w:pPr>
            <w:r>
              <w:rPr>
                <w:rFonts w:ascii="Calibri" w:hAnsi="Calibri"/>
                <w:b/>
                <w:color w:val="059669"/>
                <w:sz w:val="18"/>
              </w:rPr>
              <w:t>YES: Exact deterministic Token T derived across all providers</w:t>
            </w:r>
          </w:p>
        </w:tc>
      </w:tr>
      <w:tr>
        <w:tc>
          <w:tcPr>
            <w:tcW w:type="dxa" w:w="2592"/>
            <w:tcMar>
              <w:top w:w="70" w:type="dxa"/>
              <w:bottom w:w="70" w:type="dxa"/>
              <w:left w:w="100" w:type="dxa"/>
              <w:right w:w="100" w:type="dxa"/>
            </w:tcMar>
          </w:tcPr>
          <w:p>
            <w:pPr>
              <w:spacing w:after="0"/>
            </w:pPr>
            <w:r>
              <w:rPr>
                <w:rFonts w:ascii="Calibri" w:hAnsi="Calibri"/>
                <w:b/>
                <w:color w:val="002D62"/>
                <w:sz w:val="18"/>
              </w:rPr>
              <w:t>High-Volume Alert Throughput</w:t>
            </w:r>
          </w:p>
        </w:tc>
        <w:tc>
          <w:tcPr>
            <w:tcW w:type="dxa" w:w="2160"/>
            <w:tcMar>
              <w:top w:w="70" w:type="dxa"/>
              <w:bottom w:w="70" w:type="dxa"/>
              <w:left w:w="100" w:type="dxa"/>
              <w:right w:w="100" w:type="dxa"/>
            </w:tcMar>
          </w:tcPr>
          <w:p>
            <w:pPr>
              <w:spacing w:after="0"/>
            </w:pPr>
            <w:r>
              <w:rPr>
                <w:rFonts w:ascii="Calibri" w:hAnsi="Calibri"/>
                <w:color w:val="1E293B"/>
                <w:sz w:val="18"/>
              </w:rPr>
              <w:t>LOW: Blocks on synchronous database writes</w:t>
            </w:r>
          </w:p>
        </w:tc>
        <w:tc>
          <w:tcPr>
            <w:tcW w:type="dxa" w:w="2160"/>
            <w:tcMar>
              <w:top w:w="70" w:type="dxa"/>
              <w:bottom w:w="70" w:type="dxa"/>
              <w:left w:w="100" w:type="dxa"/>
              <w:right w:w="100" w:type="dxa"/>
            </w:tcMar>
          </w:tcPr>
          <w:p>
            <w:pPr>
              <w:spacing w:after="0"/>
            </w:pPr>
            <w:r>
              <w:rPr>
                <w:rFonts w:ascii="Calibri" w:hAnsi="Calibri"/>
                <w:color w:val="1E293B"/>
                <w:sz w:val="18"/>
              </w:rPr>
              <w:t>UNKNOWN: High client compute required</w:t>
            </w:r>
          </w:p>
        </w:tc>
        <w:tc>
          <w:tcPr>
            <w:tcW w:type="dxa" w:w="2448"/>
            <w:tcMar>
              <w:top w:w="70" w:type="dxa"/>
              <w:bottom w:w="70" w:type="dxa"/>
              <w:left w:w="100" w:type="dxa"/>
              <w:right w:w="100" w:type="dxa"/>
            </w:tcMar>
          </w:tcPr>
          <w:p>
            <w:pPr>
              <w:spacing w:after="0"/>
            </w:pPr>
            <w:r>
              <w:rPr>
                <w:rFonts w:ascii="Calibri" w:hAnsi="Calibri"/>
                <w:b/>
                <w:color w:val="059669"/>
                <w:sz w:val="18"/>
              </w:rPr>
              <w:t>EXCELLENT: Sub-millisecond (&lt;0.05ms) in-memory checks with decoupled async durability</w:t>
            </w:r>
          </w:p>
        </w:tc>
      </w:tr>
    </w:tbl>
    <w:p>
      <w:pPr>
        <w:spacing w:after="80"/>
      </w:pPr>
    </w:p>
    <w:p>
      <w:pPr>
        <w:keepNext/>
        <w:spacing w:before="280" w:after="80"/>
      </w:pPr>
      <w:r>
        <w:rPr>
          <w:rFonts w:ascii="Calibri" w:hAnsi="Calibri"/>
          <w:b/>
          <w:color w:val="059669"/>
          <w:sz w:val="25"/>
        </w:rPr>
        <w:t>Pros &amp; Cons Matrix Across All Three Approaches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04"/>
            <w:shd w:fill="002D62"/>
            <w:tcMar>
              <w:top w:w="100" w:type="dxa"/>
              <w:bottom w:w="100" w:type="dxa"/>
              <w:left w:w="100" w:type="dxa"/>
              <w:right w:w="100" w:type="dxa"/>
            </w:tcMar>
          </w:tcPr>
          <w:p>
            <w:pPr>
              <w:spacing w:after="0"/>
            </w:pPr>
            <w:r>
              <w:rPr>
                <w:rFonts w:ascii="Calibri" w:hAnsi="Calibri"/>
                <w:b/>
                <w:color w:val="FFFFFF"/>
                <w:sz w:val="19"/>
              </w:rPr>
              <w:t>Approach</w:t>
            </w:r>
          </w:p>
        </w:tc>
        <w:tc>
          <w:tcPr>
            <w:tcW w:type="dxa" w:w="2592"/>
            <w:shd w:fill="002D62"/>
            <w:tcMar>
              <w:top w:w="100" w:type="dxa"/>
              <w:bottom w:w="100" w:type="dxa"/>
              <w:left w:w="100" w:type="dxa"/>
              <w:right w:w="100" w:type="dxa"/>
            </w:tcMar>
          </w:tcPr>
          <w:p>
            <w:pPr>
              <w:spacing w:after="0"/>
            </w:pPr>
            <w:r>
              <w:rPr>
                <w:rFonts w:ascii="Calibri" w:hAnsi="Calibri"/>
                <w:b/>
                <w:color w:val="FFFFFF"/>
                <w:sz w:val="19"/>
              </w:rPr>
              <w:t>Key Advantages (Pros)</w:t>
            </w:r>
          </w:p>
        </w:tc>
        <w:tc>
          <w:tcPr>
            <w:tcW w:type="dxa" w:w="2592"/>
            <w:shd w:fill="002D62"/>
            <w:tcMar>
              <w:top w:w="100" w:type="dxa"/>
              <w:bottom w:w="100" w:type="dxa"/>
              <w:left w:w="100" w:type="dxa"/>
              <w:right w:w="100" w:type="dxa"/>
            </w:tcMar>
          </w:tcPr>
          <w:p>
            <w:pPr>
              <w:spacing w:after="0"/>
            </w:pPr>
            <w:r>
              <w:rPr>
                <w:rFonts w:ascii="Calibri" w:hAnsi="Calibri"/>
                <w:b/>
                <w:color w:val="FFFFFF"/>
                <w:sz w:val="19"/>
              </w:rPr>
              <w:t>Critical Drawbacks &amp; Risks (Cons)</w:t>
            </w:r>
          </w:p>
        </w:tc>
        <w:tc>
          <w:tcPr>
            <w:tcW w:type="dxa" w:w="1872"/>
            <w:shd w:fill="002D62"/>
            <w:tcMar>
              <w:top w:w="100" w:type="dxa"/>
              <w:bottom w:w="100" w:type="dxa"/>
              <w:left w:w="100" w:type="dxa"/>
              <w:right w:w="100" w:type="dxa"/>
            </w:tcMar>
          </w:tcPr>
          <w:p>
            <w:pPr>
              <w:spacing w:after="0"/>
            </w:pPr>
            <w:r>
              <w:rPr>
                <w:rFonts w:ascii="Calibri" w:hAnsi="Calibri"/>
                <w:b/>
                <w:color w:val="FFFFFF"/>
                <w:sz w:val="19"/>
              </w:rPr>
              <w:t>Final Recommendation</w:t>
            </w:r>
          </w:p>
        </w:tc>
      </w:tr>
      <w:tr>
        <w:tc>
          <w:tcPr>
            <w:tcW w:type="dxa" w:w="2304"/>
            <w:tcMar>
              <w:top w:w="70" w:type="dxa"/>
              <w:bottom w:w="70" w:type="dxa"/>
              <w:left w:w="100" w:type="dxa"/>
              <w:right w:w="100" w:type="dxa"/>
            </w:tcMar>
          </w:tcPr>
          <w:p>
            <w:pPr>
              <w:spacing w:after="0"/>
            </w:pPr>
            <w:r>
              <w:rPr>
                <w:rFonts w:ascii="Calibri" w:hAnsi="Calibri"/>
                <w:b/>
                <w:color w:val="002D62"/>
                <w:sz w:val="17"/>
              </w:rPr>
              <w:t>Approach 1: Double-Hashing (HMAC)</w:t>
            </w:r>
          </w:p>
        </w:tc>
        <w:tc>
          <w:tcPr>
            <w:tcW w:type="dxa" w:w="2592"/>
            <w:tcMar>
              <w:top w:w="70" w:type="dxa"/>
              <w:bottom w:w="70" w:type="dxa"/>
              <w:left w:w="100" w:type="dxa"/>
              <w:right w:w="100" w:type="dxa"/>
            </w:tcMar>
          </w:tcPr>
          <w:p>
            <w:pPr>
              <w:spacing w:after="0"/>
            </w:pPr>
            <w:r>
              <w:rPr>
                <w:rFonts w:ascii="Calibri" w:hAnsi="Calibri"/>
                <w:color w:val="1E293B"/>
                <w:sz w:val="17"/>
              </w:rPr>
              <w:t>• Simple to build with standard crypto libraries</w:t>
              <w:br/>
              <w:t>• Fast computation and low CPU overhead</w:t>
              <w:br/>
              <w:t>• Works with 2G basic phones</w:t>
            </w:r>
          </w:p>
        </w:tc>
        <w:tc>
          <w:tcPr>
            <w:tcW w:type="dxa" w:w="2592"/>
            <w:tcMar>
              <w:top w:w="70" w:type="dxa"/>
              <w:bottom w:w="70" w:type="dxa"/>
              <w:left w:w="100" w:type="dxa"/>
              <w:right w:w="100" w:type="dxa"/>
            </w:tcMar>
          </w:tcPr>
          <w:p>
            <w:pPr>
              <w:spacing w:after="0"/>
            </w:pPr>
            <w:r>
              <w:rPr>
                <w:rFonts w:ascii="Calibri" w:hAnsi="Calibri"/>
                <w:color w:val="1E293B"/>
                <w:sz w:val="17"/>
              </w:rPr>
              <w:t>• FATAL VULNERABILITY: If the shared partner secret is leaked, an offline rainbow table cracks all 200M Kenyan numbers in &lt;2 min</w:t>
              <w:br/>
              <w:t>• Couples consent to identity deletion, wiping historical reporting</w:t>
            </w:r>
          </w:p>
        </w:tc>
        <w:tc>
          <w:tcPr>
            <w:tcW w:type="dxa" w:w="1872"/>
            <w:tcMar>
              <w:top w:w="70" w:type="dxa"/>
              <w:bottom w:w="70" w:type="dxa"/>
              <w:left w:w="100" w:type="dxa"/>
              <w:right w:w="100" w:type="dxa"/>
            </w:tcMar>
          </w:tcPr>
          <w:p>
            <w:pPr>
              <w:spacing w:after="0"/>
            </w:pPr>
            <w:r>
              <w:rPr>
                <w:rFonts w:ascii="Calibri" w:hAnsi="Calibri"/>
                <w:b/>
                <w:color w:val="BE123C"/>
                <w:sz w:val="17"/>
              </w:rPr>
              <w:t>REJECTED</w:t>
              <w:br/>
              <w:t>Severe data privacy liability under KDPA 2019</w:t>
            </w:r>
          </w:p>
        </w:tc>
      </w:tr>
      <w:tr>
        <w:tc>
          <w:tcPr>
            <w:tcW w:type="dxa" w:w="2304"/>
            <w:shd w:fill="F8FAFC"/>
            <w:tcMar>
              <w:top w:w="70" w:type="dxa"/>
              <w:bottom w:w="70" w:type="dxa"/>
              <w:left w:w="100" w:type="dxa"/>
              <w:right w:w="100" w:type="dxa"/>
            </w:tcMar>
          </w:tcPr>
          <w:p>
            <w:pPr>
              <w:spacing w:after="0"/>
            </w:pPr>
            <w:r>
              <w:rPr>
                <w:rFonts w:ascii="Calibri" w:hAnsi="Calibri"/>
                <w:b/>
                <w:color w:val="002D62"/>
                <w:sz w:val="17"/>
              </w:rPr>
              <w:t>Approach 2: Pure Decentralized (DID)</w:t>
            </w:r>
          </w:p>
        </w:tc>
        <w:tc>
          <w:tcPr>
            <w:tcW w:type="dxa" w:w="2592"/>
            <w:shd w:fill="F8FAFC"/>
            <w:tcMar>
              <w:top w:w="70" w:type="dxa"/>
              <w:bottom w:w="70" w:type="dxa"/>
              <w:left w:w="100" w:type="dxa"/>
              <w:right w:w="100" w:type="dxa"/>
            </w:tcMar>
          </w:tcPr>
          <w:p>
            <w:pPr>
              <w:spacing w:after="0"/>
            </w:pPr>
            <w:r>
              <w:rPr>
                <w:rFonts w:ascii="Calibri" w:hAnsi="Calibri"/>
                <w:color w:val="1E293B"/>
                <w:sz w:val="17"/>
              </w:rPr>
              <w:t>• High user privacy on personal device</w:t>
              <w:br/>
              <w:t>• Zero centralized secrets or evaluator required</w:t>
              <w:br/>
              <w:t>• Self-sovereign control of credentials</w:t>
            </w:r>
          </w:p>
        </w:tc>
        <w:tc>
          <w:tcPr>
            <w:tcW w:type="dxa" w:w="2592"/>
            <w:shd w:fill="F8FAFC"/>
            <w:tcMar>
              <w:top w:w="70" w:type="dxa"/>
              <w:bottom w:w="70" w:type="dxa"/>
              <w:left w:w="100" w:type="dxa"/>
              <w:right w:w="100" w:type="dxa"/>
            </w:tcMar>
          </w:tcPr>
          <w:p>
            <w:pPr>
              <w:spacing w:after="0"/>
            </w:pPr>
            <w:r>
              <w:rPr>
                <w:rFonts w:ascii="Calibri" w:hAnsi="Calibri"/>
                <w:color w:val="1E293B"/>
                <w:sz w:val="17"/>
              </w:rPr>
              <w:t>• UNVIABLE IN RURAL KENYA: 70%+ of farmers use basic 2G Nokia phones with no screens or crypto chips</w:t>
              <w:br/>
              <w:t>• High risk of permanent identity loss on phone loss/battery drain</w:t>
              <w:br/>
              <w:t>• Cannot coordinate cross-provider deduplication</w:t>
            </w:r>
          </w:p>
        </w:tc>
        <w:tc>
          <w:tcPr>
            <w:tcW w:type="dxa" w:w="1872"/>
            <w:shd w:fill="F8FAFC"/>
            <w:tcMar>
              <w:top w:w="70" w:type="dxa"/>
              <w:bottom w:w="70" w:type="dxa"/>
              <w:left w:w="100" w:type="dxa"/>
              <w:right w:w="100" w:type="dxa"/>
            </w:tcMar>
          </w:tcPr>
          <w:p>
            <w:pPr>
              <w:spacing w:after="0"/>
            </w:pPr>
            <w:r>
              <w:rPr>
                <w:rFonts w:ascii="Calibri" w:hAnsi="Calibri"/>
                <w:b/>
                <w:color w:val="BE123C"/>
                <w:sz w:val="17"/>
              </w:rPr>
              <w:t>REJECTED</w:t>
              <w:br/>
              <w:t>Operationally impossible for rural smallholders</w:t>
            </w:r>
          </w:p>
        </w:tc>
      </w:tr>
      <w:tr>
        <w:tc>
          <w:tcPr>
            <w:tcW w:type="dxa" w:w="2304"/>
            <w:tcMar>
              <w:top w:w="70" w:type="dxa"/>
              <w:bottom w:w="70" w:type="dxa"/>
              <w:left w:w="100" w:type="dxa"/>
              <w:right w:w="100" w:type="dxa"/>
            </w:tcMar>
          </w:tcPr>
          <w:p>
            <w:pPr>
              <w:spacing w:after="0"/>
            </w:pPr>
            <w:r>
              <w:rPr>
                <w:rFonts w:ascii="Calibri" w:hAnsi="Calibri"/>
                <w:b/>
                <w:color w:val="002D62"/>
                <w:sz w:val="17"/>
              </w:rPr>
              <w:t>Approach 3: Target Hybrid (VOPRF)</w:t>
            </w:r>
          </w:p>
        </w:tc>
        <w:tc>
          <w:tcPr>
            <w:tcW w:type="dxa" w:w="2592"/>
            <w:tcMar>
              <w:top w:w="70" w:type="dxa"/>
              <w:bottom w:w="70" w:type="dxa"/>
              <w:left w:w="100" w:type="dxa"/>
              <w:right w:w="100" w:type="dxa"/>
            </w:tcMar>
          </w:tcPr>
          <w:p>
            <w:pPr>
              <w:spacing w:after="0"/>
            </w:pPr>
            <w:r>
              <w:rPr>
                <w:rFonts w:ascii="Calibri" w:hAnsi="Calibri"/>
                <w:color w:val="1E293B"/>
                <w:sz w:val="17"/>
              </w:rPr>
              <w:t>• Bank-grade privacy: Client blinds phone locally; central Evaluator never sees raw numbers</w:t>
              <w:br/>
              <w:t>• Zero rainbow table threat: Evaluator rate-limits checks</w:t>
              <w:br/>
              <w:t>• 100% 2G basic phone compatible via field tablets</w:t>
              <w:br/>
              <w:t>• Sub-millisecond (&lt;0.05ms) PEP consent checks with async durability</w:t>
            </w:r>
          </w:p>
        </w:tc>
        <w:tc>
          <w:tcPr>
            <w:tcW w:type="dxa" w:w="2592"/>
            <w:tcMar>
              <w:top w:w="70" w:type="dxa"/>
              <w:bottom w:w="70" w:type="dxa"/>
              <w:left w:w="100" w:type="dxa"/>
              <w:right w:w="100" w:type="dxa"/>
            </w:tcMar>
          </w:tcPr>
          <w:p>
            <w:pPr>
              <w:spacing w:after="0"/>
            </w:pPr>
            <w:r>
              <w:rPr>
                <w:rFonts w:ascii="Calibri" w:hAnsi="Calibri"/>
                <w:color w:val="1E293B"/>
                <w:sz w:val="17"/>
              </w:rPr>
              <w:t>• Requires managing an isolated HSM/KMS for the Evaluator</w:t>
              <w:br/>
              <w:t>• Slightly higher cryptographic complexity than plain hashing (secp256k1 DLEQ proofs)</w:t>
            </w:r>
          </w:p>
        </w:tc>
        <w:tc>
          <w:tcPr>
            <w:tcW w:type="dxa" w:w="1872"/>
            <w:tcMar>
              <w:top w:w="70" w:type="dxa"/>
              <w:bottom w:w="70" w:type="dxa"/>
              <w:left w:w="100" w:type="dxa"/>
              <w:right w:w="100" w:type="dxa"/>
            </w:tcMar>
          </w:tcPr>
          <w:p>
            <w:pPr>
              <w:spacing w:after="0"/>
            </w:pPr>
            <w:r>
              <w:rPr>
                <w:rFonts w:ascii="Calibri" w:hAnsi="Calibri"/>
                <w:b/>
                <w:color w:val="059669"/>
                <w:sz w:val="17"/>
              </w:rPr>
              <w:t>SELECTED AS BEST BET</w:t>
              <w:br/>
              <w:t>Delivers maximum security with 100% rural viability</w:t>
            </w:r>
          </w:p>
        </w:tc>
      </w:tr>
    </w:tbl>
    <w:p>
      <w:pPr>
        <w:spacing w:after="120"/>
      </w:pPr>
    </w:p>
    <w:p>
      <w:pPr>
        <w:keepNext/>
        <w:spacing w:before="360" w:after="120"/>
      </w:pPr>
      <w:r>
        <w:rPr>
          <w:rFonts w:ascii="Calibri" w:hAnsi="Calibri"/>
          <w:b/>
          <w:color w:val="002D62"/>
          <w:sz w:val="32"/>
        </w:rPr>
        <w:t>3. Cryptographic Deep-Dive: Why Double-Hashing Fails Even with a Secret Server Key</w:t>
      </w:r>
    </w:p>
    <w:p>
      <w:pPr>
        <w:spacing w:after="100" w:line="276" w:lineRule="auto"/>
      </w:pPr>
      <w:r>
        <w:rPr>
          <w:rFonts w:ascii="Calibri" w:hAnsi="Calibri"/>
          <w:b w:val="0"/>
          <w:i w:val="0"/>
          <w:color w:val="1E293B"/>
          <w:sz w:val="21"/>
        </w:rPr>
        <w:t>A frequent and astute question raised during technical reviews is: 'If the server key (K_server) is secret only to the central server, why is Double Hashing vulnerable even if the partner key (K_partner) is leaked?'</w:t>
      </w:r>
    </w:p>
    <w:p>
      <w:pPr>
        <w:spacing w:after="100" w:line="276" w:lineRule="auto"/>
      </w:pPr>
      <w:r>
        <w:rPr>
          <w:rFonts w:ascii="Calibri" w:hAnsi="Calibri"/>
          <w:b w:val="0"/>
          <w:i w:val="0"/>
          <w:color w:val="1E293B"/>
          <w:sz w:val="21"/>
        </w:rPr>
        <w:t>In Double Hashing, the process executes in two sequential stages: (1) The partner app computes Hash1 = HMAC(K_partner, phone), and (2) The server computes Hash2 = HMAC(K_server, Hash1). The server stores only Hash2.</w:t>
      </w:r>
    </w:p>
    <w:p>
      <w:pPr>
        <w:spacing w:after="100" w:line="276" w:lineRule="auto"/>
      </w:pPr>
      <w:r>
        <w:rPr>
          <w:rFonts w:ascii="Calibri" w:hAnsi="Calibri"/>
          <w:b w:val="0"/>
          <w:i w:val="0"/>
          <w:color w:val="1E293B"/>
          <w:sz w:val="21"/>
        </w:rPr>
        <w:t>While this appears secure on paper, it introduces three fatal vulnerability vectors in a national Digital Public Infrastructure:</w:t>
      </w:r>
    </w:p>
    <w:p>
      <w:pPr>
        <w:pStyle w:val="ListBullet"/>
        <w:spacing w:after="60" w:line="276" w:lineRule="auto"/>
      </w:pPr>
      <w:r>
        <w:rPr>
          <w:rFonts w:ascii="Calibri" w:hAnsi="Calibri"/>
          <w:b/>
          <w:color w:val="1E293B"/>
          <w:sz w:val="21"/>
        </w:rPr>
        <w:t xml:space="preserve">Vulnerability 1: The Server Acts as a 'Free Decryption Oracle'. </w:t>
      </w:r>
      <w:r>
        <w:rPr>
          <w:rFonts w:ascii="Calibri" w:hAnsi="Calibri"/>
          <w:color w:val="1E293B"/>
          <w:sz w:val="21"/>
        </w:rPr>
        <w:t>Because K_partner must be shared across hundreds of field agent tablets and partner backends, any rogue employee or compromised tablet allows an attacker to compute Hash1 for any candidate phone number. When the attacker submits Hash1 to the registry API, the server computes Hash2 and returns the farmer's record. The server willingly acts as a decryption oracle, rendering the secret server key useless for protecting individual farmers.</w:t>
      </w:r>
    </w:p>
    <w:p>
      <w:pPr>
        <w:pStyle w:val="ListBullet"/>
        <w:spacing w:after="60" w:line="276" w:lineRule="auto"/>
      </w:pPr>
      <w:r>
        <w:rPr>
          <w:rFonts w:ascii="Calibri" w:hAnsi="Calibri"/>
          <w:b/>
          <w:color w:val="1E293B"/>
          <w:sz w:val="21"/>
        </w:rPr>
        <w:t xml:space="preserve">Vulnerability 2: The Bounded 200M Phone Search Space. </w:t>
      </w:r>
      <w:r>
        <w:rPr>
          <w:rFonts w:ascii="Calibri" w:hAnsi="Calibri"/>
          <w:color w:val="1E293B"/>
          <w:sz w:val="21"/>
        </w:rPr>
        <w:t>In real-world data breaches, server databases get dumped (via SQL injection, misconfigured cloud storage, or compromised backups). If an attacker exfiltrates the Hash2 table and subsequently compromises K_server, HMAC-SHA256 executes at over 100 million hashes per second on standard cloud GPUs. Because Kenya's total mobile number space is strictly bounded (~200 million numbers), all 200M numbers can be pre-calculated and matched against the stolen database in under 2 minutes (a rainbow table attack).</w:t>
      </w:r>
    </w:p>
    <w:p>
      <w:pPr>
        <w:pStyle w:val="ListBullet"/>
        <w:spacing w:after="60" w:line="276" w:lineRule="auto"/>
      </w:pPr>
      <w:r>
        <w:rPr>
          <w:rFonts w:ascii="Calibri" w:hAnsi="Calibri"/>
          <w:b/>
          <w:color w:val="1E293B"/>
          <w:sz w:val="21"/>
        </w:rPr>
        <w:t xml:space="preserve">Vulnerability 3: Symmetric Key Custody Flaw. </w:t>
      </w:r>
      <w:r>
        <w:rPr>
          <w:rFonts w:ascii="Calibri" w:hAnsi="Calibri"/>
          <w:color w:val="1E293B"/>
          <w:sz w:val="21"/>
        </w:rPr>
        <w:t>In Double Hashing, partners MUST hold a symmetric secret key. If 500 field officers possess the mobile registration app, the secret key resides in 500 physical places. In contrast, with RFC 9497 VOPRF, field tablets hold zero secret keys—they only generate a random scalar blinding factor r. Even if 1,000 field tablets are stolen, zero key material exists on the devices.</w:t>
      </w:r>
    </w:p>
    <w:p>
      <w:pPr>
        <w:spacing w:before="160" w:after="60"/>
        <w:jc w:val="center"/>
      </w:pPr>
      <w:r>
        <w:drawing>
          <wp:inline xmlns:a="http://schemas.openxmlformats.org/drawingml/2006/main" xmlns:pic="http://schemas.openxmlformats.org/drawingml/2006/picture">
            <wp:extent cx="5669280" cy="3090426"/>
            <wp:docPr id="1" name="Picture 1"/>
            <wp:cNvGraphicFramePr>
              <a:graphicFrameLocks noChangeAspect="1"/>
            </wp:cNvGraphicFramePr>
            <a:graphic>
              <a:graphicData uri="http://schemas.openxmlformats.org/drawingml/2006/picture">
                <pic:pic>
                  <pic:nvPicPr>
                    <pic:cNvPr id="0" name="diagram_1_decision_model.png"/>
                    <pic:cNvPicPr/>
                  </pic:nvPicPr>
                  <pic:blipFill>
                    <a:blip r:embed="rId9"/>
                    <a:stretch>
                      <a:fillRect/>
                    </a:stretch>
                  </pic:blipFill>
                  <pic:spPr>
                    <a:xfrm>
                      <a:off x="0" y="0"/>
                      <a:ext cx="5669280" cy="3090426"/>
                    </a:xfrm>
                    <a:prstGeom prst="rect"/>
                  </pic:spPr>
                </pic:pic>
              </a:graphicData>
            </a:graphic>
          </wp:inline>
        </w:drawing>
      </w:r>
    </w:p>
    <w:p>
      <w:pPr>
        <w:spacing w:after="200"/>
        <w:jc w:val="center"/>
      </w:pPr>
      <w:r>
        <w:rPr>
          <w:rFonts w:ascii="Calibri" w:hAnsi="Calibri"/>
          <w:i/>
          <w:color w:val="64748B"/>
          <w:sz w:val="18"/>
        </w:rPr>
        <w:t>Figure: Architectural Decision Model: Evaluating Cryptographic Privacy vs. Field Viability</w:t>
      </w:r>
    </w:p>
    <w:p>
      <w:pPr>
        <w:keepNext/>
        <w:spacing w:before="360" w:after="120"/>
      </w:pPr>
      <w:r>
        <w:rPr>
          <w:rFonts w:ascii="Calibri" w:hAnsi="Calibri"/>
          <w:b/>
          <w:color w:val="002D62"/>
          <w:sz w:val="32"/>
        </w:rPr>
        <w:t>4. How the Hybrid Architecture Solves Every Operational Challenge</w:t>
      </w:r>
    </w:p>
    <w:p>
      <w:pPr>
        <w:spacing w:after="100" w:line="276" w:lineRule="auto"/>
      </w:pPr>
      <w:r>
        <w:rPr>
          <w:rFonts w:ascii="Calibri" w:hAnsi="Calibri"/>
          <w:b w:val="0"/>
          <w:i w:val="0"/>
          <w:color w:val="1E293B"/>
          <w:sz w:val="21"/>
        </w:rPr>
        <w:t>Through seven rigorous security and performance audit rounds, every potential pitfall of the Hybrid Architecture has been systematically engineered, tested, and resolved in the production codebase:</w:t>
      </w:r>
    </w:p>
    <w:p>
      <w:pPr>
        <w:pStyle w:val="ListBullet"/>
        <w:spacing w:after="60" w:line="276" w:lineRule="auto"/>
      </w:pPr>
      <w:r>
        <w:rPr>
          <w:rFonts w:ascii="Calibri" w:hAnsi="Calibri"/>
          <w:b/>
          <w:color w:val="1E293B"/>
          <w:sz w:val="21"/>
        </w:rPr>
        <w:t xml:space="preserve">1. Rural Offline Field Operations: </w:t>
      </w:r>
      <w:r>
        <w:rPr>
          <w:rFonts w:ascii="Calibri" w:hAnsi="Calibri"/>
          <w:color w:val="1E293B"/>
          <w:sz w:val="21"/>
        </w:rPr>
        <w:t>Implemented OfflineStoreAndForwardQueue using local encrypted SQLite. Field agents register farmers in remote zero-connectivity zones; upon returning to network coverage, payloads replay in batches, credit first onboarding, and cryptographically zeroize raw phone numbers from device storage.</w:t>
      </w:r>
    </w:p>
    <w:p>
      <w:pPr>
        <w:pStyle w:val="ListBullet"/>
        <w:spacing w:after="60" w:line="276" w:lineRule="auto"/>
      </w:pPr>
      <w:r>
        <w:rPr>
          <w:rFonts w:ascii="Calibri" w:hAnsi="Calibri"/>
          <w:b/>
          <w:color w:val="1E293B"/>
          <w:sz w:val="21"/>
        </w:rPr>
        <w:t xml:space="preserve">2. Evaluator Throughput &amp; Scalability: </w:t>
      </w:r>
      <w:r>
        <w:rPr>
          <w:rFonts w:ascii="Calibri" w:hAnsi="Calibri"/>
          <w:color w:val="1E293B"/>
          <w:sz w:val="21"/>
        </w:rPr>
        <w:t>VOPRF evaluation (Z = k * B) is lightweight elliptic curve scalar multiplication on secp256k1. A single commodity CPU core evaluates over 1,200 points per second with non-interactive DLEQ zero-knowledge proofs, effortlessly supporting national throughput.</w:t>
      </w:r>
    </w:p>
    <w:p>
      <w:pPr>
        <w:pStyle w:val="ListBullet"/>
        <w:spacing w:after="60" w:line="276" w:lineRule="auto"/>
      </w:pPr>
      <w:r>
        <w:rPr>
          <w:rFonts w:ascii="Calibri" w:hAnsi="Calibri"/>
          <w:b/>
          <w:color w:val="1E293B"/>
          <w:sz w:val="21"/>
        </w:rPr>
        <w:t xml:space="preserve">3. High-Volume Advisory Dispatch Latency: </w:t>
      </w:r>
      <w:r>
        <w:rPr>
          <w:rFonts w:ascii="Calibri" w:hAnsi="Calibri"/>
          <w:color w:val="1E293B"/>
          <w:sz w:val="21"/>
        </w:rPr>
        <w:t>Decoupled the Policy Enforcement Point (PEP) in Rounds 6 &amp; 7 (Task N10). PEP checks (/v1/consent/check) evaluate in memory in &lt;0.05ms, while logging is handed off to an in-process batch worker (AsyncAuditWorker) with 3-attempt backoff retry and audit_dead_letter.jsonl durability.</w:t>
      </w:r>
    </w:p>
    <w:p>
      <w:pPr>
        <w:pStyle w:val="ListBullet"/>
        <w:spacing w:after="60" w:line="276" w:lineRule="auto"/>
      </w:pPr>
      <w:r>
        <w:rPr>
          <w:rFonts w:ascii="Calibri" w:hAnsi="Calibri"/>
          <w:b/>
          <w:color w:val="1E293B"/>
          <w:sz w:val="21"/>
        </w:rPr>
        <w:t xml:space="preserve">4. Key Custody &amp; Refusal of Burned Keys: </w:t>
      </w:r>
      <w:r>
        <w:rPr>
          <w:rFonts w:ascii="Calibri" w:hAnsi="Calibri"/>
          <w:color w:val="1E293B"/>
          <w:sz w:val="21"/>
        </w:rPr>
        <w:t>Purged all source-code key literals in Round 3 (Critical 1). Keys are loaded strictly at runtime from AWS CloudHSM or HashiCorp Vault. Server startup fails loudly if the key is missing, decimal, or matches burned key epochs (v1, v2).</w:t>
      </w:r>
    </w:p>
    <w:p>
      <w:pPr>
        <w:pStyle w:val="ListBullet"/>
        <w:spacing w:after="60" w:line="276" w:lineRule="auto"/>
      </w:pPr>
      <w:r>
        <w:rPr>
          <w:rFonts w:ascii="Calibri" w:hAnsi="Calibri"/>
          <w:b/>
          <w:color w:val="1E293B"/>
          <w:sz w:val="21"/>
        </w:rPr>
        <w:t xml:space="preserve">5. Multi-Tenant Consent Leakage: </w:t>
      </w:r>
      <w:r>
        <w:rPr>
          <w:rFonts w:ascii="Calibri" w:hAnsi="Calibri"/>
          <w:color w:val="1E293B"/>
          <w:sz w:val="21"/>
        </w:rPr>
        <w:t>In Round 5 (Task N8), added on_behalf_of_partner_id scoping to the PEP. If a farmer registered with both One Acre Fund and KTDA opts out from One Acre Fund, One Acre Fund alerts are strictly BLOCKED, while KTDA tea alerts continue safely.</w:t>
      </w:r>
    </w:p>
    <w:p>
      <w:pPr>
        <w:pStyle w:val="ListBullet"/>
        <w:spacing w:after="60" w:line="276" w:lineRule="auto"/>
      </w:pPr>
      <w:r>
        <w:rPr>
          <w:rFonts w:ascii="Calibri" w:hAnsi="Calibri"/>
          <w:b/>
          <w:color w:val="1E293B"/>
          <w:sz w:val="21"/>
        </w:rPr>
        <w:t xml:space="preserve">6. Shared Family Handsets &amp; Multiple SIMs: </w:t>
      </w:r>
      <w:r>
        <w:rPr>
          <w:rFonts w:ascii="Calibri" w:hAnsi="Calibri"/>
          <w:color w:val="1E293B"/>
          <w:sz w:val="21"/>
        </w:rPr>
        <w:t>Decoupled Identity from Attribution: Co-holders sharing a single family phone are managed via co-holder profiles, and dual-SIM holders are linked via TokenAlias rotation without corrupting canonical entity records.</w:t>
      </w:r>
    </w:p>
    <w:p>
      <w:pPr>
        <w:keepNext/>
        <w:spacing w:before="360" w:after="120"/>
      </w:pPr>
      <w:r>
        <w:rPr>
          <w:rFonts w:ascii="Calibri" w:hAnsi="Calibri"/>
          <w:b/>
          <w:color w:val="002D62"/>
          <w:sz w:val="32"/>
        </w:rPr>
        <w:t>5. Actual Prototype Front-End &amp; Live Monitoring Dashboard</w:t>
      </w:r>
    </w:p>
    <w:p>
      <w:pPr>
        <w:spacing w:after="100" w:line="276" w:lineRule="auto"/>
      </w:pPr>
      <w:r>
        <w:rPr>
          <w:rFonts w:ascii="Calibri" w:hAnsi="Calibri"/>
          <w:b w:val="0"/>
          <w:i w:val="0"/>
          <w:color w:val="1E293B"/>
          <w:sz w:val="21"/>
        </w:rPr>
        <w:t>To provide complete transparency, the platform was seeded with 31 realistic Kenyan smallholder mobile numbers across multiple counties (Kakamega, Nyeri, Nakuru, Uasin Gishu, Kiambu) and partners (One Acre Fund, KTDA, DigiFarm). Below are actual screenshots captured directly from the running local development environment.</w:t>
      </w:r>
    </w:p>
    <w:p>
      <w:pPr>
        <w:keepNext/>
        <w:spacing w:before="280" w:after="80"/>
      </w:pPr>
      <w:r>
        <w:rPr>
          <w:rFonts w:ascii="Calibri" w:hAnsi="Calibri"/>
          <w:b/>
          <w:color w:val="059669"/>
          <w:sz w:val="25"/>
        </w:rPr>
        <w:t>Actual Prototype Front End: Developer Console &amp; Mobile Number Tester</w:t>
      </w:r>
    </w:p>
    <w:p>
      <w:pPr>
        <w:spacing w:after="100" w:line="276" w:lineRule="auto"/>
      </w:pPr>
      <w:r>
        <w:rPr>
          <w:rFonts w:ascii="Calibri" w:hAnsi="Calibri"/>
          <w:b w:val="0"/>
          <w:i w:val="0"/>
          <w:color w:val="1E293B"/>
          <w:sz w:val="21"/>
        </w:rPr>
        <w:t>The interactive Developer Console (/dev/console) enables partner technical teams and field officers to test phone normalization, inspect client-side curve blinding (B = r * P), verify zero-knowledge DLEQ proofs, and test multi-partner registration scenarios in real time.</w:t>
      </w:r>
    </w:p>
    <w:p>
      <w:pPr>
        <w:spacing w:before="160" w:after="60"/>
        <w:jc w:val="center"/>
      </w:pPr>
      <w:r>
        <w:drawing>
          <wp:inline xmlns:a="http://schemas.openxmlformats.org/drawingml/2006/main" xmlns:pic="http://schemas.openxmlformats.org/drawingml/2006/picture">
            <wp:extent cx="5669280" cy="4251960"/>
            <wp:docPr id="2" name="Picture 2"/>
            <wp:cNvGraphicFramePr>
              <a:graphicFrameLocks noChangeAspect="1"/>
            </wp:cNvGraphicFramePr>
            <a:graphic>
              <a:graphicData uri="http://schemas.openxmlformats.org/drawingml/2006/picture">
                <pic:pic>
                  <pic:nvPicPr>
                    <pic:cNvPr id="0" name="actual_prototype_frontend.png"/>
                    <pic:cNvPicPr/>
                  </pic:nvPicPr>
                  <pic:blipFill>
                    <a:blip r:embed="rId10"/>
                    <a:stretch>
                      <a:fillRect/>
                    </a:stretch>
                  </pic:blipFill>
                  <pic:spPr>
                    <a:xfrm>
                      <a:off x="0" y="0"/>
                      <a:ext cx="5669280" cy="4251960"/>
                    </a:xfrm>
                    <a:prstGeom prst="rect"/>
                  </pic:spPr>
                </pic:pic>
              </a:graphicData>
            </a:graphic>
          </wp:inline>
        </w:drawing>
      </w:r>
    </w:p>
    <w:p>
      <w:pPr>
        <w:spacing w:after="200"/>
        <w:jc w:val="center"/>
      </w:pPr>
      <w:r>
        <w:rPr>
          <w:rFonts w:ascii="Calibri" w:hAnsi="Calibri"/>
          <w:i/>
          <w:color w:val="64748B"/>
          <w:sz w:val="18"/>
        </w:rPr>
        <w:t>Figure: Actual Prototype Front End: Interactive Mobile Number Tester and Scenario Suite</w:t>
      </w:r>
    </w:p>
    <w:p>
      <w:pPr>
        <w:keepNext/>
        <w:spacing w:before="280" w:after="80"/>
      </w:pPr>
      <w:r>
        <w:rPr>
          <w:rFonts w:ascii="Calibri" w:hAnsi="Calibri"/>
          <w:b/>
          <w:color w:val="059669"/>
          <w:sz w:val="25"/>
        </w:rPr>
        <w:t>Actual Monitoring Page: Live Telemetry &amp; Observability Dashboard</w:t>
      </w:r>
    </w:p>
    <w:p>
      <w:pPr>
        <w:spacing w:after="100" w:line="276" w:lineRule="auto"/>
      </w:pPr>
      <w:r>
        <w:rPr>
          <w:rFonts w:ascii="Calibri" w:hAnsi="Calibri"/>
          <w:b w:val="0"/>
          <w:i w:val="0"/>
          <w:color w:val="1E293B"/>
          <w:sz w:val="21"/>
        </w:rPr>
        <w:t>The executive telemetry monitoring dashboard (/dashboard) provides real-time visibility into DPI health, deduplication performance, and privacy safeguards. Counts smaller than 5 are automatically suppressed (k &gt;= 5) to guarantee demographic privacy.</w:t>
      </w:r>
    </w:p>
    <w:p>
      <w:pPr>
        <w:spacing w:before="160" w:after="60"/>
        <w:jc w:val="center"/>
      </w:pPr>
      <w:r>
        <w:drawing>
          <wp:inline xmlns:a="http://schemas.openxmlformats.org/drawingml/2006/main" xmlns:pic="http://schemas.openxmlformats.org/drawingml/2006/picture">
            <wp:extent cx="5669280" cy="4859383"/>
            <wp:docPr id="3" name="Picture 3"/>
            <wp:cNvGraphicFramePr>
              <a:graphicFrameLocks noChangeAspect="1"/>
            </wp:cNvGraphicFramePr>
            <a:graphic>
              <a:graphicData uri="http://schemas.openxmlformats.org/drawingml/2006/picture">
                <pic:pic>
                  <pic:nvPicPr>
                    <pic:cNvPr id="0" name="actual_monitoring_dashboard.png"/>
                    <pic:cNvPicPr/>
                  </pic:nvPicPr>
                  <pic:blipFill>
                    <a:blip r:embed="rId11"/>
                    <a:stretch>
                      <a:fillRect/>
                    </a:stretch>
                  </pic:blipFill>
                  <pic:spPr>
                    <a:xfrm>
                      <a:off x="0" y="0"/>
                      <a:ext cx="5669280" cy="4859383"/>
                    </a:xfrm>
                    <a:prstGeom prst="rect"/>
                  </pic:spPr>
                </pic:pic>
              </a:graphicData>
            </a:graphic>
          </wp:inline>
        </w:drawing>
      </w:r>
    </w:p>
    <w:p>
      <w:pPr>
        <w:spacing w:after="200"/>
        <w:jc w:val="center"/>
      </w:pPr>
      <w:r>
        <w:rPr>
          <w:rFonts w:ascii="Calibri" w:hAnsi="Calibri"/>
          <w:i/>
          <w:color w:val="64748B"/>
          <w:sz w:val="18"/>
        </w:rPr>
        <w:t>Figure: Actual Monitoring Dashboard: Live Telemetry, Verified Counts &amp; Overlap Rates</w:t>
      </w:r>
    </w:p>
    <w:p>
      <w:pPr>
        <w:keepNext/>
        <w:spacing w:before="200" w:after="40"/>
      </w:pPr>
      <w:r>
        <w:rPr>
          <w:rFonts w:ascii="Calibri" w:hAnsi="Calibri"/>
          <w:b/>
          <w:color w:val="1E293B"/>
          <w:sz w:val="22"/>
        </w:rPr>
        <w:t>Live Telemetry Metric Verification Table (Measured from Running Database)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68"/>
            <w:shd w:fill="002D62"/>
            <w:tcMar>
              <w:top w:w="90" w:type="dxa"/>
              <w:bottom w:w="90" w:type="dxa"/>
              <w:left w:w="100" w:type="dxa"/>
              <w:right w:w="100" w:type="dxa"/>
            </w:tcMar>
          </w:tcPr>
          <w:p>
            <w:pPr>
              <w:spacing w:after="0"/>
            </w:pPr>
            <w:r>
              <w:rPr>
                <w:rFonts w:ascii="Calibri" w:hAnsi="Calibri"/>
                <w:b/>
                <w:color w:val="FFFFFF"/>
                <w:sz w:val="19"/>
              </w:rPr>
              <w:t>Telemetry Metric</w:t>
            </w:r>
          </w:p>
        </w:tc>
        <w:tc>
          <w:tcPr>
            <w:tcW w:type="dxa" w:w="2592"/>
            <w:shd w:fill="002D62"/>
            <w:tcMar>
              <w:top w:w="90" w:type="dxa"/>
              <w:bottom w:w="90" w:type="dxa"/>
              <w:left w:w="100" w:type="dxa"/>
              <w:right w:w="100" w:type="dxa"/>
            </w:tcMar>
          </w:tcPr>
          <w:p>
            <w:pPr>
              <w:spacing w:after="0"/>
            </w:pPr>
            <w:r>
              <w:rPr>
                <w:rFonts w:ascii="Calibri" w:hAnsi="Calibri"/>
                <w:b/>
                <w:color w:val="FFFFFF"/>
                <w:sz w:val="19"/>
              </w:rPr>
              <w:t>Measured Value</w:t>
            </w:r>
          </w:p>
        </w:tc>
        <w:tc>
          <w:tcPr>
            <w:tcW w:type="dxa" w:w="3600"/>
            <w:shd w:fill="002D62"/>
            <w:tcMar>
              <w:top w:w="90" w:type="dxa"/>
              <w:bottom w:w="90" w:type="dxa"/>
              <w:left w:w="100" w:type="dxa"/>
              <w:right w:w="100" w:type="dxa"/>
            </w:tcMar>
          </w:tcPr>
          <w:p>
            <w:pPr>
              <w:spacing w:after="0"/>
            </w:pPr>
            <w:r>
              <w:rPr>
                <w:rFonts w:ascii="Calibri" w:hAnsi="Calibri"/>
                <w:b/>
                <w:color w:val="FFFFFF"/>
                <w:sz w:val="19"/>
              </w:rPr>
              <w:t>DPI Architectural Reconciliation</w:t>
            </w:r>
          </w:p>
        </w:tc>
      </w:tr>
      <w:tr>
        <w:tc>
          <w:tcPr>
            <w:tcW w:type="dxa" w:w="3168"/>
            <w:tcMar>
              <w:top w:w="70" w:type="dxa"/>
              <w:bottom w:w="70" w:type="dxa"/>
              <w:left w:w="100" w:type="dxa"/>
              <w:right w:w="100" w:type="dxa"/>
            </w:tcMar>
          </w:tcPr>
          <w:p>
            <w:pPr>
              <w:spacing w:after="0"/>
            </w:pPr>
            <w:r>
              <w:rPr>
                <w:rFonts w:ascii="Calibri" w:hAnsi="Calibri"/>
                <w:b/>
                <w:color w:val="002D62"/>
                <w:sz w:val="18"/>
              </w:rPr>
              <w:t>Active Partner Registrations</w:t>
            </w:r>
          </w:p>
        </w:tc>
        <w:tc>
          <w:tcPr>
            <w:tcW w:type="dxa" w:w="2592"/>
            <w:tcMar>
              <w:top w:w="70" w:type="dxa"/>
              <w:bottom w:w="70" w:type="dxa"/>
              <w:left w:w="100" w:type="dxa"/>
              <w:right w:w="100" w:type="dxa"/>
            </w:tcMar>
          </w:tcPr>
          <w:p>
            <w:pPr>
              <w:spacing w:after="0"/>
            </w:pPr>
            <w:r>
              <w:rPr>
                <w:rFonts w:ascii="Calibri" w:hAnsi="Calibri"/>
                <w:b/>
                <w:color w:val="059669"/>
                <w:sz w:val="18"/>
              </w:rPr>
              <w:t>38 Registrations</w:t>
            </w:r>
          </w:p>
        </w:tc>
        <w:tc>
          <w:tcPr>
            <w:tcW w:type="dxa" w:w="3600"/>
            <w:tcMar>
              <w:top w:w="70" w:type="dxa"/>
              <w:bottom w:w="70" w:type="dxa"/>
              <w:left w:w="100" w:type="dxa"/>
              <w:right w:w="100" w:type="dxa"/>
            </w:tcMar>
          </w:tcPr>
          <w:p>
            <w:pPr>
              <w:spacing w:after="0"/>
            </w:pPr>
            <w:r>
              <w:rPr>
                <w:rFonts w:ascii="Calibri" w:hAnsi="Calibri"/>
                <w:color w:val="1E293B"/>
                <w:sz w:val="18"/>
              </w:rPr>
              <w:t>Total registration associations across One Acre Fund, KTDA, and DigiFarm</w:t>
            </w:r>
          </w:p>
        </w:tc>
      </w:tr>
      <w:tr>
        <w:tc>
          <w:tcPr>
            <w:tcW w:type="dxa" w:w="3168"/>
            <w:shd w:fill="F8FAFC"/>
            <w:tcMar>
              <w:top w:w="70" w:type="dxa"/>
              <w:bottom w:w="70" w:type="dxa"/>
              <w:left w:w="100" w:type="dxa"/>
              <w:right w:w="100" w:type="dxa"/>
            </w:tcMar>
          </w:tcPr>
          <w:p>
            <w:pPr>
              <w:spacing w:after="0"/>
            </w:pPr>
            <w:r>
              <w:rPr>
                <w:rFonts w:ascii="Calibri" w:hAnsi="Calibri"/>
                <w:b/>
                <w:color w:val="002D62"/>
                <w:sz w:val="18"/>
              </w:rPr>
              <w:t>Unique Verified Farmers</w:t>
            </w:r>
          </w:p>
        </w:tc>
        <w:tc>
          <w:tcPr>
            <w:tcW w:type="dxa" w:w="2592"/>
            <w:shd w:fill="F8FAFC"/>
            <w:tcMar>
              <w:top w:w="70" w:type="dxa"/>
              <w:bottom w:w="70" w:type="dxa"/>
              <w:left w:w="100" w:type="dxa"/>
              <w:right w:w="100" w:type="dxa"/>
            </w:tcMar>
          </w:tcPr>
          <w:p>
            <w:pPr>
              <w:spacing w:after="0"/>
            </w:pPr>
            <w:r>
              <w:rPr>
                <w:rFonts w:ascii="Calibri" w:hAnsi="Calibri"/>
                <w:b/>
                <w:color w:val="059669"/>
                <w:sz w:val="18"/>
              </w:rPr>
              <w:t>31 Unique Entities</w:t>
            </w:r>
          </w:p>
        </w:tc>
        <w:tc>
          <w:tcPr>
            <w:tcW w:type="dxa" w:w="3600"/>
            <w:shd w:fill="F8FAFC"/>
            <w:tcMar>
              <w:top w:w="70" w:type="dxa"/>
              <w:bottom w:w="70" w:type="dxa"/>
              <w:left w:w="100" w:type="dxa"/>
              <w:right w:w="100" w:type="dxa"/>
            </w:tcMar>
          </w:tcPr>
          <w:p>
            <w:pPr>
              <w:spacing w:after="0"/>
            </w:pPr>
            <w:r>
              <w:rPr>
                <w:rFonts w:ascii="Calibri" w:hAnsi="Calibri"/>
                <w:color w:val="1E293B"/>
                <w:sz w:val="18"/>
              </w:rPr>
              <w:t>Canonical RFC 9497 pseudonymous entities derived via VOPRF token finalization</w:t>
            </w:r>
          </w:p>
        </w:tc>
      </w:tr>
      <w:tr>
        <w:tc>
          <w:tcPr>
            <w:tcW w:type="dxa" w:w="3168"/>
            <w:tcMar>
              <w:top w:w="70" w:type="dxa"/>
              <w:bottom w:w="70" w:type="dxa"/>
              <w:left w:w="100" w:type="dxa"/>
              <w:right w:w="100" w:type="dxa"/>
            </w:tcMar>
          </w:tcPr>
          <w:p>
            <w:pPr>
              <w:spacing w:after="0"/>
            </w:pPr>
            <w:r>
              <w:rPr>
                <w:rFonts w:ascii="Calibri" w:hAnsi="Calibri"/>
                <w:b/>
                <w:color w:val="002D62"/>
                <w:sz w:val="18"/>
              </w:rPr>
              <w:t>Cross-Partner Overlap Rate</w:t>
            </w:r>
          </w:p>
        </w:tc>
        <w:tc>
          <w:tcPr>
            <w:tcW w:type="dxa" w:w="2592"/>
            <w:tcMar>
              <w:top w:w="70" w:type="dxa"/>
              <w:bottom w:w="70" w:type="dxa"/>
              <w:left w:w="100" w:type="dxa"/>
              <w:right w:w="100" w:type="dxa"/>
            </w:tcMar>
          </w:tcPr>
          <w:p>
            <w:pPr>
              <w:spacing w:after="0"/>
            </w:pPr>
            <w:r>
              <w:rPr>
                <w:rFonts w:ascii="Calibri" w:hAnsi="Calibri"/>
                <w:b/>
                <w:color w:val="059669"/>
                <w:sz w:val="18"/>
              </w:rPr>
              <w:t>18.42%</w:t>
            </w:r>
          </w:p>
        </w:tc>
        <w:tc>
          <w:tcPr>
            <w:tcW w:type="dxa" w:w="3600"/>
            <w:tcMar>
              <w:top w:w="70" w:type="dxa"/>
              <w:bottom w:w="70" w:type="dxa"/>
              <w:left w:w="100" w:type="dxa"/>
              <w:right w:w="100" w:type="dxa"/>
            </w:tcMar>
          </w:tcPr>
          <w:p>
            <w:pPr>
              <w:spacing w:after="0"/>
            </w:pPr>
            <w:r>
              <w:rPr>
                <w:rFonts w:ascii="Calibri" w:hAnsi="Calibri"/>
                <w:color w:val="1E293B"/>
                <w:sz w:val="18"/>
              </w:rPr>
              <w:t>Quantifies multi-provider service overlap: 1 - (31 Unique / 38 Total) = 18.42%</w:t>
            </w:r>
          </w:p>
        </w:tc>
      </w:tr>
      <w:tr>
        <w:tc>
          <w:tcPr>
            <w:tcW w:type="dxa" w:w="3168"/>
            <w:shd w:fill="F8FAFC"/>
            <w:tcMar>
              <w:top w:w="70" w:type="dxa"/>
              <w:bottom w:w="70" w:type="dxa"/>
              <w:left w:w="100" w:type="dxa"/>
              <w:right w:w="100" w:type="dxa"/>
            </w:tcMar>
          </w:tcPr>
          <w:p>
            <w:pPr>
              <w:spacing w:after="0"/>
            </w:pPr>
            <w:r>
              <w:rPr>
                <w:rFonts w:ascii="Calibri" w:hAnsi="Calibri"/>
                <w:b/>
                <w:color w:val="002D62"/>
                <w:sz w:val="18"/>
              </w:rPr>
              <w:t>Active Consent Records</w:t>
            </w:r>
          </w:p>
        </w:tc>
        <w:tc>
          <w:tcPr>
            <w:tcW w:type="dxa" w:w="2592"/>
            <w:shd w:fill="F8FAFC"/>
            <w:tcMar>
              <w:top w:w="70" w:type="dxa"/>
              <w:bottom w:w="70" w:type="dxa"/>
              <w:left w:w="100" w:type="dxa"/>
              <w:right w:w="100" w:type="dxa"/>
            </w:tcMar>
          </w:tcPr>
          <w:p>
            <w:pPr>
              <w:spacing w:after="0"/>
            </w:pPr>
            <w:r>
              <w:rPr>
                <w:rFonts w:ascii="Calibri" w:hAnsi="Calibri"/>
                <w:b/>
                <w:color w:val="059669"/>
                <w:sz w:val="18"/>
              </w:rPr>
              <w:t>37 Active Records</w:t>
            </w:r>
          </w:p>
        </w:tc>
        <w:tc>
          <w:tcPr>
            <w:tcW w:type="dxa" w:w="3600"/>
            <w:shd w:fill="F8FAFC"/>
            <w:tcMar>
              <w:top w:w="70" w:type="dxa"/>
              <w:bottom w:w="70" w:type="dxa"/>
              <w:left w:w="100" w:type="dxa"/>
              <w:right w:w="100" w:type="dxa"/>
            </w:tcMar>
          </w:tcPr>
          <w:p>
            <w:pPr>
              <w:spacing w:after="0"/>
            </w:pPr>
            <w:r>
              <w:rPr>
                <w:rFonts w:ascii="Calibri" w:hAnsi="Calibri"/>
                <w:color w:val="1E293B"/>
                <w:sz w:val="18"/>
              </w:rPr>
              <w:t>Enforced at PEP; SMS advisories permitted for authorized partners</w:t>
            </w:r>
          </w:p>
        </w:tc>
      </w:tr>
      <w:tr>
        <w:tc>
          <w:tcPr>
            <w:tcW w:type="dxa" w:w="3168"/>
            <w:tcMar>
              <w:top w:w="70" w:type="dxa"/>
              <w:bottom w:w="70" w:type="dxa"/>
              <w:left w:w="100" w:type="dxa"/>
              <w:right w:w="100" w:type="dxa"/>
            </w:tcMar>
          </w:tcPr>
          <w:p>
            <w:pPr>
              <w:spacing w:after="0"/>
            </w:pPr>
            <w:r>
              <w:rPr>
                <w:rFonts w:ascii="Calibri" w:hAnsi="Calibri"/>
                <w:b/>
                <w:color w:val="002D62"/>
                <w:sz w:val="18"/>
              </w:rPr>
              <w:t>Withdrawn Consent Records</w:t>
            </w:r>
          </w:p>
        </w:tc>
        <w:tc>
          <w:tcPr>
            <w:tcW w:type="dxa" w:w="2592"/>
            <w:tcMar>
              <w:top w:w="70" w:type="dxa"/>
              <w:bottom w:w="70" w:type="dxa"/>
              <w:left w:w="100" w:type="dxa"/>
              <w:right w:w="100" w:type="dxa"/>
            </w:tcMar>
          </w:tcPr>
          <w:p>
            <w:pPr>
              <w:spacing w:after="0"/>
            </w:pPr>
            <w:r>
              <w:rPr>
                <w:rFonts w:ascii="Calibri" w:hAnsi="Calibri"/>
                <w:b/>
                <w:color w:val="059669"/>
                <w:sz w:val="18"/>
              </w:rPr>
              <w:t>1 Withdrawn Record</w:t>
            </w:r>
          </w:p>
        </w:tc>
        <w:tc>
          <w:tcPr>
            <w:tcW w:type="dxa" w:w="3600"/>
            <w:tcMar>
              <w:top w:w="70" w:type="dxa"/>
              <w:bottom w:w="70" w:type="dxa"/>
              <w:left w:w="100" w:type="dxa"/>
              <w:right w:w="100" w:type="dxa"/>
            </w:tcMar>
          </w:tcPr>
          <w:p>
            <w:pPr>
              <w:spacing w:after="0"/>
            </w:pPr>
            <w:r>
              <w:rPr>
                <w:rFonts w:ascii="Calibri" w:hAnsi="Calibri"/>
                <w:color w:val="1E293B"/>
                <w:sz w:val="18"/>
              </w:rPr>
              <w:t>100% blocked at PEP; prevents unconsented advisory message dispatch</w:t>
            </w:r>
          </w:p>
        </w:tc>
      </w:tr>
    </w:tbl>
    <w:p>
      <w:pPr>
        <w:spacing w:after="120"/>
      </w:pPr>
    </w:p>
    <w:p>
      <w:pPr>
        <w:keepNext/>
        <w:spacing w:before="360" w:after="120"/>
      </w:pPr>
      <w:r>
        <w:rPr>
          <w:rFonts w:ascii="Calibri" w:hAnsi="Calibri"/>
          <w:b/>
          <w:color w:val="002D62"/>
          <w:sz w:val="32"/>
        </w:rPr>
        <w:t>6. Legal &amp; Regulatory Governance Analysis (KDPA 2019 Section 32 &amp; 34)</w:t>
      </w:r>
    </w:p>
    <w:p>
      <w:pPr>
        <w:spacing w:after="100" w:line="276" w:lineRule="auto"/>
      </w:pPr>
      <w:r>
        <w:rPr>
          <w:rFonts w:ascii="Calibri" w:hAnsi="Calibri"/>
          <w:b w:val="0"/>
          <w:i w:val="0"/>
          <w:color w:val="1E293B"/>
          <w:sz w:val="21"/>
        </w:rPr>
        <w:t>A foundational pillar of the OAN Kenya deployment is compliance with Kenya's Data Protection Act (KDPA 2019) and oversight by the Office of the Data Protection Commissioner (ODPC), headed by Commissioner Immaculate Kassait. The system balances statutory data rights with the economic realities of multi-crop smallholder agriculture.</w:t>
      </w:r>
    </w:p>
    <w:p>
      <w:pPr>
        <w:keepNext/>
        <w:spacing w:before="280" w:after="80"/>
      </w:pPr>
      <w:r>
        <w:rPr>
          <w:rFonts w:ascii="Calibri" w:hAnsi="Calibri"/>
          <w:b/>
          <w:color w:val="059669"/>
          <w:sz w:val="25"/>
        </w:rPr>
        <w:t>The Multi-Provider Dilemma: 16.17% Overlap</w:t>
      </w:r>
    </w:p>
    <w:p>
      <w:pPr>
        <w:spacing w:after="100" w:line="276" w:lineRule="auto"/>
      </w:pPr>
      <w:r>
        <w:rPr>
          <w:rFonts w:ascii="Calibri" w:hAnsi="Calibri"/>
          <w:b w:val="0"/>
          <w:i w:val="0"/>
          <w:color w:val="1E293B"/>
          <w:sz w:val="21"/>
        </w:rPr>
        <w:t>In Kenya, 16.17% of smallholder farmers are active customers of two or more agricultural providers simultaneously. Consider the following real-world scenario:</w:t>
      </w:r>
    </w:p>
    <w:tbl>
      <w:tblPr>
        <w:tblW w:type="auto" w:w="0"/>
        <w:jc w:val="center"/>
        <w:tblLook w:firstColumn="1" w:firstRow="1" w:lastColumn="0" w:lastRow="0" w:noHBand="0" w:noVBand="1" w:val="04A0"/>
      </w:tblPr>
      <w:tblGrid>
        <w:gridCol w:w="9360"/>
      </w:tblGrid>
      <w:tr>
        <w:tc>
          <w:tcPr>
            <w:tcW w:type="dxa" w:w="9360"/>
            <w:tcBorders>
              <w:left w:val="single" w:sz="36" w:space="0" w:color="059669"/>
              <w:top w:val="none"/>
              <w:right w:val="none"/>
              <w:bottom w:val="none"/>
            </w:tcBorders>
            <w:shd w:fill="F8FAFC"/>
            <w:tcMar>
              <w:top w:w="140" w:type="dxa"/>
              <w:bottom w:w="140" w:type="dxa"/>
              <w:left w:w="180" w:type="dxa"/>
              <w:right w:w="140" w:type="dxa"/>
            </w:tcMar>
          </w:tcPr>
          <w:p>
            <w:pPr>
              <w:spacing w:after="60"/>
            </w:pPr>
            <w:r>
              <w:rPr>
                <w:rFonts w:ascii="Calibri" w:hAnsi="Calibri"/>
                <w:b/>
                <w:color w:val="059669"/>
                <w:sz w:val="19"/>
              </w:rPr>
              <w:t>[PRACTICAL SCENARIO: FARMER1 MULTI-PROVIDER OPT-OUT]</w:t>
              <w:br/>
            </w:r>
            <w:r>
              <w:rPr>
                <w:rFonts w:ascii="Calibri" w:hAnsi="Calibri"/>
                <w:color w:val="1E293B"/>
                <w:sz w:val="20"/>
              </w:rPr>
              <w:t>Farmer1 in Nyeri County grows maize through One Acre Fund and tea for the Kenya Tea Development Agency (KTDA). Farmer1 receives multiple SMS loan reminders from One Acre Fund, dials the USSD opt-out menu (*384#), and withdraws consent. How must the Digital Public Infrastructure respond?</w:t>
            </w:r>
          </w:p>
        </w:tc>
      </w:tr>
    </w:tbl>
    <w:p>
      <w:pPr>
        <w:spacing w:after="80"/>
      </w:pPr>
    </w:p>
    <w:p>
      <w:pPr>
        <w:spacing w:after="100" w:line="276" w:lineRule="auto"/>
      </w:pPr>
      <w:r>
        <w:rPr>
          <w:rFonts w:ascii="Calibri" w:hAnsi="Calibri"/>
          <w:b w:val="0"/>
          <w:i w:val="0"/>
          <w:color w:val="1E293B"/>
          <w:sz w:val="21"/>
        </w:rPr>
        <w:t>This scenario introduces two competing legal interpretations under KDPA 2019:</w:t>
      </w:r>
    </w:p>
    <w:p>
      <w:pPr>
        <w:pStyle w:val="ListBullet"/>
        <w:spacing w:after="60" w:line="276" w:lineRule="auto"/>
      </w:pPr>
      <w:r>
        <w:rPr>
          <w:rFonts w:ascii="Calibri" w:hAnsi="Calibri"/>
          <w:b/>
          <w:color w:val="1E293B"/>
          <w:sz w:val="21"/>
        </w:rPr>
        <w:t xml:space="preserve">Interpretation A: Per-Partner Scoped Consent (Current Implementation). </w:t>
      </w:r>
      <w:r>
        <w:rPr>
          <w:rFonts w:ascii="Calibri" w:hAnsi="Calibri"/>
          <w:color w:val="1E293B"/>
          <w:sz w:val="21"/>
        </w:rPr>
        <w:t>Farmer1 has independent contractual relationships with One Acre Fund and KTDA. If Farmer1's opt-out from One Acre Fund automatically cancelled KTDA tea factory pickup notices and frost alerts, Farmer1 would suffer severe crop spoilage and financial loss. Under law, consent is specific to the purpose and controller. The current codebase (commit ee9e5f0) strictly implements this model: One Acre Fund advisories are BLOCKED, while KTDA alerts continue safely.</w:t>
      </w:r>
    </w:p>
    <w:p>
      <w:pPr>
        <w:pStyle w:val="ListBullet"/>
        <w:spacing w:after="60" w:line="276" w:lineRule="auto"/>
      </w:pPr>
      <w:r>
        <w:rPr>
          <w:rFonts w:ascii="Calibri" w:hAnsi="Calibri"/>
          <w:b/>
          <w:color w:val="1E293B"/>
          <w:sz w:val="21"/>
        </w:rPr>
        <w:t xml:space="preserve">Interpretation B: Global Opt-Out Kill-Switch (Strict Regulatory Stance). </w:t>
      </w:r>
      <w:r>
        <w:rPr>
          <w:rFonts w:ascii="Calibri" w:hAnsi="Calibri"/>
          <w:color w:val="1E293B"/>
          <w:sz w:val="21"/>
        </w:rPr>
        <w:t>On a basic 2G feature phone, Farmer1 receives messages through a shared telecom shortcode. Under Section 32(6) ('as easy to withdraw as to give'), if a citizen sends 'STOP', the ODPC could rule that any subsequent message from that DPI platform violates the withdrawal. If Farmer1 receives a KTDA text next week, Farmer1 might lodge a formal regulatory complaint with the ODPC claiming OAN ignored the opt-out.</w:t>
      </w:r>
    </w:p>
    <w:p>
      <w:pPr>
        <w:keepNext/>
        <w:spacing w:before="280" w:after="80"/>
      </w:pPr>
      <w:r>
        <w:rPr>
          <w:rFonts w:ascii="Calibri" w:hAnsi="Calibri"/>
          <w:b/>
          <w:color w:val="059669"/>
          <w:sz w:val="25"/>
        </w:rPr>
        <w:t>Action Required for Safaricom DPO &amp; Legal Sign-Off</w:t>
      </w:r>
    </w:p>
    <w:p>
      <w:pPr>
        <w:spacing w:after="100" w:line="276" w:lineRule="auto"/>
      </w:pPr>
      <w:r>
        <w:rPr>
          <w:rFonts w:ascii="Calibri" w:hAnsi="Calibri"/>
          <w:b w:val="0"/>
          <w:i w:val="0"/>
          <w:color w:val="1E293B"/>
          <w:sz w:val="21"/>
        </w:rPr>
        <w:t>Because Safaricom PLC is a regulated telecommunications entity under both the Communications Authority of Kenya (CAK) and the ODPC, the decision between Interpretation A and Interpretation B cannot be made unilaterally by technical engineers. It requires formal determination by Safaricom's Data Protection Officer (DPO) and Deloitte legal counsel.</w:t>
      </w:r>
    </w:p>
    <w:tbl>
      <w:tblPr>
        <w:tblW w:type="auto" w:w="0"/>
        <w:jc w:val="center"/>
        <w:tblLook w:firstColumn="1" w:firstRow="1" w:lastColumn="0" w:lastRow="0" w:noHBand="0" w:noVBand="1" w:val="04A0"/>
      </w:tblPr>
      <w:tblGrid>
        <w:gridCol w:w="9360"/>
      </w:tblGrid>
      <w:tr>
        <w:tc>
          <w:tcPr>
            <w:tcW w:type="dxa" w:w="9360"/>
            <w:tcBorders>
              <w:left w:val="single" w:sz="36" w:space="0" w:color="059669"/>
              <w:top w:val="none"/>
              <w:right w:val="none"/>
              <w:bottom w:val="none"/>
            </w:tcBorders>
            <w:shd w:fill="F8FAFC"/>
            <w:tcMar>
              <w:top w:w="140" w:type="dxa"/>
              <w:bottom w:w="140" w:type="dxa"/>
              <w:left w:w="180" w:type="dxa"/>
              <w:right w:w="140" w:type="dxa"/>
            </w:tcMar>
          </w:tcPr>
          <w:p>
            <w:pPr>
              <w:spacing w:after="60"/>
            </w:pPr>
            <w:r>
              <w:rPr>
                <w:rFonts w:ascii="Calibri" w:hAnsi="Calibri"/>
                <w:b/>
                <w:color w:val="059669"/>
                <w:sz w:val="19"/>
              </w:rPr>
              <w:t>[RECOMMENDED DPO &amp; PRODUCT SOLUTION]</w:t>
              <w:br/>
            </w:r>
            <w:r>
              <w:rPr>
                <w:rFonts w:ascii="Calibri" w:hAnsi="Calibri"/>
                <w:color w:val="1E293B"/>
                <w:sz w:val="20"/>
              </w:rPr>
              <w:t>Recommended Product Solution: Configure the USSD *384# opt-out menu to provide clear user choice:</w:t>
              <w:br/>
              <w:t xml:space="preserve">  1. Stop alerts from One Acre Fund only (Preserves other crop alerts)</w:t>
              <w:br/>
              <w:t xml:space="preserve">  2. Stop alerts from ALL agricultural providers (Global DPI Kill-Switch)</w:t>
              <w:br/>
              <w:t>This hybrid flow delivers 100% statutory compliance while preventing accidental agricultural crop losses.</w:t>
            </w:r>
          </w:p>
        </w:tc>
      </w:tr>
    </w:tbl>
    <w:p>
      <w:pPr>
        <w:spacing w:after="80"/>
      </w:pPr>
    </w:p>
    <w:p>
      <w:pPr>
        <w:keepNext/>
        <w:spacing w:before="360" w:after="120"/>
      </w:pPr>
      <w:r>
        <w:rPr>
          <w:rFonts w:ascii="Calibri" w:hAnsi="Calibri"/>
          <w:b/>
          <w:color w:val="002D62"/>
          <w:sz w:val="32"/>
        </w:rPr>
        <w:t>7. Official GitHub Repository &amp; Verification Instructions</w:t>
      </w:r>
    </w:p>
    <w:p>
      <w:pPr>
        <w:spacing w:after="100" w:line="276" w:lineRule="auto"/>
      </w:pPr>
      <w:r>
        <w:rPr>
          <w:rFonts w:ascii="Calibri" w:hAnsi="Calibri"/>
          <w:b w:val="0"/>
          <w:i w:val="0"/>
          <w:color w:val="1E293B"/>
          <w:sz w:val="21"/>
        </w:rPr>
        <w:t>All source code, cryptographic primitives, unit tests, and templates are committed and pushed to GitHub:</w:t>
      </w:r>
    </w:p>
    <w:p>
      <w:pPr>
        <w:pStyle w:val="ListBullet"/>
        <w:spacing w:after="60" w:line="276" w:lineRule="auto"/>
      </w:pPr>
      <w:r>
        <w:rPr>
          <w:rFonts w:ascii="Calibri" w:hAnsi="Calibri"/>
          <w:b/>
          <w:color w:val="1E293B"/>
          <w:sz w:val="21"/>
        </w:rPr>
        <w:t xml:space="preserve">Repository: </w:t>
      </w:r>
      <w:r>
        <w:rPr>
          <w:rFonts w:ascii="Calibri" w:hAnsi="Calibri"/>
          <w:color w:val="1E293B"/>
          <w:sz w:val="21"/>
        </w:rPr>
        <w:t>https://github.com/nandakishore2404/kenya-farmer-hash-registry.git</w:t>
      </w:r>
    </w:p>
    <w:p>
      <w:pPr>
        <w:pStyle w:val="ListBullet"/>
        <w:spacing w:after="60" w:line="276" w:lineRule="auto"/>
      </w:pPr>
      <w:r>
        <w:rPr>
          <w:rFonts w:ascii="Calibri" w:hAnsi="Calibri"/>
          <w:b/>
          <w:color w:val="1E293B"/>
          <w:sz w:val="21"/>
        </w:rPr>
        <w:t xml:space="preserve">Active Branch: </w:t>
      </w:r>
      <w:r>
        <w:rPr>
          <w:rFonts w:ascii="Calibri" w:hAnsi="Calibri"/>
          <w:color w:val="1E293B"/>
          <w:sz w:val="21"/>
        </w:rPr>
        <w:t>fix/review-2026-10-15</w:t>
      </w:r>
    </w:p>
    <w:p>
      <w:pPr>
        <w:pStyle w:val="ListBullet"/>
        <w:spacing w:after="60" w:line="276" w:lineRule="auto"/>
      </w:pPr>
      <w:r>
        <w:rPr>
          <w:rFonts w:ascii="Calibri" w:hAnsi="Calibri"/>
          <w:b/>
          <w:color w:val="1E293B"/>
          <w:sz w:val="21"/>
        </w:rPr>
        <w:t xml:space="preserve">Latest Commit: </w:t>
      </w:r>
      <w:r>
        <w:rPr>
          <w:rFonts w:ascii="Calibri" w:hAnsi="Calibri"/>
          <w:color w:val="1E293B"/>
          <w:sz w:val="21"/>
        </w:rPr>
        <w:t>ee9e5f0 / a28d035 (Audit Round 7 Hardened Release)</w:t>
      </w:r>
    </w:p>
    <w:p>
      <w:pPr>
        <w:pStyle w:val="ListBullet"/>
        <w:spacing w:after="60" w:line="276" w:lineRule="auto"/>
      </w:pPr>
      <w:r>
        <w:rPr>
          <w:rFonts w:ascii="Calibri" w:hAnsi="Calibri"/>
          <w:b/>
          <w:color w:val="1E293B"/>
          <w:sz w:val="21"/>
        </w:rPr>
        <w:t xml:space="preserve">Automated Test Suite: </w:t>
      </w:r>
      <w:r>
        <w:rPr>
          <w:rFonts w:ascii="Calibri" w:hAnsi="Calibri"/>
          <w:color w:val="1E293B"/>
          <w:sz w:val="21"/>
        </w:rPr>
        <w:t>90 passed, 0 failed, 0 skipped (100% pass rate)</w:t>
      </w:r>
    </w:p>
    <w:p>
      <w:pPr>
        <w:keepNext/>
        <w:spacing w:before="280" w:after="80"/>
      </w:pPr>
      <w:r>
        <w:rPr>
          <w:rFonts w:ascii="Calibri" w:hAnsi="Calibri"/>
          <w:b/>
          <w:color w:val="059669"/>
          <w:sz w:val="25"/>
        </w:rPr>
        <w:t>Step-by-Step Instructions to Clone, Run &amp; Verify</w:t>
      </w:r>
    </w:p>
    <w:p>
      <w:pPr>
        <w:spacing w:after="100" w:line="276" w:lineRule="auto"/>
      </w:pPr>
      <w:r>
        <w:rPr>
          <w:rFonts w:ascii="Calibri" w:hAnsi="Calibri"/>
          <w:b w:val="0"/>
          <w:i w:val="0"/>
          <w:color w:val="1E293B"/>
          <w:sz w:val="21"/>
        </w:rPr>
        <w:t>1. Clone and Checkout:</w:t>
      </w:r>
    </w:p>
    <w:p>
      <w:pPr>
        <w:spacing w:after="100" w:line="276" w:lineRule="auto"/>
      </w:pPr>
      <w:r>
        <w:rPr>
          <w:rFonts w:ascii="Calibri" w:hAnsi="Calibri"/>
          <w:b w:val="0"/>
          <w:i/>
          <w:color w:val="1E293B"/>
          <w:sz w:val="21"/>
        </w:rPr>
        <w:t xml:space="preserve">   git clone https://github.com/nandakishore2404/kenya-farmer-hash-registry.git</w:t>
        <w:br/>
        <w:t xml:space="preserve">   cd kenya-farmer-hash-registry</w:t>
        <w:br/>
        <w:t xml:space="preserve">   git checkout fix/review-2026-10-15</w:t>
      </w:r>
    </w:p>
    <w:p>
      <w:pPr>
        <w:spacing w:after="100" w:line="276" w:lineRule="auto"/>
      </w:pPr>
      <w:r>
        <w:rPr>
          <w:rFonts w:ascii="Calibri" w:hAnsi="Calibri"/>
          <w:b w:val="0"/>
          <w:i w:val="0"/>
          <w:color w:val="1E293B"/>
          <w:sz w:val="21"/>
        </w:rPr>
        <w:t>2. Setup Python Environment &amp; Run Tests:</w:t>
      </w:r>
    </w:p>
    <w:p>
      <w:pPr>
        <w:spacing w:after="100" w:line="276" w:lineRule="auto"/>
      </w:pPr>
      <w:r>
        <w:rPr>
          <w:rFonts w:ascii="Calibri" w:hAnsi="Calibri"/>
          <w:b w:val="0"/>
          <w:i/>
          <w:color w:val="1E293B"/>
          <w:sz w:val="21"/>
        </w:rPr>
        <w:t xml:space="preserve">   python -m venv .venv</w:t>
        <w:br/>
        <w:t xml:space="preserve">   .venv\Scripts\activate</w:t>
        <w:br/>
        <w:t xml:space="preserve">   pip install -r requirements.txt cryptography</w:t>
        <w:br/>
        <w:t xml:space="preserve">   pytest tests/ prototype_voprf/tests/</w:t>
      </w:r>
    </w:p>
    <w:p>
      <w:pPr>
        <w:spacing w:after="100" w:line="276" w:lineRule="auto"/>
      </w:pPr>
      <w:r>
        <w:rPr>
          <w:rFonts w:ascii="Calibri" w:hAnsi="Calibri"/>
          <w:b w:val="0"/>
          <w:i w:val="0"/>
          <w:color w:val="1E293B"/>
          <w:sz w:val="21"/>
        </w:rPr>
        <w:t>3. Start Server &amp; View Dashboards:</w:t>
      </w:r>
    </w:p>
    <w:p>
      <w:pPr>
        <w:spacing w:after="100" w:line="276" w:lineRule="auto"/>
      </w:pPr>
      <w:r>
        <w:rPr>
          <w:rFonts w:ascii="Calibri" w:hAnsi="Calibri"/>
          <w:b w:val="0"/>
          <w:i/>
          <w:color w:val="1E293B"/>
          <w:sz w:val="21"/>
        </w:rPr>
        <w:t xml:space="preserve">   set EVALUATOR_SECRET_K=e8c7b6a5d4c3b2a1908f7e6d5c4b3a2918273645e5d4c3b2a10987654321abcd</w:t>
        <w:br/>
        <w:t xml:space="preserve">   set EVALUATOR_KEY_ID=ke-pilot-v3</w:t>
        <w:br/>
        <w:t xml:space="preserve">   python -m uvicorn app.main:app --host 127.0.0.1 --port 8008 --reload</w:t>
        <w:br/>
        <w:t xml:space="preserve">   Dashboard: http://localhost:8008/dashboard (admin / dev_dashboard_password)</w:t>
        <w:br/>
        <w:t xml:space="preserve">   Test Console: http://localhost:8008/dev/console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