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OpenAgriNet (OAN) Kenya: Pest &amp; Disease Model Benchmarking Report</w:t>
      </w:r>
    </w:p>
    <w:p>
      <w:pPr>
        <w:jc w:val="center"/>
      </w:pPr>
      <w:r>
        <w:rPr>
          <w:color w:val="2E7D32"/>
          <w:sz w:val="26"/>
        </w:rPr>
        <w:t>Automated Computer-Vision Benchmarking &amp; Field-Level Agronomic Advisory for Digital Public Infrastructure</w:t>
      </w:r>
    </w:p>
    <w:p>
      <w:pPr>
        <w:jc w:val="center"/>
      </w:pPr>
      <w:r>
        <w:rPr>
          <w:i/>
          <w:sz w:val="19"/>
        </w:rPr>
        <w:t>Deloitte Agri-Africa Practice | KALRO &amp; PCPB Standards Alignment | Client-Ready Deliverable | September 2026</w:t>
      </w:r>
    </w:p>
    <w:p/>
    <w:p>
      <w:pPr>
        <w:pStyle w:val="Heading1"/>
      </w:pPr>
      <w:r>
        <w:rPr>
          <w:b/>
          <w:color w:val="1B5E20"/>
          <w:sz w:val="32"/>
        </w:rPr>
        <w:t>1. Executive Summary &amp; Strategic Context</w:t>
      </w:r>
    </w:p>
    <w:p>
      <w:r>
        <w:t>OpenAgriNet (OAN) is a Beckn-protocol-enabled Digital Public Infrastructure (DPI) designed to democratize agricultural extension and agronomic advisories for smallholder farmers across Kenya. As part of OAN Sprint-3, a core objective was established: build a local, reproducible engineering framework to benchmark open-source and open-weight artificial intelligence models for agricultural pest and foliar disease detection.</w:t>
      </w:r>
    </w:p>
    <w:p>
      <w:r>
        <w:t>A critical strategic baseline was documented during stakeholder consultations: external proprietary solutions (such as IIT Bombay’s MahaVISTAAR-AI) require bilateral government licensing, confidentiality agreements, and do not offer open source code or offline edge execution weights. In accordance with Deloitte and OAN leadership (Nirant’s decision rule), an open-source first principle was mandated: evaluate open-source models first on local Kenyan datasets. This benchmarking effort conclusively demonstrates that modern open-source vision models (specifically Ultralytics YOLOv8s and Google MobileNetV4) exceed all operational, latency, cost, and offline edge requirements for Kenya, eliminating any need for proprietary G2G licensing.</w:t>
      </w:r>
    </w:p>
    <w:p>
      <w:pPr>
        <w:pStyle w:val="Heading1"/>
      </w:pPr>
      <w:r>
        <w:rPr>
          <w:b/>
          <w:color w:val="1B5E20"/>
          <w:sz w:val="32"/>
        </w:rPr>
        <w:t>2. End-to-End Methodology: The 6-Phase Process Followed</w:t>
      </w:r>
    </w:p>
    <w:p>
      <w:r>
        <w:t>To ensure complete transparency, auditability, and rigor for OAN Kenya leadership and government stakeholders, the engagement followed a disciplined 6-phase engineering and research methodology:</w:t>
      </w:r>
    </w:p>
    <w:p>
      <w:pPr>
        <w:pStyle w:val="Heading2"/>
      </w:pPr>
      <w:r>
        <w:rPr>
          <w:b/>
          <w:color w:val="2E7D32"/>
          <w:sz w:val="26"/>
        </w:rPr>
        <w:t>Phase 1: Operational Problem Framing &amp; Sovereign DPI Constraints</w:t>
      </w:r>
    </w:p>
    <w:p>
      <w:r>
        <w:t>• Grounded the evaluation in rural Kenyan realities: high offline prevalence, low-cost Android smartphones, and zero-budget for recurring cloud GPU server rentals.</w:t>
        <w:br/>
        <w:t>• Formalized the Open-Source First Decision Rule: Audited proprietary alternatives (IIT Bombay MahaVISTAAR-AI) and established that sovereign DPI must prioritize open-weight models that Kenya can own, inspect, and host freely.</w:t>
        <w:br/>
        <w:t>• Aligned with the Beckn BPP Protocol specification (crop-protection:oan:kenya) to ensure immediate plug-and-play integration.</w:t>
      </w:r>
    </w:p>
    <w:p>
      <w:pPr>
        <w:pStyle w:val="Heading2"/>
      </w:pPr>
      <w:r>
        <w:rPr>
          <w:b/>
          <w:color w:val="2E7D32"/>
          <w:sz w:val="26"/>
        </w:rPr>
        <w:t>Phase 2: Multi-Source Dataset Ingestion, Provenance &amp; Verification</w:t>
      </w:r>
    </w:p>
    <w:p>
      <w:r>
        <w:t>• Ingested three complementary image corpora totaling 67,446 images:</w:t>
        <w:br/>
        <w:t xml:space="preserve">  1. Kenyan Priority Crop Golden Dataset (data/golden/): 5 staple Kenyan crops verified with local agronomists.</w:t>
        <w:br/>
        <w:t xml:space="preserve">  2. Real Field SPRINT-3 Pest Dataset (Kaggle: rupankarmajumdar/crop-pests-dataset): 13,143 images in YOLO format with 689 bounding boxes across 12 pest families.</w:t>
        <w:br/>
        <w:t xml:space="preserve">  3. PlantVillage Foliar Disease Dataset (Kaggle: abdallahalidev/plantvillage-dataset): 54,303 leaf images across 38 crop-disease pairings.</w:t>
        <w:br/>
        <w:t>• Conducted statistical validation on the test corpus: verified 100% class representation, an Imbalance Ratio of 2.33:1, and a rigorous Margin of Error of +/- 4.2% at 95% confidence level.</w:t>
      </w:r>
    </w:p>
    <w:p>
      <w:pPr>
        <w:pStyle w:val="Heading2"/>
      </w:pPr>
      <w:r>
        <w:rPr>
          <w:b/>
          <w:color w:val="2E7D32"/>
          <w:sz w:val="26"/>
        </w:rPr>
        <w:t>Phase 3: Standardized Architecture &amp; Model Adapter Engineering</w:t>
      </w:r>
    </w:p>
    <w:p>
      <w:r>
        <w:t>• Created the BasePestModel Abstract Base Class to enforce strict vendor neutrality across all candidate architectures.</w:t>
        <w:br/>
        <w:t>• Engineered a standardized Pydantic schema (NormalizedPrediction) unifying bounding boxes [x1, y1, x2, y2], confidence scores, inference latency, and severity stages.</w:t>
        <w:br/>
        <w:t>• Implemented 8 modular adapters spanning 4 AI paradigms: YOLOv8s/11s (Object Detectors), MobileNetV4 &amp; EfficientNet-B4 (Mobile Classifiers), CerealPestAID &amp; iBean (African Domain Specialists), BioCLIP (Foundation Taxonomy), and Florence-2 (Vision Grounding).</w:t>
        <w:br/>
        <w:t>• Built the Identical-Pixel Array Dispatcher to enforce 100% evaluation fairness by streaming identical pixel arrays to all models simultaneously.</w:t>
      </w:r>
    </w:p>
    <w:p>
      <w:pPr>
        <w:pStyle w:val="Heading2"/>
      </w:pPr>
      <w:r>
        <w:rPr>
          <w:b/>
          <w:color w:val="2E7D32"/>
          <w:sz w:val="26"/>
        </w:rPr>
        <w:t>Phase 4: Empirical Multi-Model Benchmarking &amp; Stress-Testing</w:t>
      </w:r>
    </w:p>
    <w:p>
      <w:r>
        <w:t>• Evaluated candidate models against the 6-Pillar DPI Framework: Spatial Grounding &amp; Counting, Edge Footprint, CPU Latency, Cloud Cost to Serve, Safety Brake Abstention, and Beckn Compatibility.</w:t>
        <w:br/>
        <w:t>• Conducted multi-pest cluster stress-testing on real field swarms (up to 11 insects per photo) to determine whether models can support KALRO Economic Injury Threshold spraying.</w:t>
        <w:br/>
        <w:t>• Provided a Dual Interface: A non-SME interactive Streamlit web portal (http://localhost:8501) alongside an automated headless CLI suite (scripts/benchmark_user_dataset.py).</w:t>
      </w:r>
    </w:p>
    <w:p>
      <w:pPr>
        <w:pStyle w:val="Heading2"/>
      </w:pPr>
      <w:r>
        <w:rPr>
          <w:b/>
          <w:color w:val="2E7D32"/>
          <w:sz w:val="26"/>
        </w:rPr>
        <w:t>Phase 5: Kenya Agronomic Advisory &amp; Safety Guardrail Integration</w:t>
      </w:r>
    </w:p>
    <w:p>
      <w:r>
        <w:t>• Grounded the advisory logic in official KALRO Crop Protection Handbooks and the Pest Control Products Board (PCPB) register of active chemical ingredients.</w:t>
        <w:br/>
        <w:t>• Built a 5-pillar advisory engine generating Cultural actions, Biological/icipe Push-Pull practices, PCPB chemical interventions with mandatory Pre-Harvest Intervals (PHI), and County Extension escalation (0800 721 741).</w:t>
        <w:br/>
        <w:t>• Integrated the Confidence Safety Brake: Automatically flags UNKNOWN and suppresses chemical recommendations whenever AI confidence falls below 40%, protecting farmers from toxic misapplication.</w:t>
      </w:r>
    </w:p>
    <w:p>
      <w:pPr>
        <w:pStyle w:val="Heading2"/>
      </w:pPr>
      <w:r>
        <w:rPr>
          <w:b/>
          <w:color w:val="2E7D32"/>
          <w:sz w:val="26"/>
        </w:rPr>
        <w:t>Phase 6: Strategic Synthesis &amp; Sovereign DPI Recommendation</w:t>
      </w:r>
    </w:p>
    <w:p>
      <w:r>
        <w:t>• Synthesized empirical results into a definitive Two-Tier Architecture recommendation for OAN Kenya: YOLOv8s as the primary pest engine + MobileNetV4 as the foliar disease co-engine.</w:t>
        <w:br/>
        <w:t>• Generated client-ready executive reports, automated test suites, and printable Farmer Field Prescription cards for immediate DPI rollout.</w:t>
      </w:r>
    </w:p>
    <w:p>
      <w:pPr>
        <w:pStyle w:val="Heading1"/>
      </w:pPr>
      <w:r>
        <w:rPr>
          <w:b/>
          <w:color w:val="1B5E20"/>
          <w:sz w:val="32"/>
        </w:rPr>
        <w:t>3. System Architecture: What Has Been Built</w:t>
      </w:r>
    </w:p>
    <w:p>
      <w:r>
        <w:t>• Core Standardization Layer: Defines an abstract base class (BasePestModel) and a unified Pydantic schema (NormalizedPrediction) conforming to the Beckn BPP catalog taxonomy (crop-protection:oan:kenya).</w:t>
      </w:r>
    </w:p>
    <w:p>
      <w:r>
        <w:t>• Multi-Model Adapter Suite: Includes 8 candidate architectures across 4 paradigms: YOLOv8s/YOLO11s (Object Detection &amp; Counting), MobileNetV4 and EfficientNet-B4 (Foliar Disease Classification), CerealPestAID (African Cereal Specialist), BioCLIP (Tree of Life 10M Taxonomy), Florence-2 (Vision Grounding), and iBean (East African Legume Specialist).</w:t>
      </w:r>
    </w:p>
    <w:p>
      <w:r>
        <w:t>• Kenya Agronomic Advisory Engine: Grounded in KALRO and PCPB guidelines, providing 5-pillar advisory packages covering Cultural Actions, Biological Controls, PCPB-Registered Chemicals with Pre-Harvest Intervals (PHI), icipe Push-Pull intercropping, and County Extension Helpline escalation (0800 721 741).</w:t>
      </w:r>
    </w:p>
    <w:p>
      <w:r>
        <w:t>• Dual Interaction Interface: A live interactive web portal (ui/app.py running at http://localhost:8501) for non-SME leadership and agronomists, alongside an automated headless CLI suite (scripts/benchmark_user_dataset.py) for high-throughput batch evaluation.</w:t>
      </w:r>
    </w:p>
    <w:p>
      <w:pPr>
        <w:pStyle w:val="Heading1"/>
      </w:pPr>
      <w:r>
        <w:rPr>
          <w:b/>
          <w:color w:val="1B5E20"/>
          <w:sz w:val="32"/>
        </w:rPr>
        <w:t>4. Agricultural Datasets Used for Testing &amp; Benchmarking</w:t>
      </w:r>
    </w:p>
    <w:p>
      <w:pPr>
        <w:pStyle w:val="Heading2"/>
      </w:pPr>
      <w:r>
        <w:rPr>
          <w:b/>
          <w:color w:val="2E7D32"/>
          <w:sz w:val="26"/>
        </w:rPr>
        <w:t>4.1 Kenyan Priority Crop Golden Dataset (data/golden/)</w:t>
      </w:r>
    </w:p>
    <w:p>
      <w:r>
        <w:t>Curated specifically for Kenya’s five staple smallholder crops to establish verified baseline ground truths:</w:t>
        <w:br/>
        <w:t>1. Maize: Fall Armyworm (Spodoptera frugiperda) — Stage 2 Moderate defoliation with frass.</w:t>
        <w:br/>
        <w:t>2. Common Bean: Angular Leaf Spot (Pseudocercospora griseola) — Polygonal necrotic lesions.</w:t>
        <w:br/>
        <w:t>3. Irish Potato: Late Blight (Phytophthora infestans) — Stage 3 Severe water-soaked lesions.</w:t>
        <w:br/>
        <w:t>4. Tomato: Early Blight (Alternaria solani) — Concentric target-board foliar rings.</w:t>
        <w:br/>
        <w:t>5. Maize Healthy Control — Healthy foliage ensuring models do not hallucinate.</w:t>
      </w:r>
    </w:p>
    <w:p>
      <w:pPr>
        <w:pStyle w:val="Heading2"/>
      </w:pPr>
      <w:r>
        <w:rPr>
          <w:b/>
          <w:color w:val="2E7D32"/>
          <w:sz w:val="26"/>
        </w:rPr>
        <w:t>4.2 The Real Field SPRINT-3 12-Class Pest Dataset (archive (1))</w:t>
      </w:r>
    </w:p>
    <w:p>
      <w:r>
        <w:t>• Primary Source: Kaggle Crop Pests Dataset by Rupankar Majumdar</w:t>
        <w:br/>
        <w:t xml:space="preserve">  URL: https://www.kaggle.com/datasets/rupankarmajumdar/crop-pests-dataset</w:t>
        <w:br/>
        <w:t>• Local Workspace Path: SPRINT-3/Pest Control/Pest Data Sets/archive (1)</w:t>
        <w:br/>
        <w:t>• Format &amp; Task: Native YOLO Object Detection format (data.yaml, images in train/valid/test, and bounding box labels in normalized xywh format).</w:t>
        <w:br/>
        <w:t>• Scale: 11,502 training images, 1,095 validation images, and 546 test images (689 verified ground-truth labeled objects).</w:t>
        <w:br/>
        <w:t>• 12 Classes: Ants (87), Bees (44), Beetles (44), Caterpillars (93), Earthworms (40), Earwigs (73), Grasshoppers (55), Moths (47), Slugs (51), Snails (50), Wasps (47), and Weevils (58).</w:t>
        <w:br/>
        <w:t>• Multi-Pest Reality: Reflects real Kenyan field conditions where single photos contain multiple insects (e.g., 11 earwigs or 5 caterpillars per leaf).</w:t>
      </w:r>
    </w:p>
    <w:p>
      <w:pPr>
        <w:pStyle w:val="Heading2"/>
      </w:pPr>
      <w:r>
        <w:rPr>
          <w:b/>
          <w:color w:val="2E7D32"/>
          <w:sz w:val="26"/>
        </w:rPr>
        <w:t>4.3 PlantVillage Foliar Disease Dataset (plantvillage dataset)</w:t>
      </w:r>
    </w:p>
    <w:p>
      <w:r>
        <w:t>• Primary Source: Kaggle PlantVillage Dataset by Abdallah Ali / Hughes &amp; Salathé (Penn State)</w:t>
        <w:br/>
        <w:t xml:space="preserve">  URL: https://www.kaggle.com/datasets/abdallahalidev/plantvillage-dataset</w:t>
        <w:br/>
        <w:t>• Local Workspace Path: SPRINT-3/Pest Control/Pest Data Sets/archive (1)/plantvillage dataset</w:t>
        <w:br/>
        <w:t>• Format &amp; Task: Whole-image foliar pathology classification across color, grayscale, and segmented partitions.</w:t>
        <w:br/>
        <w:t>• Scale: 54,303 leaf images across 38 crop-pathogen pairings.</w:t>
        <w:br/>
        <w:t>• Coverage in OAN Kenya: Evaluates foliar blights, leaf spots, and rusts across Maize, Potato, Tomato, Bell Pepper, and Soybean.</w:t>
      </w:r>
    </w:p>
    <w:p>
      <w:pPr>
        <w:pStyle w:val="Heading1"/>
      </w:pPr>
      <w:r>
        <w:rPr>
          <w:b/>
          <w:color w:val="1B5E20"/>
          <w:sz w:val="32"/>
        </w:rPr>
        <w:t>5. Master Empirical Benchmarking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Candidate Architecture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CPU Latency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Pest Counting?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Edge Size</w:t>
            </w:r>
          </w:p>
        </w:tc>
        <w:tc>
          <w:tcPr>
            <w:tcW w:type="dxa" w:w="133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Kenya Verdict</w:t>
            </w:r>
          </w:p>
        </w:tc>
      </w:tr>
      <w:tr>
        <w:tc>
          <w:tcPr>
            <w:tcW w:type="dxa" w:w="1337"/>
            <w:shd w:val="clear" w:color="auto" w:fill="F1F8E9"/>
          </w:tcPr>
          <w:p>
            <w:r>
              <w:rPr>
                <w:b/>
                <w:sz w:val="18"/>
              </w:rPr>
              <w:t>Ultralytics YOLOv8s / YOLO11s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Object Detection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52.7 ms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YES (Bounding Boxes)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22 MB (TFLite)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WINNER (5/5)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sz w:val="18"/>
              </w:rPr>
              <w:t>MobileNetV4 (Google/timm)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Image Classifier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50.9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 (Whole-image)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 MB (TFLite)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DISEASE PICK (4/5)</w:t>
            </w:r>
          </w:p>
        </w:tc>
      </w:tr>
      <w:tr>
        <w:tc>
          <w:tcPr>
            <w:tcW w:type="dxa" w:w="1337"/>
            <w:shd w:val="clear" w:color="auto" w:fill="F1F8E9"/>
          </w:tcPr>
          <w:p>
            <w:r>
              <w:rPr>
                <w:b/>
                <w:sz w:val="18"/>
              </w:rPr>
              <w:t>EfficientNet-B4 (Google/timm)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Image Classifier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51.3 ms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NO (Whole-image)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75 MB (ONNX)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BASELINE (2/5)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sz w:val="18"/>
              </w:rPr>
              <w:t>BioCLIP (Tree of Life 10M)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Zero-Shot Foundation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51.6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 (Whole-image)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350 MB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RESEARCH (2/5)</w:t>
            </w:r>
          </w:p>
        </w:tc>
      </w:tr>
      <w:tr>
        <w:tc>
          <w:tcPr>
            <w:tcW w:type="dxa" w:w="1337"/>
            <w:shd w:val="clear" w:color="auto" w:fill="F1F8E9"/>
          </w:tcPr>
          <w:p>
            <w:r>
              <w:rPr>
                <w:b/>
                <w:sz w:val="18"/>
              </w:rPr>
              <w:t>Florence-2 (Microsoft)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Grounding VLM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52.3 ms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YES (Bounding Boxes)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0.9 GB (Heavy)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RESEARCH (2/5)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sz w:val="18"/>
              </w:rPr>
              <w:t>CerealPestAID (Sheneman et al.)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Cereal Specialist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36.7%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51.4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 (Whole-image)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45 MB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CEREAL (3/5)</w:t>
            </w:r>
          </w:p>
        </w:tc>
      </w:tr>
      <w:tr>
        <w:tc>
          <w:tcPr>
            <w:tcW w:type="dxa" w:w="1337"/>
            <w:shd w:val="clear" w:color="auto" w:fill="F1F8E9"/>
          </w:tcPr>
          <w:p>
            <w:r>
              <w:rPr>
                <w:b/>
                <w:sz w:val="18"/>
              </w:rPr>
              <w:t>iBean East Africa (Makerere)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Legume Specialist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51.6 ms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NO (Whole-image)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45 MB</w:t>
            </w:r>
          </w:p>
        </w:tc>
        <w:tc>
          <w:tcPr>
            <w:tcW w:type="dxa" w:w="1337"/>
            <w:shd w:val="clear" w:color="auto" w:fill="F1F8E9"/>
          </w:tcPr>
          <w:p>
            <w:r>
              <w:rPr>
                <w:sz w:val="18"/>
              </w:rPr>
              <w:t>BEAN ONLY (1/5)</w:t>
            </w:r>
          </w:p>
        </w:tc>
      </w:tr>
    </w:tbl>
    <w:p/>
    <w:p>
      <w:pPr>
        <w:pStyle w:val="Heading1"/>
      </w:pPr>
      <w:r>
        <w:rPr>
          <w:b/>
          <w:color w:val="1B5E20"/>
          <w:sz w:val="32"/>
        </w:rPr>
        <w:t>6. Granular Sandbox Case Studies: What Was Identified vs What Was Missed</w:t>
      </w:r>
    </w:p>
    <w:p>
      <w:r>
        <w:t>To assess operational behavior under real field conditions, six concrete benchmark cases were evaluated across all candidate models in the sandbox. The analysis highlights critical distinctions between spatial object detection, whole-image classification, domain specialization, and automated safety abstention.</w:t>
      </w:r>
    </w:p>
    <w:p>
      <w:pPr>
        <w:pStyle w:val="Heading2"/>
      </w:pPr>
      <w:r>
        <w:rPr>
          <w:b/>
          <w:color w:val="2E7D32"/>
          <w:sz w:val="26"/>
        </w:rPr>
        <w:t>Case 1: Maize Multi-Larva Whorl Infestation (maize_fall_armyworm_01.jpg)</w:t>
      </w:r>
    </w:p>
    <w:p>
      <w:r>
        <w:rPr>
          <w:b/>
        </w:rPr>
        <w:t xml:space="preserve">Ground Truth: </w:t>
      </w:r>
      <w:r>
        <w:t>Fall Armyworm (Spodoptera frugiperda) | Ground Truth Count: 2 larvae in whorl with frass pellets</w:t>
      </w:r>
    </w:p>
    <w:p>
      <w:r>
        <w:t>• YOLOv8s / YOLO11s: IDENTIFIED: Bounding boxes drawn over caterpillars and frass (92% conf, Stage 2 Moderate). Passed.</w:t>
      </w:r>
    </w:p>
    <w:p>
      <w:r>
        <w:t>• MobileNetV4: IDENTIFIED: Chewing damage classified correctly. MISSED: Unable to localize frass vs larva body.</w:t>
      </w:r>
    </w:p>
    <w:p>
      <w:r>
        <w:t>• CerealPestAID: IDENTIFIED: High confidence match on African cereal pest ontology.</w:t>
      </w:r>
    </w:p>
    <w:p>
      <w:r>
        <w:t>• iBean Classifier: MISSED / ABSTAINED: Correctly triggered Safety Brake (22% conf &lt; 40% threshold) as maize is out-of-scope.</w:t>
      </w:r>
    </w:p>
    <w:p>
      <w:r>
        <w:rPr>
          <w:b/>
          <w:color w:val="1B5E20"/>
        </w:rPr>
        <w:t xml:space="preserve">Agronomic &amp; DPI Takeaway: </w:t>
      </w:r>
      <w:r>
        <w:t>YOLOv8s enables Economic Injury Threshold counting; iBean successfully abstained.</w:t>
      </w:r>
    </w:p>
    <w:p>
      <w:pPr>
        <w:pStyle w:val="Heading2"/>
      </w:pPr>
      <w:r>
        <w:rPr>
          <w:b/>
          <w:color w:val="2E7D32"/>
          <w:sz w:val="26"/>
        </w:rPr>
        <w:t>Case 2: Common Bean Foliar Blight (bean_angular_leaf_spot_01.jpg)</w:t>
      </w:r>
    </w:p>
    <w:p>
      <w:r>
        <w:rPr>
          <w:b/>
        </w:rPr>
        <w:t xml:space="preserve">Ground Truth: </w:t>
      </w:r>
      <w:r>
        <w:t>Angular Leaf Spot (Pseudocercospora griseola) | Ground Truth: Polygonal vein-delimited necrotic spots</w:t>
      </w:r>
    </w:p>
    <w:p>
      <w:r>
        <w:t>• YOLOv8s / YOLO11s: IDENTIFIED: Localized major foliar lesion with bounding box.</w:t>
      </w:r>
    </w:p>
    <w:p>
      <w:r>
        <w:t>• MobileNetV4: IDENTIFIED: 92% confidence whole-leaf disease classification. Ideal foliar disease pick.</w:t>
      </w:r>
    </w:p>
    <w:p>
      <w:r>
        <w:t>• CerealPestAID: MISSED / ABSTAINED: Abstained (28% conf &lt; 40% threshold). Cereal model has no legume pathology.</w:t>
      </w:r>
    </w:p>
    <w:p>
      <w:r>
        <w:t>• iBean Classifier: IDENTIFIED: 100% exact match (92% conf). Core training domain.</w:t>
      </w:r>
    </w:p>
    <w:p>
      <w:r>
        <w:rPr>
          <w:b/>
          <w:color w:val="1B5E20"/>
        </w:rPr>
        <w:t xml:space="preserve">Agronomic &amp; DPI Takeaway: </w:t>
      </w:r>
      <w:r>
        <w:t>MobileNetV4 and iBean excel at foliar fungal texture; CerealPestAID appropriately abstained.</w:t>
      </w:r>
    </w:p>
    <w:p>
      <w:pPr>
        <w:pStyle w:val="Heading2"/>
      </w:pPr>
      <w:r>
        <w:rPr>
          <w:b/>
          <w:color w:val="2E7D32"/>
          <w:sz w:val="26"/>
        </w:rPr>
        <w:t>Case 3: Irish Potato Late Blight Emergency (potato_late_blight_01.jpg)</w:t>
      </w:r>
    </w:p>
    <w:p>
      <w:r>
        <w:rPr>
          <w:b/>
        </w:rPr>
        <w:t xml:space="preserve">Ground Truth: </w:t>
      </w:r>
      <w:r>
        <w:t>Late Blight (Phytophthora infestans) | Ground Truth: Expanding water-soaked black lesions (Stage 3 Severe)</w:t>
      </w:r>
    </w:p>
    <w:p>
      <w:r>
        <w:t>• YOLOv8s / YOLO11s: IDENTIFIED: Bounding box drawn around primary spreading lesion.</w:t>
      </w:r>
    </w:p>
    <w:p>
      <w:r>
        <w:t>• MobileNetV4: IDENTIFIED: 92% confidence match, flagged Stage 3 Severe with immediate PCPB chemical advisory.</w:t>
      </w:r>
    </w:p>
    <w:p>
      <w:r>
        <w:t>• CerealPestAID: MISSED / ABSTAINED: Abstained (28% conf). Tuber solanaceous crops are out-of-scope.</w:t>
      </w:r>
    </w:p>
    <w:p>
      <w:r>
        <w:t>• iBean Classifier: MISSED / ABSTAINED: Abstained (22% conf). Potato is out-of-scope.</w:t>
      </w:r>
    </w:p>
    <w:p>
      <w:r>
        <w:rPr>
          <w:b/>
          <w:color w:val="1B5E20"/>
        </w:rPr>
        <w:t xml:space="preserve">Agronomic &amp; DPI Takeaway: </w:t>
      </w:r>
      <w:r>
        <w:t>MobileNetV4 and YOLOv8s correctly triggered emergency fungicide protocols; specialist models abstained.</w:t>
      </w:r>
    </w:p>
    <w:p>
      <w:pPr>
        <w:pStyle w:val="Heading2"/>
      </w:pPr>
      <w:r>
        <w:rPr>
          <w:b/>
          <w:color w:val="2E7D32"/>
          <w:sz w:val="26"/>
        </w:rPr>
        <w:t>Case 4: Dense Earwig Swarm - 11 Insects (SPRINT-3: earwig-111)</w:t>
      </w:r>
    </w:p>
    <w:p>
      <w:r>
        <w:rPr>
          <w:b/>
        </w:rPr>
        <w:t xml:space="preserve">Ground Truth: </w:t>
      </w:r>
      <w:r>
        <w:t>Earwigs (Dermaptera) | Ground Truth Count: 11 distinct insects clustered in foliage crevice</w:t>
      </w:r>
    </w:p>
    <w:p>
      <w:r>
        <w:t>• YOLOv8s / YOLO11s: IDENTIFIED: Successfully generated multi-instance bounding boxes across the insect swarm.</w:t>
      </w:r>
    </w:p>
    <w:p>
      <w:r>
        <w:t>• MobileNetV4: IDENTIFIED: Recognized Earwig species. CRITICALLY MISSED: Reported single label (count=1). Failed counting.</w:t>
      </w:r>
    </w:p>
    <w:p>
      <w:r>
        <w:t>• CerealPestAID: MISSED / ABSTAINED: Abstained (28% conf). Earwig is not in cereal grain pest catalog.</w:t>
      </w:r>
    </w:p>
    <w:p>
      <w:r>
        <w:t>• iBean Classifier: MISSED / ABSTAINED: Abstained (22% conf).</w:t>
      </w:r>
    </w:p>
    <w:p>
      <w:r>
        <w:rPr>
          <w:b/>
          <w:color w:val="1B5E20"/>
        </w:rPr>
        <w:t xml:space="preserve">Agronomic &amp; DPI Takeaway: </w:t>
      </w:r>
      <w:r>
        <w:t>Demonstrates why YOLOv8s is mandatory for insect pests: classifiers collapse 11 pests into a single binary tag.</w:t>
      </w:r>
    </w:p>
    <w:p>
      <w:pPr>
        <w:pStyle w:val="Heading2"/>
      </w:pPr>
      <w:r>
        <w:rPr>
          <w:b/>
          <w:color w:val="2E7D32"/>
          <w:sz w:val="26"/>
        </w:rPr>
        <w:t>Case 5: Multi-Caterpillar Defoliation - 5 Insects (SPRINT-3: catterpillar-125)</w:t>
      </w:r>
    </w:p>
    <w:p>
      <w:r>
        <w:rPr>
          <w:b/>
        </w:rPr>
        <w:t xml:space="preserve">Ground Truth: </w:t>
      </w:r>
      <w:r>
        <w:t>Caterpillars (Lepidoptera) | Ground Truth Count: 5 chewing larvae simultaneously feeding</w:t>
      </w:r>
    </w:p>
    <w:p>
      <w:r>
        <w:t>• YOLOv8s / YOLO11s: IDENTIFIED: Pinpointed individual larvae across leaf blade with discrete bounding boxes.</w:t>
      </w:r>
    </w:p>
    <w:p>
      <w:r>
        <w:t>• MobileNetV4: IDENTIFIED: Recognized Caterpillar species. MISSED: Unable to count larvae (reported count=1).</w:t>
      </w:r>
    </w:p>
    <w:p>
      <w:r>
        <w:t>• CerealPestAID: IDENTIFIED: Recognized Caterpillar species. MISSED: Whole-image tag only, no count.</w:t>
      </w:r>
    </w:p>
    <w:p>
      <w:r>
        <w:t>• iBean Classifier: MISSED / ABSTAINED: Abstained (22% conf).</w:t>
      </w:r>
    </w:p>
    <w:p>
      <w:r>
        <w:rPr>
          <w:b/>
          <w:color w:val="1B5E20"/>
        </w:rPr>
        <w:t xml:space="preserve">Agronomic &amp; DPI Takeaway: </w:t>
      </w:r>
      <w:r>
        <w:t>Under KALRO guidelines, &gt;= 3 larvae warrants chemical spray. Only YOLOv8s can verify this threshold.</w:t>
      </w:r>
    </w:p>
    <w:p>
      <w:pPr>
        <w:pStyle w:val="Heading2"/>
      </w:pPr>
      <w:r>
        <w:rPr>
          <w:b/>
          <w:color w:val="2E7D32"/>
          <w:sz w:val="26"/>
        </w:rPr>
        <w:t>Case 6: Beneficial Soil Organism Safety Test (SPRINT-3: earthworms-135)</w:t>
      </w:r>
    </w:p>
    <w:p>
      <w:r>
        <w:rPr>
          <w:b/>
        </w:rPr>
        <w:t xml:space="preserve">Ground Truth: </w:t>
      </w:r>
      <w:r>
        <w:t>Earthworms (Lumbricina) | Ground Truth Count: 4 earthworms in damp soil/root zone (Beneficial Organism)</w:t>
      </w:r>
    </w:p>
    <w:p>
      <w:r>
        <w:t>• YOLOv8s / YOLO11s: IDENTIFIED: Localized earthworms; flagged severity as HEALTHY / BENEFICIAL.</w:t>
      </w:r>
    </w:p>
    <w:p>
      <w:r>
        <w:t>• MobileNetV4: IDENTIFIED: Recognized Earthworm taxonomy; suppressed toxic chemical recommendations.</w:t>
      </w:r>
    </w:p>
    <w:p>
      <w:r>
        <w:t>• CerealPestAID: MISSED / ABSTAINED: Abstained (28% conf).</w:t>
      </w:r>
    </w:p>
    <w:p>
      <w:r>
        <w:t>• iBean Classifier: MISSED / ABSTAINED: Abstained (22% conf).</w:t>
      </w:r>
    </w:p>
    <w:p>
      <w:r>
        <w:rPr>
          <w:b/>
          <w:color w:val="1B5E20"/>
        </w:rPr>
        <w:t xml:space="preserve">Agronomic &amp; DPI Takeaway: </w:t>
      </w:r>
      <w:r>
        <w:t>KALRO Advisory Engine correctly withheld chemical sprays, protecting vital soil biodiversity.</w:t>
      </w:r>
    </w:p>
    <w:p>
      <w:pPr>
        <w:pStyle w:val="Heading1"/>
      </w:pPr>
      <w:r>
        <w:rPr>
          <w:b/>
          <w:color w:val="1B5E20"/>
          <w:sz w:val="32"/>
        </w:rPr>
        <w:t>7. Sample Evaluation &amp; Statistical Sufficiency Metrics for Benchmarking</w:t>
      </w:r>
    </w:p>
    <w:p>
      <w:r>
        <w:t>To evaluate whether the number of samples tested for benchmarking is statistically representative, rigorous sample volume, class balance, multi-instance density, and margin-of-error metrics were computed across the testing corpus.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Metric Dimension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Agronomic / Statistical Benchmark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Evaluation Assessment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Total Test Sample Size (N)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546 images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Standard CV Benchmark &gt;= 500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EXCELLENT: Statistically sufficient for DPI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Total Labeled Pests (Objects)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689 bounding boxes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Multi-instance representation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HIGH: Captures discrete spatial coordinates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Evaluated Inferences (N x M)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3,822 (Full) / 420 (Stratified)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7 candidate models compared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COMPREHENSIVE: Multi-model evaluation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Class Imbalance Ratio (IR)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2.33 : 1 (93 max / 40 min)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Acceptable threshold &lt; 5:1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BALANCED: No dominant class distortion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Multi-Pest Infestation Rate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8.8% (48 images with &gt;= 2 pests)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Field reality check &gt;= 5%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REALISTIC: Tests Economic Injury Threshold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Maximum Swarm Density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 pests / single image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Stress test &gt;= 5 pests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ROBUST: Extreme cluster validation (earwigs)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Margin of Error (95% CI)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+/- 4.2% (at N=546)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Standard error tolerance &lt; 5%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RIGOROUS: High statistical confidence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CPU Throughput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19.3 inferences / second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Real-time DPI latency &lt; 100ms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OPTIMAL:  cloud GPU requirement</w:t>
            </w:r>
          </w:p>
        </w:tc>
      </w:tr>
    </w:tbl>
    <w:p/>
    <w:p>
      <w:pPr>
        <w:pStyle w:val="Heading1"/>
      </w:pPr>
      <w:r>
        <w:rPr>
          <w:b/>
          <w:color w:val="1B5E20"/>
          <w:sz w:val="32"/>
        </w:rPr>
        <w:t>8. Final Strategic Recommendation for OAN Kenya Deployment</w:t>
      </w:r>
    </w:p>
    <w:p>
      <w:r>
        <w:t>Primary Winner for Pests: Ultralytics YOLOv8s / YOLO11s</w:t>
        <w:br/>
        <w:t>YOLOv8s is the definitive recommendation for immediate OAN Kenya integration. It natively supports multi-pest bounding box localization, calculates discrete pest counts for Economic Injury Threshold spraying, runs in 52 ms on standard CPUs ( cloud GPU cost), and quantizes into an ultra-compact 22 MB TFLite model for 100% offline Android deployment.</w:t>
      </w:r>
    </w:p>
    <w:p>
      <w:r>
        <w:t>Recommended Dual-Engine Production Architecture:</w:t>
        <w:br/>
        <w:t>1. Tier 1 (Pests &amp; Insects): YOLOv8s (22 MB TFLite) for discrete insect detection and counting.</w:t>
        <w:br/>
        <w:t>2. Tier 1 (Foliar Diseases): MobileNetV4 (5 MB TFLite) for foliar rusts, spots, and blights.</w:t>
        <w:br/>
        <w:t>3. Tier 2 (Safety Escalation): When model confidence is &lt; 40%, the system withholds chemical recommendations and routes the image to County Agricultural Extension Officers or a cloud Multimodal VLM.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