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3 — AI-Use Policy: Placement Cell (New 8 Scenarios)</w:t>
      </w:r>
    </w:p>
    <w:p>
      <w:pPr>
        <w:pBdr>
          <w:bottom w:val="single" w:color="2C2C2C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Worked Classifications (EU AI Act Risk Tiers)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1900"/>
        <w:gridCol w:w="980"/>
        <w:gridCol w:w="5886"/>
      </w:tblGrid>
      <w:tr>
        <w:trPr>
          <w:tblHeader/>
        </w:trP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Scenario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Tier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Reasoning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AI-generated LinkedIn profile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Limited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Allowed with disclosure; student must own and defend every claim.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AI-assisted aptitude test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Unacceptable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Banned — undermines integrity of live recruitment assessment.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AI-inflated internship experience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Unacceptable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Banned — fabrication of professional experience to recruiter.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AI-generated cover letter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High-risk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Allowed with student rewrite + declaration before submission.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avatar in live interview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Unacceptable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Banned — identity fabrication in live recruiter interaction.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AI-generated reference letters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Unacceptable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Banned — forging academic endorsement is fraud.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for salary negotiation scripting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Minimal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Free use — private prep tool; no third party deceived.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AI-summarised certifications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High-risk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Allowed with mentor review; oral defence on claimed skills mandatory.</w:t>
            </w:r>
          </w:p>
        </w:tc>
      </w:tr>
    </w:tbl>
    <w:p>
      <w:pPr>
        <w:pBdr>
          <w:bottom w:val="single" w:color="2C2C2C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Permitted Uses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draft LinkedIn summaries and headlines, provided the student reviews, edits, and can defend every claim during recruiter conversations.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generate practice aptitude and reasoning questions for self-study, outside of any live or proctored recruitment assessment.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translate internship experience from regional language contexts into English, provided the underlying work was actually performed by the student.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produce a first draft of a cover letter as a structural template, provided the student rewrites it in their own voice before submission.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rehearse salary negotiation scenarios by role-playing as HR, to help the student prepare responses and counteroffers privately.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summarise course or certification content for personal revision, provided the student has genuinely attempted the course material.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be used to: suggest talking points for a reference request conversation with a professor, to help the student articulate contributions before the professor writes independently.</w:t>
      </w:r>
    </w:p>
    <w:p>
      <w:pPr>
        <w:pBdr>
          <w:bottom w:val="single" w:color="2C2C2C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Prohibited Uses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NOT be used to: access or operate any AI tool during a live or proctored aptitude, reasoning, or technical recruitment test.</w:t>
      </w:r>
    </w:p>
    <w:p>
      <w:pPr>
        <w:spacing w:after="30"/>
        <w:ind w:left="4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Detection: Proctoring software flags tab switches; placement cell cross-references anomalous score jumps between internal and recruitment tests.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NOT be used to: inflate, embellish, or fabricate the scope or technical depth of internship experience descriptions beyond what the student actually performed.</w:t>
      </w:r>
    </w:p>
    <w:p>
      <w:pPr>
        <w:spacing w:after="30"/>
        <w:ind w:left="4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Detection: Mentor conducts a 10-minute internship debrief — student must explain actual role, tools used, and outcomes without referring to their résumé.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NOT be used to: submit a fully AI-generated cover letter to a recruiter without substantive student rewriting and personal voice.</w:t>
      </w:r>
    </w:p>
    <w:p>
      <w:pPr>
        <w:spacing w:after="30"/>
        <w:ind w:left="4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Detection: Mentor reviews cover letter alongside 2-3 sentences of raw unedited student writing; voice inconsistency flags AI-only authorship.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NOT be used to: deploy an AI avatar, deepfake, or identity-masking tool during any live or recorded recruiter video interview.</w:t>
      </w:r>
    </w:p>
    <w:p>
      <w:pPr>
        <w:spacing w:after="30"/>
        <w:ind w:left="4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Detection: Placement cell requires an unscripted self-introduction video internally before recruiter interview, used as voice and appearance baseline.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5"/>
          <w:szCs w:val="15"/>
        </w:rPr>
        <w:t xml:space="preserve">AI may NOT be used to: draft, ghost-write, or structurally compose a reference letter on behalf of the recommending faculty or professional.</w:t>
      </w:r>
    </w:p>
    <w:p>
      <w:pPr>
        <w:spacing w:after="30"/>
        <w:ind w:left="4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Detection: Placement cell spot-checks by requesting faculty to verbally confirm one specific example cited in the letter during placement review meetings.</w:t>
      </w:r>
    </w:p>
    <w:p>
      <w:pPr>
        <w:pBdr>
          <w:bottom w:val="single" w:color="2C2C2C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Enforcement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The placement cell will conduct random integrity checks covering aptitude score audits, internship debrief sessions, and cover letter voice reviews (sampling 25% of students entering the final recruitment cycle). Any confirmed violation results in: first violation — written warning within 48 hours + re-submission within 5 working days; second violation — placement support withdrawn for the current cycle, with a formal note in the student placement file. The placement cell acknowledges that detection is inherently incomplete — AI avatar use, partial certification misrepresentation, and privately ghostwritten references may not always be caught; this policy therefore depends equally on student integrity and the understanding that misrepresentation discovered post-placement carries consequences far graver than any placement cell penalty.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2026-05-21T10:25:00.405Z</dcterms:created>
  <dcterms:modified xsi:type="dcterms:W3CDTF">2026-05-21T10:25:00.422Z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