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A5276"/>
          <w:sz w:val="40"/>
        </w:rPr>
        <w:t>Automotive Infotainment Warranty Analysis &amp; Text Mining</w:t>
      </w:r>
    </w:p>
    <w:p>
      <w:pPr>
        <w:spacing w:after="240"/>
      </w:pPr>
      <w:r>
        <w:rPr>
          <w:rFonts w:ascii="Calibri" w:hAnsi="Calibri"/>
          <w:i/>
          <w:color w:val="6E6E6E"/>
          <w:sz w:val="22"/>
        </w:rPr>
        <w:t>Exploratory Data Analysis, Entity Extraction, and Failure Clustering | HanuAi Assessment</w:t>
      </w:r>
    </w:p>
    <w:tbl>
      <w:tblPr>
        <w:tblW w:type="auto" w:w="0"/>
        <w:tblLook w:firstColumn="1" w:firstRow="1" w:lastColumn="0" w:lastRow="0" w:noHBand="0" w:noVBand="1" w:val="04A0"/>
      </w:tblPr>
      <w:tblGrid>
        <w:gridCol w:w="2484"/>
        <w:gridCol w:w="2484"/>
        <w:gridCol w:w="2484"/>
        <w:gridCol w:w="2484"/>
      </w:tblGrid>
      <w:tr>
        <w:tc>
          <w:tcPr>
            <w:tcW w:type="dxa" w:w="2484"/>
            <w:shd w:val="clear" w:color="auto" w:fill="EAECEE"/>
            <w:tcMar>
              <w:top w:w="80" w:type="dxa"/>
              <w:bottom w:w="80" w:type="dxa"/>
              <w:left w:w="80" w:type="dxa"/>
              <w:right w:w="80" w:type="dxa"/>
            </w:tcMar>
          </w:tcPr>
          <w:p>
            <w:pPr>
              <w:jc w:val="center"/>
            </w:pPr>
            <w:r>
              <w:rPr>
                <w:b/>
                <w:color w:val="3C3C3C"/>
                <w:sz w:val="17"/>
              </w:rPr>
              <w:t>Dataset</w:t>
              <w:br/>
              <w:t>1,000 Warranty Records</w:t>
            </w:r>
          </w:p>
        </w:tc>
        <w:tc>
          <w:tcPr>
            <w:tcW w:type="dxa" w:w="2484"/>
            <w:shd w:val="clear" w:color="auto" w:fill="EAECEE"/>
            <w:tcMar>
              <w:top w:w="80" w:type="dxa"/>
              <w:bottom w:w="80" w:type="dxa"/>
              <w:left w:w="80" w:type="dxa"/>
              <w:right w:w="80" w:type="dxa"/>
            </w:tcMar>
          </w:tcPr>
          <w:p>
            <w:pPr>
              <w:jc w:val="center"/>
            </w:pPr>
            <w:r>
              <w:rPr>
                <w:b/>
                <w:color w:val="3C3C3C"/>
                <w:sz w:val="17"/>
              </w:rPr>
              <w:t>Focus Area</w:t>
              <w:br/>
              <w:t>Radio / Audio / Infotainment</w:t>
            </w:r>
          </w:p>
        </w:tc>
        <w:tc>
          <w:tcPr>
            <w:tcW w:type="dxa" w:w="2484"/>
            <w:shd w:val="clear" w:color="auto" w:fill="EAECEE"/>
            <w:tcMar>
              <w:top w:w="80" w:type="dxa"/>
              <w:bottom w:w="80" w:type="dxa"/>
              <w:left w:w="80" w:type="dxa"/>
              <w:right w:w="80" w:type="dxa"/>
            </w:tcMar>
          </w:tcPr>
          <w:p>
            <w:pPr>
              <w:jc w:val="center"/>
            </w:pPr>
            <w:r>
              <w:rPr>
                <w:b/>
                <w:color w:val="3C3C3C"/>
                <w:sz w:val="17"/>
              </w:rPr>
              <w:t>Model Year</w:t>
              <w:br/>
              <w:t>2020 MY</w:t>
            </w:r>
          </w:p>
        </w:tc>
        <w:tc>
          <w:tcPr>
            <w:tcW w:type="dxa" w:w="2484"/>
            <w:shd w:val="clear" w:color="auto" w:fill="EAECEE"/>
            <w:tcMar>
              <w:top w:w="80" w:type="dxa"/>
              <w:bottom w:w="80" w:type="dxa"/>
              <w:left w:w="80" w:type="dxa"/>
              <w:right w:w="80" w:type="dxa"/>
            </w:tcMar>
          </w:tcPr>
          <w:p>
            <w:pPr>
              <w:jc w:val="center"/>
            </w:pPr>
            <w:r>
              <w:rPr>
                <w:b/>
                <w:color w:val="3C3C3C"/>
                <w:sz w:val="17"/>
              </w:rPr>
              <w:t>Techniques</w:t>
              <w:br/>
              <w:t>EDA, Text Mining, TF-IDF, K-Means</w:t>
            </w:r>
          </w:p>
        </w:tc>
      </w:tr>
    </w:tbl>
    <w:p>
      <w:pPr>
        <w:spacing w:after="120"/>
      </w:pPr>
    </w:p>
    <w:p>
      <w:pPr>
        <w:pStyle w:val="Heading1"/>
        <w:spacing w:before="280" w:after="80"/>
      </w:pPr>
      <w:r>
        <w:rPr>
          <w:rFonts w:ascii="Calibri" w:hAnsi="Calibri"/>
          <w:b/>
          <w:color w:val="1A5276"/>
          <w:sz w:val="32"/>
        </w:rPr>
        <w:t>1. Executive Summary &amp; Data Understanding</w:t>
      </w:r>
    </w:p>
    <w:p>
      <w:r>
        <w:t>This report summarizes our analysis of 1,000 warranty repair claims for 2020 model year vehicles across four makes (ThunderVolt, NovaSprint, NebulaCruiser, TurboFlux). The issues center around vehicle infotainment systems (the 'Silver Box' radio module, center touch displays, navigation card readers, and backup cameras). By analyzing the structured claim data and parsing unstructured technician diagnostic notes (`CUSTOMER_VERBATIM`, `CAUSAL_VERBATIM`, `CORRECTION_VERBATIM`), we identified the top operational failure modes, clustered common root causes, and outlined actionable improvements for quality and engineering teams.</w:t>
      </w:r>
    </w:p>
    <w:p>
      <w:pPr>
        <w:pStyle w:val="Heading1"/>
        <w:spacing w:before="280" w:after="80"/>
      </w:pPr>
      <w:r>
        <w:rPr>
          <w:rFonts w:ascii="Calibri" w:hAnsi="Calibri"/>
          <w:b/>
          <w:color w:val="1A5276"/>
          <w:sz w:val="32"/>
        </w:rPr>
        <w:t>2. Exploratory Data Analysis &amp; Statistical Findings</w:t>
      </w:r>
    </w:p>
    <w:p>
      <w:r>
        <w:t>The exploratory analysis highlighted several key operational patterns:</w:t>
      </w:r>
    </w:p>
    <w:p>
      <w:pPr>
        <w:pStyle w:val="ListBullet"/>
      </w:pPr>
      <w:r>
        <w:t>• Time-to-Failure (Days in Service): The median time from vehicle delivery (`IN_USE_DATE`) to the warranty repair visit (`Opened date`) is 227 days (mean: 240 days; range: 0 to 615 days). Failures concentrate heavily between 2 and 8 months of vehicle ownership. This early-life failure curve indicates manufacturing defects, loose assembly connections, and initial software update glitches rather than long-term wear and tear.</w:t>
      </w:r>
    </w:p>
    <w:p>
      <w:pPr>
        <w:pStyle w:val="ListBullet"/>
      </w:pPr>
      <w:r>
        <w:t>• Assembly Plant Concentration: Over 70% of claims originate from three assembly facilities: Flint Assembly (268 claims, 26.8%), Fort Wayne Assembly (247 claims, 24.7%), and Silao Assembly (194 claims, 19.4%). Spring Hill and Lansing Delta represent the next largest shares.</w:t>
      </w:r>
    </w:p>
    <w:p>
      <w:pPr>
        <w:pStyle w:val="ListBullet"/>
      </w:pPr>
      <w:r>
        <w:t>• Impacted Vehicle Models: The top three vehicle lines account for more than half (53.5%) of all claims: ThunderVolt HyperFury X (238 claims), ThunderVolt TurboFlare (155 claims), and ThunderVolt QuantumRider (142 claims).</w:t>
      </w:r>
    </w:p>
    <w:p>
      <w:pPr>
        <w:pStyle w:val="ListBullet"/>
      </w:pPr>
      <w:r>
        <w:t>• Primary Causal Codes: The most frequent defect descriptions logged by service departments were 'Module/Component-No/Incorrect Communication' (42.1%) and 'Module/Component-Shorted' (33.5%), followed by 'Registers Incorrectly' (9.4%).</w:t>
      </w:r>
    </w:p>
    <w:p>
      <w:pPr>
        <w:pStyle w:val="Heading1"/>
        <w:spacing w:before="280" w:after="80"/>
      </w:pPr>
      <w:r>
        <w:rPr>
          <w:rFonts w:ascii="Calibri" w:hAnsi="Calibri"/>
          <w:b/>
          <w:color w:val="1A5276"/>
          <w:sz w:val="32"/>
        </w:rPr>
        <w:t>3. Text Mining &amp; Entity Tagging</w:t>
      </w:r>
    </w:p>
    <w:p>
      <w:r>
        <w:t>In the original dataset, only the first 5 records contained sample values for `Trigger`, `Failure Component`, `Failure Condition`, `Additional Context`, `Fix Component`, and `Fix Condition`. The remaining 995 records were unpopulated. Using the first 5 seed rows as our reference ontology, we built an entity extraction script that parsed the free-text fields and tagged all 1,000 records consistently. We then grouped the records into five high-level issue categories:</w:t>
      </w:r>
    </w:p>
    <w:tbl>
      <w:tblPr>
        <w:tblW w:type="auto" w:w="0"/>
        <w:jc w:val="center"/>
        <w:tblLook w:firstColumn="1" w:firstRow="1" w:lastColumn="0" w:lastRow="0" w:noHBand="0" w:noVBand="1" w:val="04A0"/>
      </w:tblPr>
      <w:tblGrid>
        <w:gridCol w:w="2484"/>
        <w:gridCol w:w="2484"/>
        <w:gridCol w:w="2484"/>
        <w:gridCol w:w="2484"/>
      </w:tblGrid>
      <w:tr>
        <w:tc>
          <w:tcPr>
            <w:tcW w:type="dxa" w:w="2592"/>
            <w:shd w:val="clear" w:color="auto" w:fill="1A5276"/>
            <w:tcMar>
              <w:top w:w="100" w:type="dxa"/>
              <w:bottom w:w="100" w:type="dxa"/>
              <w:left w:w="120" w:type="dxa"/>
              <w:right w:w="120" w:type="dxa"/>
            </w:tcMar>
          </w:tcPr>
          <w:p>
            <w:pPr>
              <w:jc w:val="center"/>
            </w:pPr>
            <w:r>
              <w:rPr>
                <w:rFonts w:ascii="Calibri" w:hAnsi="Calibri"/>
                <w:b/>
                <w:color w:val="FFFFFF"/>
                <w:sz w:val="19"/>
              </w:rPr>
              <w:t>Issue Category</w:t>
            </w:r>
          </w:p>
        </w:tc>
        <w:tc>
          <w:tcPr>
            <w:tcW w:type="dxa" w:w="1296"/>
            <w:shd w:val="clear" w:color="auto" w:fill="1A5276"/>
            <w:tcMar>
              <w:top w:w="100" w:type="dxa"/>
              <w:bottom w:w="100" w:type="dxa"/>
              <w:left w:w="120" w:type="dxa"/>
              <w:right w:w="120" w:type="dxa"/>
            </w:tcMar>
          </w:tcPr>
          <w:p>
            <w:pPr>
              <w:jc w:val="center"/>
            </w:pPr>
            <w:r>
              <w:rPr>
                <w:rFonts w:ascii="Calibri" w:hAnsi="Calibri"/>
                <w:b/>
                <w:color w:val="FFFFFF"/>
                <w:sz w:val="19"/>
              </w:rPr>
              <w:t>Claim Count</w:t>
            </w:r>
          </w:p>
        </w:tc>
        <w:tc>
          <w:tcPr>
            <w:tcW w:type="dxa" w:w="1152"/>
            <w:shd w:val="clear" w:color="auto" w:fill="1A5276"/>
            <w:tcMar>
              <w:top w:w="100" w:type="dxa"/>
              <w:bottom w:w="100" w:type="dxa"/>
              <w:left w:w="120" w:type="dxa"/>
              <w:right w:w="120" w:type="dxa"/>
            </w:tcMar>
          </w:tcPr>
          <w:p>
            <w:pPr>
              <w:jc w:val="center"/>
            </w:pPr>
            <w:r>
              <w:rPr>
                <w:rFonts w:ascii="Calibri" w:hAnsi="Calibri"/>
                <w:b/>
                <w:color w:val="FFFFFF"/>
                <w:sz w:val="19"/>
              </w:rPr>
              <w:t>Share</w:t>
            </w:r>
          </w:p>
        </w:tc>
        <w:tc>
          <w:tcPr>
            <w:tcW w:type="dxa" w:w="5040"/>
            <w:shd w:val="clear" w:color="auto" w:fill="1A5276"/>
            <w:tcMar>
              <w:top w:w="100" w:type="dxa"/>
              <w:bottom w:w="100" w:type="dxa"/>
              <w:left w:w="120" w:type="dxa"/>
              <w:right w:w="120" w:type="dxa"/>
            </w:tcMar>
          </w:tcPr>
          <w:p>
            <w:pPr>
              <w:jc w:val="center"/>
            </w:pPr>
            <w:r>
              <w:rPr>
                <w:rFonts w:ascii="Calibri" w:hAnsi="Calibri"/>
                <w:b/>
                <w:color w:val="FFFFFF"/>
                <w:sz w:val="19"/>
              </w:rPr>
              <w:t>Common Symptoms &amp; Verbatim Notes</w:t>
            </w:r>
          </w:p>
        </w:tc>
      </w:tr>
      <w:tr>
        <w:tc>
          <w:tcPr>
            <w:tcW w:type="dxa" w:w="2592"/>
            <w:shd w:val="clear" w:color="auto" w:fill="FFFFFF"/>
            <w:tcMar>
              <w:top w:w="80" w:type="dxa"/>
              <w:bottom w:w="80" w:type="dxa"/>
              <w:left w:w="100" w:type="dxa"/>
              <w:right w:w="100" w:type="dxa"/>
            </w:tcMar>
          </w:tcPr>
          <w:p>
            <w:pPr>
              <w:jc w:val="center"/>
            </w:pPr>
            <w:r>
              <w:rPr>
                <w:rFonts w:ascii="Calibri" w:hAnsi="Calibri"/>
                <w:color w:val="282828"/>
                <w:sz w:val="18"/>
              </w:rPr>
              <w:t>Internal Component Hardware Failure</w:t>
            </w:r>
          </w:p>
        </w:tc>
        <w:tc>
          <w:tcPr>
            <w:tcW w:type="dxa" w:w="1296"/>
            <w:shd w:val="clear" w:color="auto" w:fill="FFFFFF"/>
            <w:tcMar>
              <w:top w:w="80" w:type="dxa"/>
              <w:bottom w:w="80" w:type="dxa"/>
              <w:left w:w="100" w:type="dxa"/>
              <w:right w:w="100" w:type="dxa"/>
            </w:tcMar>
          </w:tcPr>
          <w:p>
            <w:pPr>
              <w:jc w:val="left"/>
            </w:pPr>
            <w:r>
              <w:rPr>
                <w:rFonts w:ascii="Calibri" w:hAnsi="Calibri"/>
                <w:color w:val="282828"/>
                <w:sz w:val="18"/>
              </w:rPr>
              <w:t>437</w:t>
            </w:r>
          </w:p>
        </w:tc>
        <w:tc>
          <w:tcPr>
            <w:tcW w:type="dxa" w:w="1152"/>
            <w:shd w:val="clear" w:color="auto" w:fill="FFFFFF"/>
            <w:tcMar>
              <w:top w:w="80" w:type="dxa"/>
              <w:bottom w:w="80" w:type="dxa"/>
              <w:left w:w="100" w:type="dxa"/>
              <w:right w:w="100" w:type="dxa"/>
            </w:tcMar>
          </w:tcPr>
          <w:p>
            <w:pPr>
              <w:jc w:val="left"/>
            </w:pPr>
            <w:r>
              <w:rPr>
                <w:rFonts w:ascii="Calibri" w:hAnsi="Calibri"/>
                <w:color w:val="282828"/>
                <w:sz w:val="18"/>
              </w:rPr>
              <w:t>43.7%</w:t>
            </w:r>
          </w:p>
        </w:tc>
        <w:tc>
          <w:tcPr>
            <w:tcW w:type="dxa" w:w="5040"/>
            <w:shd w:val="clear" w:color="auto" w:fill="FFFFFF"/>
            <w:tcMar>
              <w:top w:w="80" w:type="dxa"/>
              <w:bottom w:w="80" w:type="dxa"/>
              <w:left w:w="100" w:type="dxa"/>
              <w:right w:w="100" w:type="dxa"/>
            </w:tcMar>
          </w:tcPr>
          <w:p>
            <w:pPr>
              <w:jc w:val="left"/>
            </w:pPr>
            <w:r>
              <w:rPr>
                <w:rFonts w:ascii="Calibri" w:hAnsi="Calibri"/>
                <w:color w:val="282828"/>
                <w:sz w:val="18"/>
              </w:rPr>
              <w:t>Internal radio module short, main board open circuit, complete loss of display and sound. Requires radio module replacement.</w:t>
            </w:r>
          </w:p>
        </w:tc>
      </w:tr>
      <w:tr>
        <w:tc>
          <w:tcPr>
            <w:tcW w:type="dxa" w:w="2592"/>
            <w:shd w:val="clear" w:color="auto" w:fill="F8F9F9"/>
            <w:tcMar>
              <w:top w:w="80" w:type="dxa"/>
              <w:bottom w:w="80" w:type="dxa"/>
              <w:left w:w="100" w:type="dxa"/>
              <w:right w:w="100" w:type="dxa"/>
            </w:tcMar>
          </w:tcPr>
          <w:p>
            <w:pPr>
              <w:jc w:val="center"/>
            </w:pPr>
            <w:r>
              <w:rPr>
                <w:rFonts w:ascii="Calibri" w:hAnsi="Calibri"/>
                <w:color w:val="282828"/>
                <w:sz w:val="18"/>
              </w:rPr>
              <w:t>Software, Firmware &amp; Calibration Glitch</w:t>
            </w:r>
          </w:p>
        </w:tc>
        <w:tc>
          <w:tcPr>
            <w:tcW w:type="dxa" w:w="1296"/>
            <w:shd w:val="clear" w:color="auto" w:fill="F8F9F9"/>
            <w:tcMar>
              <w:top w:w="80" w:type="dxa"/>
              <w:bottom w:w="80" w:type="dxa"/>
              <w:left w:w="100" w:type="dxa"/>
              <w:right w:w="100" w:type="dxa"/>
            </w:tcMar>
          </w:tcPr>
          <w:p>
            <w:pPr>
              <w:jc w:val="left"/>
            </w:pPr>
            <w:r>
              <w:rPr>
                <w:rFonts w:ascii="Calibri" w:hAnsi="Calibri"/>
                <w:color w:val="282828"/>
                <w:sz w:val="18"/>
              </w:rPr>
              <w:t>295</w:t>
            </w:r>
          </w:p>
        </w:tc>
        <w:tc>
          <w:tcPr>
            <w:tcW w:type="dxa" w:w="1152"/>
            <w:shd w:val="clear" w:color="auto" w:fill="F8F9F9"/>
            <w:tcMar>
              <w:top w:w="80" w:type="dxa"/>
              <w:bottom w:w="80" w:type="dxa"/>
              <w:left w:w="100" w:type="dxa"/>
              <w:right w:w="100" w:type="dxa"/>
            </w:tcMar>
          </w:tcPr>
          <w:p>
            <w:pPr>
              <w:jc w:val="left"/>
            </w:pPr>
            <w:r>
              <w:rPr>
                <w:rFonts w:ascii="Calibri" w:hAnsi="Calibri"/>
                <w:color w:val="282828"/>
                <w:sz w:val="18"/>
              </w:rPr>
              <w:t>29.5%</w:t>
            </w:r>
          </w:p>
        </w:tc>
        <w:tc>
          <w:tcPr>
            <w:tcW w:type="dxa" w:w="5040"/>
            <w:shd w:val="clear" w:color="auto" w:fill="F8F9F9"/>
            <w:tcMar>
              <w:top w:w="80" w:type="dxa"/>
              <w:bottom w:w="80" w:type="dxa"/>
              <w:left w:w="100" w:type="dxa"/>
              <w:right w:w="100" w:type="dxa"/>
            </w:tcMar>
          </w:tcPr>
          <w:p>
            <w:pPr>
              <w:jc w:val="left"/>
            </w:pPr>
            <w:r>
              <w:rPr>
                <w:rFonts w:ascii="Calibri" w:hAnsi="Calibri"/>
                <w:color w:val="282828"/>
                <w:sz w:val="18"/>
              </w:rPr>
              <w:t>Failed over-the-air (OTA) and USB software updates, stuck in demo/valet mode, language reverting to Arabic, SPS reflash errors.</w:t>
            </w:r>
          </w:p>
        </w:tc>
      </w:tr>
      <w:tr>
        <w:tc>
          <w:tcPr>
            <w:tcW w:type="dxa" w:w="2592"/>
            <w:shd w:val="clear" w:color="auto" w:fill="FFFFFF"/>
            <w:tcMar>
              <w:top w:w="80" w:type="dxa"/>
              <w:bottom w:w="80" w:type="dxa"/>
              <w:left w:w="100" w:type="dxa"/>
              <w:right w:w="100" w:type="dxa"/>
            </w:tcMar>
          </w:tcPr>
          <w:p>
            <w:pPr>
              <w:jc w:val="center"/>
            </w:pPr>
            <w:r>
              <w:rPr>
                <w:rFonts w:ascii="Calibri" w:hAnsi="Calibri"/>
                <w:color w:val="282828"/>
                <w:sz w:val="18"/>
              </w:rPr>
              <w:t>Wiring &amp; Physical Connection Quality</w:t>
            </w:r>
          </w:p>
        </w:tc>
        <w:tc>
          <w:tcPr>
            <w:tcW w:type="dxa" w:w="1296"/>
            <w:shd w:val="clear" w:color="auto" w:fill="FFFFFF"/>
            <w:tcMar>
              <w:top w:w="80" w:type="dxa"/>
              <w:bottom w:w="80" w:type="dxa"/>
              <w:left w:w="100" w:type="dxa"/>
              <w:right w:w="100" w:type="dxa"/>
            </w:tcMar>
          </w:tcPr>
          <w:p>
            <w:pPr>
              <w:jc w:val="left"/>
            </w:pPr>
            <w:r>
              <w:rPr>
                <w:rFonts w:ascii="Calibri" w:hAnsi="Calibri"/>
                <w:color w:val="282828"/>
                <w:sz w:val="18"/>
              </w:rPr>
              <w:t>144</w:t>
            </w:r>
          </w:p>
        </w:tc>
        <w:tc>
          <w:tcPr>
            <w:tcW w:type="dxa" w:w="1152"/>
            <w:shd w:val="clear" w:color="auto" w:fill="FFFFFF"/>
            <w:tcMar>
              <w:top w:w="80" w:type="dxa"/>
              <w:bottom w:w="80" w:type="dxa"/>
              <w:left w:w="100" w:type="dxa"/>
              <w:right w:w="100" w:type="dxa"/>
            </w:tcMar>
          </w:tcPr>
          <w:p>
            <w:pPr>
              <w:jc w:val="left"/>
            </w:pPr>
            <w:r>
              <w:rPr>
                <w:rFonts w:ascii="Calibri" w:hAnsi="Calibri"/>
                <w:color w:val="282828"/>
                <w:sz w:val="18"/>
              </w:rPr>
              <w:t>14.4%</w:t>
            </w:r>
          </w:p>
        </w:tc>
        <w:tc>
          <w:tcPr>
            <w:tcW w:type="dxa" w:w="5040"/>
            <w:shd w:val="clear" w:color="auto" w:fill="FFFFFF"/>
            <w:tcMar>
              <w:top w:w="80" w:type="dxa"/>
              <w:bottom w:w="80" w:type="dxa"/>
              <w:left w:w="100" w:type="dxa"/>
              <w:right w:w="100" w:type="dxa"/>
            </w:tcMar>
          </w:tcPr>
          <w:p>
            <w:pPr>
              <w:jc w:val="left"/>
            </w:pPr>
            <w:r>
              <w:rPr>
                <w:rFonts w:ascii="Calibri" w:hAnsi="Calibri"/>
                <w:color w:val="282828"/>
                <w:sz w:val="18"/>
              </w:rPr>
              <w:t>Loose coaxial camera cable, bent connector pins, fretting corrosion, and high resistance on Ethernet data lines.</w:t>
            </w:r>
          </w:p>
        </w:tc>
      </w:tr>
      <w:tr>
        <w:tc>
          <w:tcPr>
            <w:tcW w:type="dxa" w:w="2592"/>
            <w:shd w:val="clear" w:color="auto" w:fill="F8F9F9"/>
            <w:tcMar>
              <w:top w:w="80" w:type="dxa"/>
              <w:bottom w:w="80" w:type="dxa"/>
              <w:left w:w="100" w:type="dxa"/>
              <w:right w:w="100" w:type="dxa"/>
            </w:tcMar>
          </w:tcPr>
          <w:p>
            <w:pPr>
              <w:jc w:val="center"/>
            </w:pPr>
            <w:r>
              <w:rPr>
                <w:rFonts w:ascii="Calibri" w:hAnsi="Calibri"/>
                <w:color w:val="282828"/>
                <w:sz w:val="18"/>
              </w:rPr>
              <w:t>Connectivity &amp; External Signal Reception</w:t>
            </w:r>
          </w:p>
        </w:tc>
        <w:tc>
          <w:tcPr>
            <w:tcW w:type="dxa" w:w="1296"/>
            <w:shd w:val="clear" w:color="auto" w:fill="F8F9F9"/>
            <w:tcMar>
              <w:top w:w="80" w:type="dxa"/>
              <w:bottom w:w="80" w:type="dxa"/>
              <w:left w:w="100" w:type="dxa"/>
              <w:right w:w="100" w:type="dxa"/>
            </w:tcMar>
          </w:tcPr>
          <w:p>
            <w:pPr>
              <w:jc w:val="left"/>
            </w:pPr>
            <w:r>
              <w:rPr>
                <w:rFonts w:ascii="Calibri" w:hAnsi="Calibri"/>
                <w:color w:val="282828"/>
                <w:sz w:val="18"/>
              </w:rPr>
              <w:t>108</w:t>
            </w:r>
          </w:p>
        </w:tc>
        <w:tc>
          <w:tcPr>
            <w:tcW w:type="dxa" w:w="1152"/>
            <w:shd w:val="clear" w:color="auto" w:fill="F8F9F9"/>
            <w:tcMar>
              <w:top w:w="80" w:type="dxa"/>
              <w:bottom w:w="80" w:type="dxa"/>
              <w:left w:w="100" w:type="dxa"/>
              <w:right w:w="100" w:type="dxa"/>
            </w:tcMar>
          </w:tcPr>
          <w:p>
            <w:pPr>
              <w:jc w:val="left"/>
            </w:pPr>
            <w:r>
              <w:rPr>
                <w:rFonts w:ascii="Calibri" w:hAnsi="Calibri"/>
                <w:color w:val="282828"/>
                <w:sz w:val="18"/>
              </w:rPr>
              <w:t>10.8%</w:t>
            </w:r>
          </w:p>
        </w:tc>
        <w:tc>
          <w:tcPr>
            <w:tcW w:type="dxa" w:w="5040"/>
            <w:shd w:val="clear" w:color="auto" w:fill="F8F9F9"/>
            <w:tcMar>
              <w:top w:w="80" w:type="dxa"/>
              <w:bottom w:w="80" w:type="dxa"/>
              <w:left w:w="100" w:type="dxa"/>
              <w:right w:w="100" w:type="dxa"/>
            </w:tcMar>
          </w:tcPr>
          <w:p>
            <w:pPr>
              <w:jc w:val="left"/>
            </w:pPr>
            <w:r>
              <w:rPr>
                <w:rFonts w:ascii="Calibri" w:hAnsi="Calibri"/>
                <w:color w:val="282828"/>
                <w:sz w:val="18"/>
              </w:rPr>
              <w:t>SiriusXM loading loop, satellite signal loss, Bluetooth pairing drops, and OnStar telematics communication loss.</w:t>
            </w:r>
          </w:p>
        </w:tc>
      </w:tr>
      <w:tr>
        <w:tc>
          <w:tcPr>
            <w:tcW w:type="dxa" w:w="2592"/>
            <w:shd w:val="clear" w:color="auto" w:fill="FFFFFF"/>
            <w:tcMar>
              <w:top w:w="80" w:type="dxa"/>
              <w:bottom w:w="80" w:type="dxa"/>
              <w:left w:w="100" w:type="dxa"/>
              <w:right w:w="100" w:type="dxa"/>
            </w:tcMar>
          </w:tcPr>
          <w:p>
            <w:pPr>
              <w:jc w:val="center"/>
            </w:pPr>
            <w:r>
              <w:rPr>
                <w:rFonts w:ascii="Calibri" w:hAnsi="Calibri"/>
                <w:color w:val="282828"/>
                <w:sz w:val="18"/>
              </w:rPr>
              <w:t>Power Management &amp; Parasitic Draw</w:t>
            </w:r>
          </w:p>
        </w:tc>
        <w:tc>
          <w:tcPr>
            <w:tcW w:type="dxa" w:w="1296"/>
            <w:shd w:val="clear" w:color="auto" w:fill="FFFFFF"/>
            <w:tcMar>
              <w:top w:w="80" w:type="dxa"/>
              <w:bottom w:w="80" w:type="dxa"/>
              <w:left w:w="100" w:type="dxa"/>
              <w:right w:w="100" w:type="dxa"/>
            </w:tcMar>
          </w:tcPr>
          <w:p>
            <w:pPr>
              <w:jc w:val="left"/>
            </w:pPr>
            <w:r>
              <w:rPr>
                <w:rFonts w:ascii="Calibri" w:hAnsi="Calibri"/>
                <w:color w:val="282828"/>
                <w:sz w:val="18"/>
              </w:rPr>
              <w:t>16</w:t>
            </w:r>
          </w:p>
        </w:tc>
        <w:tc>
          <w:tcPr>
            <w:tcW w:type="dxa" w:w="1152"/>
            <w:shd w:val="clear" w:color="auto" w:fill="FFFFFF"/>
            <w:tcMar>
              <w:top w:w="80" w:type="dxa"/>
              <w:bottom w:w="80" w:type="dxa"/>
              <w:left w:w="100" w:type="dxa"/>
              <w:right w:w="100" w:type="dxa"/>
            </w:tcMar>
          </w:tcPr>
          <w:p>
            <w:pPr>
              <w:jc w:val="left"/>
            </w:pPr>
            <w:r>
              <w:rPr>
                <w:rFonts w:ascii="Calibri" w:hAnsi="Calibri"/>
                <w:color w:val="282828"/>
                <w:sz w:val="18"/>
              </w:rPr>
              <w:t>1.6%</w:t>
            </w:r>
          </w:p>
        </w:tc>
        <w:tc>
          <w:tcPr>
            <w:tcW w:type="dxa" w:w="5040"/>
            <w:shd w:val="clear" w:color="auto" w:fill="FFFFFF"/>
            <w:tcMar>
              <w:top w:w="80" w:type="dxa"/>
              <w:bottom w:w="80" w:type="dxa"/>
              <w:left w:w="100" w:type="dxa"/>
              <w:right w:w="100" w:type="dxa"/>
            </w:tcMar>
          </w:tcPr>
          <w:p>
            <w:pPr>
              <w:jc w:val="left"/>
            </w:pPr>
            <w:r>
              <w:rPr>
                <w:rFonts w:ascii="Calibri" w:hAnsi="Calibri"/>
                <w:color w:val="282828"/>
                <w:sz w:val="18"/>
              </w:rPr>
              <w:t>Radio staying powered on after vehicle shutoff and door opening (RAP timeout failure), draining the 12V battery overnight.</w:t>
            </w:r>
          </w:p>
        </w:tc>
      </w:tr>
    </w:tbl>
    <w:p>
      <w:pPr>
        <w:spacing w:after="160"/>
      </w:pPr>
    </w:p>
    <w:p>
      <w:pPr>
        <w:pStyle w:val="Heading1"/>
        <w:spacing w:before="280" w:after="80"/>
      </w:pPr>
      <w:r>
        <w:rPr>
          <w:rFonts w:ascii="Calibri" w:hAnsi="Calibri"/>
          <w:b/>
          <w:color w:val="1A5276"/>
          <w:sz w:val="32"/>
        </w:rPr>
        <w:t>4. Unsupervised Clustering &amp; Root Causes</w:t>
      </w:r>
    </w:p>
    <w:p>
      <w:r>
        <w:t>Using TF-IDF vectorization (unigrams and bigrams) and K-Means clustering ($k=5$), we grouped the unstructured repair notes into five distinct failure clusters. Analyzing the top terms in each cluster reveals specific root causes:</w:t>
      </w:r>
    </w:p>
    <w:tbl>
      <w:tblPr>
        <w:tblW w:type="auto" w:w="0"/>
        <w:jc w:val="center"/>
        <w:tblLook w:firstColumn="1" w:firstRow="1" w:lastColumn="0" w:lastRow="0" w:noHBand="0" w:noVBand="1" w:val="04A0"/>
      </w:tblPr>
      <w:tblGrid>
        <w:gridCol w:w="2484"/>
        <w:gridCol w:w="2484"/>
        <w:gridCol w:w="2484"/>
        <w:gridCol w:w="2484"/>
      </w:tblGrid>
      <w:tr>
        <w:tc>
          <w:tcPr>
            <w:tcW w:type="dxa" w:w="2448"/>
            <w:shd w:val="clear" w:color="auto" w:fill="1A5276"/>
            <w:tcMar>
              <w:top w:w="100" w:type="dxa"/>
              <w:bottom w:w="100" w:type="dxa"/>
              <w:left w:w="120" w:type="dxa"/>
              <w:right w:w="120" w:type="dxa"/>
            </w:tcMar>
          </w:tcPr>
          <w:p>
            <w:pPr>
              <w:jc w:val="center"/>
            </w:pPr>
            <w:r>
              <w:rPr>
                <w:rFonts w:ascii="Calibri" w:hAnsi="Calibri"/>
                <w:b/>
                <w:color w:val="FFFFFF"/>
                <w:sz w:val="19"/>
              </w:rPr>
              <w:t>Cluster Group</w:t>
            </w:r>
          </w:p>
        </w:tc>
        <w:tc>
          <w:tcPr>
            <w:tcW w:type="dxa" w:w="1008"/>
            <w:shd w:val="clear" w:color="auto" w:fill="1A5276"/>
            <w:tcMar>
              <w:top w:w="100" w:type="dxa"/>
              <w:bottom w:w="100" w:type="dxa"/>
              <w:left w:w="120" w:type="dxa"/>
              <w:right w:w="120" w:type="dxa"/>
            </w:tcMar>
          </w:tcPr>
          <w:p>
            <w:pPr>
              <w:jc w:val="center"/>
            </w:pPr>
            <w:r>
              <w:rPr>
                <w:rFonts w:ascii="Calibri" w:hAnsi="Calibri"/>
                <w:b/>
                <w:color w:val="FFFFFF"/>
                <w:sz w:val="19"/>
              </w:rPr>
              <w:t>Records</w:t>
            </w:r>
          </w:p>
        </w:tc>
        <w:tc>
          <w:tcPr>
            <w:tcW w:type="dxa" w:w="2880"/>
            <w:shd w:val="clear" w:color="auto" w:fill="1A5276"/>
            <w:tcMar>
              <w:top w:w="100" w:type="dxa"/>
              <w:bottom w:w="100" w:type="dxa"/>
              <w:left w:w="120" w:type="dxa"/>
              <w:right w:w="120" w:type="dxa"/>
            </w:tcMar>
          </w:tcPr>
          <w:p>
            <w:pPr>
              <w:jc w:val="center"/>
            </w:pPr>
            <w:r>
              <w:rPr>
                <w:rFonts w:ascii="Calibri" w:hAnsi="Calibri"/>
                <w:b/>
                <w:color w:val="FFFFFF"/>
                <w:sz w:val="19"/>
              </w:rPr>
              <w:t>Top Key Terms</w:t>
            </w:r>
          </w:p>
        </w:tc>
        <w:tc>
          <w:tcPr>
            <w:tcW w:type="dxa" w:w="3744"/>
            <w:shd w:val="clear" w:color="auto" w:fill="1A5276"/>
            <w:tcMar>
              <w:top w:w="100" w:type="dxa"/>
              <w:bottom w:w="100" w:type="dxa"/>
              <w:left w:w="120" w:type="dxa"/>
              <w:right w:w="120" w:type="dxa"/>
            </w:tcMar>
          </w:tcPr>
          <w:p>
            <w:pPr>
              <w:jc w:val="center"/>
            </w:pPr>
            <w:r>
              <w:rPr>
                <w:rFonts w:ascii="Calibri" w:hAnsi="Calibri"/>
                <w:b/>
                <w:color w:val="FFFFFF"/>
                <w:sz w:val="19"/>
              </w:rPr>
              <w:t>Observed Root Cause &amp; Diagnostic Pattern</w:t>
            </w:r>
          </w:p>
        </w:tc>
      </w:tr>
      <w:tr>
        <w:tc>
          <w:tcPr>
            <w:tcW w:type="dxa" w:w="2448"/>
            <w:shd w:val="clear" w:color="auto" w:fill="FFFFFF"/>
            <w:tcMar>
              <w:top w:w="80" w:type="dxa"/>
              <w:bottom w:w="80" w:type="dxa"/>
              <w:left w:w="100" w:type="dxa"/>
              <w:right w:w="100" w:type="dxa"/>
            </w:tcMar>
          </w:tcPr>
          <w:p>
            <w:pPr>
              <w:jc w:val="center"/>
            </w:pPr>
            <w:r>
              <w:rPr>
                <w:rFonts w:ascii="Calibri" w:hAnsi="Calibri"/>
                <w:color w:val="282828"/>
                <w:sz w:val="18"/>
              </w:rPr>
              <w:t>Cluster 0: Black Screen &amp; Inop Radio</w:t>
            </w:r>
          </w:p>
        </w:tc>
        <w:tc>
          <w:tcPr>
            <w:tcW w:type="dxa" w:w="1008"/>
            <w:shd w:val="clear" w:color="auto" w:fill="FFFFFF"/>
            <w:tcMar>
              <w:top w:w="80" w:type="dxa"/>
              <w:bottom w:w="80" w:type="dxa"/>
              <w:left w:w="100" w:type="dxa"/>
              <w:right w:w="100" w:type="dxa"/>
            </w:tcMar>
          </w:tcPr>
          <w:p>
            <w:pPr>
              <w:jc w:val="left"/>
            </w:pPr>
            <w:r>
              <w:rPr>
                <w:rFonts w:ascii="Calibri" w:hAnsi="Calibri"/>
                <w:color w:val="282828"/>
                <w:sz w:val="18"/>
              </w:rPr>
              <w:t>328</w:t>
            </w:r>
          </w:p>
        </w:tc>
        <w:tc>
          <w:tcPr>
            <w:tcW w:type="dxa" w:w="2880"/>
            <w:shd w:val="clear" w:color="auto" w:fill="FFFFFF"/>
            <w:tcMar>
              <w:top w:w="80" w:type="dxa"/>
              <w:bottom w:w="80" w:type="dxa"/>
              <w:left w:w="100" w:type="dxa"/>
              <w:right w:w="100" w:type="dxa"/>
            </w:tcMar>
          </w:tcPr>
          <w:p>
            <w:pPr>
              <w:jc w:val="left"/>
            </w:pPr>
            <w:r>
              <w:rPr>
                <w:rFonts w:ascii="Calibri" w:hAnsi="Calibri"/>
                <w:color w:val="282828"/>
                <w:sz w:val="18"/>
              </w:rPr>
              <w:t>screen, blank, radio screen, internal, module, replaced</w:t>
            </w:r>
          </w:p>
        </w:tc>
        <w:tc>
          <w:tcPr>
            <w:tcW w:type="dxa" w:w="3744"/>
            <w:shd w:val="clear" w:color="auto" w:fill="FFFFFF"/>
            <w:tcMar>
              <w:top w:w="80" w:type="dxa"/>
              <w:bottom w:w="80" w:type="dxa"/>
              <w:left w:w="100" w:type="dxa"/>
              <w:right w:w="100" w:type="dxa"/>
            </w:tcMar>
          </w:tcPr>
          <w:p>
            <w:pPr>
              <w:jc w:val="left"/>
            </w:pPr>
            <w:r>
              <w:rPr>
                <w:rFonts w:ascii="Calibri" w:hAnsi="Calibri"/>
                <w:color w:val="282828"/>
                <w:sz w:val="18"/>
              </w:rPr>
              <w:t>Internal silver box failure causing dark display and loss of audio. Technicians verify power and ground before replacing the unit.</w:t>
            </w:r>
          </w:p>
        </w:tc>
      </w:tr>
      <w:tr>
        <w:tc>
          <w:tcPr>
            <w:tcW w:type="dxa" w:w="2448"/>
            <w:shd w:val="clear" w:color="auto" w:fill="F8F9F9"/>
            <w:tcMar>
              <w:top w:w="80" w:type="dxa"/>
              <w:bottom w:w="80" w:type="dxa"/>
              <w:left w:w="100" w:type="dxa"/>
              <w:right w:w="100" w:type="dxa"/>
            </w:tcMar>
          </w:tcPr>
          <w:p>
            <w:pPr>
              <w:jc w:val="center"/>
            </w:pPr>
            <w:r>
              <w:rPr>
                <w:rFonts w:ascii="Calibri" w:hAnsi="Calibri"/>
                <w:color w:val="282828"/>
                <w:sz w:val="18"/>
              </w:rPr>
              <w:t>Cluster 1: Camera Video Loss &amp; Coax Fault</w:t>
            </w:r>
          </w:p>
        </w:tc>
        <w:tc>
          <w:tcPr>
            <w:tcW w:type="dxa" w:w="1008"/>
            <w:shd w:val="clear" w:color="auto" w:fill="F8F9F9"/>
            <w:tcMar>
              <w:top w:w="80" w:type="dxa"/>
              <w:bottom w:w="80" w:type="dxa"/>
              <w:left w:w="100" w:type="dxa"/>
              <w:right w:w="100" w:type="dxa"/>
            </w:tcMar>
          </w:tcPr>
          <w:p>
            <w:pPr>
              <w:jc w:val="left"/>
            </w:pPr>
            <w:r>
              <w:rPr>
                <w:rFonts w:ascii="Calibri" w:hAnsi="Calibri"/>
                <w:color w:val="282828"/>
                <w:sz w:val="18"/>
              </w:rPr>
              <w:t>94</w:t>
            </w:r>
          </w:p>
        </w:tc>
        <w:tc>
          <w:tcPr>
            <w:tcW w:type="dxa" w:w="2880"/>
            <w:shd w:val="clear" w:color="auto" w:fill="F8F9F9"/>
            <w:tcMar>
              <w:top w:w="80" w:type="dxa"/>
              <w:bottom w:w="80" w:type="dxa"/>
              <w:left w:w="100" w:type="dxa"/>
              <w:right w:w="100" w:type="dxa"/>
            </w:tcMar>
          </w:tcPr>
          <w:p>
            <w:pPr>
              <w:jc w:val="left"/>
            </w:pPr>
            <w:r>
              <w:rPr>
                <w:rFonts w:ascii="Calibri" w:hAnsi="Calibri"/>
                <w:color w:val="282828"/>
                <w:sz w:val="18"/>
              </w:rPr>
              <w:t>camera, rear, coax, video, backup, inop, triangle, red x</w:t>
            </w:r>
          </w:p>
        </w:tc>
        <w:tc>
          <w:tcPr>
            <w:tcW w:type="dxa" w:w="3744"/>
            <w:shd w:val="clear" w:color="auto" w:fill="F8F9F9"/>
            <w:tcMar>
              <w:top w:w="80" w:type="dxa"/>
              <w:bottom w:w="80" w:type="dxa"/>
              <w:left w:w="100" w:type="dxa"/>
              <w:right w:w="100" w:type="dxa"/>
            </w:tcMar>
          </w:tcPr>
          <w:p>
            <w:pPr>
              <w:jc w:val="left"/>
            </w:pPr>
            <w:r>
              <w:rPr>
                <w:rFonts w:ascii="Calibri" w:hAnsi="Calibri"/>
                <w:color w:val="282828"/>
                <w:sz w:val="18"/>
              </w:rPr>
              <w:t>Loose FAKRA coaxial cable connections at the back of the radio module causing intermittent camera dropouts and red warning icons.</w:t>
            </w:r>
          </w:p>
        </w:tc>
      </w:tr>
      <w:tr>
        <w:tc>
          <w:tcPr>
            <w:tcW w:type="dxa" w:w="2448"/>
            <w:shd w:val="clear" w:color="auto" w:fill="FFFFFF"/>
            <w:tcMar>
              <w:top w:w="80" w:type="dxa"/>
              <w:bottom w:w="80" w:type="dxa"/>
              <w:left w:w="100" w:type="dxa"/>
              <w:right w:w="100" w:type="dxa"/>
            </w:tcMar>
          </w:tcPr>
          <w:p>
            <w:pPr>
              <w:jc w:val="center"/>
            </w:pPr>
            <w:r>
              <w:rPr>
                <w:rFonts w:ascii="Calibri" w:hAnsi="Calibri"/>
                <w:color w:val="282828"/>
                <w:sz w:val="18"/>
              </w:rPr>
              <w:t>Cluster 2: Firmware Updates &amp; TAC Escalations</w:t>
            </w:r>
          </w:p>
        </w:tc>
        <w:tc>
          <w:tcPr>
            <w:tcW w:type="dxa" w:w="1008"/>
            <w:shd w:val="clear" w:color="auto" w:fill="FFFFFF"/>
            <w:tcMar>
              <w:top w:w="80" w:type="dxa"/>
              <w:bottom w:w="80" w:type="dxa"/>
              <w:left w:w="100" w:type="dxa"/>
              <w:right w:w="100" w:type="dxa"/>
            </w:tcMar>
          </w:tcPr>
          <w:p>
            <w:pPr>
              <w:jc w:val="left"/>
            </w:pPr>
            <w:r>
              <w:rPr>
                <w:rFonts w:ascii="Calibri" w:hAnsi="Calibri"/>
                <w:color w:val="282828"/>
                <w:sz w:val="18"/>
              </w:rPr>
              <w:t>371</w:t>
            </w:r>
          </w:p>
        </w:tc>
        <w:tc>
          <w:tcPr>
            <w:tcW w:type="dxa" w:w="2880"/>
            <w:shd w:val="clear" w:color="auto" w:fill="FFFFFF"/>
            <w:tcMar>
              <w:top w:w="80" w:type="dxa"/>
              <w:bottom w:w="80" w:type="dxa"/>
              <w:left w:w="100" w:type="dxa"/>
              <w:right w:w="100" w:type="dxa"/>
            </w:tcMar>
          </w:tcPr>
          <w:p>
            <w:pPr>
              <w:jc w:val="left"/>
            </w:pPr>
            <w:r>
              <w:rPr>
                <w:rFonts w:ascii="Calibri" w:hAnsi="Calibri"/>
                <w:color w:val="282828"/>
                <w:sz w:val="18"/>
              </w:rPr>
              <w:t>tac, update, usb, vehicle, replaced, states, case, sps</w:t>
            </w:r>
          </w:p>
        </w:tc>
        <w:tc>
          <w:tcPr>
            <w:tcW w:type="dxa" w:w="3744"/>
            <w:shd w:val="clear" w:color="auto" w:fill="FFFFFF"/>
            <w:tcMar>
              <w:top w:w="80" w:type="dxa"/>
              <w:bottom w:w="80" w:type="dxa"/>
              <w:left w:w="100" w:type="dxa"/>
              <w:right w:w="100" w:type="dxa"/>
            </w:tcMar>
          </w:tcPr>
          <w:p>
            <w:pPr>
              <w:jc w:val="left"/>
            </w:pPr>
            <w:r>
              <w:rPr>
                <w:rFonts w:ascii="Calibri" w:hAnsi="Calibri"/>
                <w:color w:val="282828"/>
                <w:sz w:val="18"/>
              </w:rPr>
              <w:t>Over-the-air and USB updates failing midway, resulting in an 'Update Failed - Return to Dealer' message and heavy TAC hotline assistance.</w:t>
            </w:r>
          </w:p>
        </w:tc>
      </w:tr>
      <w:tr>
        <w:tc>
          <w:tcPr>
            <w:tcW w:type="dxa" w:w="2448"/>
            <w:shd w:val="clear" w:color="auto" w:fill="F8F9F9"/>
            <w:tcMar>
              <w:top w:w="80" w:type="dxa"/>
              <w:bottom w:w="80" w:type="dxa"/>
              <w:left w:w="100" w:type="dxa"/>
              <w:right w:w="100" w:type="dxa"/>
            </w:tcMar>
          </w:tcPr>
          <w:p>
            <w:pPr>
              <w:jc w:val="center"/>
            </w:pPr>
            <w:r>
              <w:rPr>
                <w:rFonts w:ascii="Calibri" w:hAnsi="Calibri"/>
                <w:color w:val="282828"/>
                <w:sz w:val="18"/>
              </w:rPr>
              <w:t>Cluster 3: SiriusXM Signal Loss &amp; Audio Mute</w:t>
            </w:r>
          </w:p>
        </w:tc>
        <w:tc>
          <w:tcPr>
            <w:tcW w:type="dxa" w:w="1008"/>
            <w:shd w:val="clear" w:color="auto" w:fill="F8F9F9"/>
            <w:tcMar>
              <w:top w:w="80" w:type="dxa"/>
              <w:bottom w:w="80" w:type="dxa"/>
              <w:left w:w="100" w:type="dxa"/>
              <w:right w:w="100" w:type="dxa"/>
            </w:tcMar>
          </w:tcPr>
          <w:p>
            <w:pPr>
              <w:jc w:val="left"/>
            </w:pPr>
            <w:r>
              <w:rPr>
                <w:rFonts w:ascii="Calibri" w:hAnsi="Calibri"/>
                <w:color w:val="282828"/>
                <w:sz w:val="18"/>
              </w:rPr>
              <w:t>160</w:t>
            </w:r>
          </w:p>
        </w:tc>
        <w:tc>
          <w:tcPr>
            <w:tcW w:type="dxa" w:w="2880"/>
            <w:shd w:val="clear" w:color="auto" w:fill="F8F9F9"/>
            <w:tcMar>
              <w:top w:w="80" w:type="dxa"/>
              <w:bottom w:w="80" w:type="dxa"/>
              <w:left w:w="100" w:type="dxa"/>
              <w:right w:w="100" w:type="dxa"/>
            </w:tcMar>
          </w:tcPr>
          <w:p>
            <w:pPr>
              <w:jc w:val="left"/>
            </w:pPr>
            <w:r>
              <w:rPr>
                <w:rFonts w:ascii="Calibri" w:hAnsi="Calibri"/>
                <w:color w:val="282828"/>
                <w:sz w:val="18"/>
              </w:rPr>
              <w:t>xm, xm radio, signal, antenna, audio, mute, loading</w:t>
            </w:r>
          </w:p>
        </w:tc>
        <w:tc>
          <w:tcPr>
            <w:tcW w:type="dxa" w:w="3744"/>
            <w:shd w:val="clear" w:color="auto" w:fill="F8F9F9"/>
            <w:tcMar>
              <w:top w:w="80" w:type="dxa"/>
              <w:bottom w:w="80" w:type="dxa"/>
              <w:left w:w="100" w:type="dxa"/>
              <w:right w:w="100" w:type="dxa"/>
            </w:tcMar>
          </w:tcPr>
          <w:p>
            <w:pPr>
              <w:jc w:val="left"/>
            </w:pPr>
            <w:r>
              <w:rPr>
                <w:rFonts w:ascii="Calibri" w:hAnsi="Calibri"/>
                <w:color w:val="282828"/>
                <w:sz w:val="18"/>
              </w:rPr>
              <w:t>SiriusXM tuner logic locks up upon vehicle start; audio plays for 5-10 seconds and mutes until the driver manually toggles stations.</w:t>
            </w:r>
          </w:p>
        </w:tc>
      </w:tr>
      <w:tr>
        <w:tc>
          <w:tcPr>
            <w:tcW w:type="dxa" w:w="2448"/>
            <w:shd w:val="clear" w:color="auto" w:fill="FFFFFF"/>
            <w:tcMar>
              <w:top w:w="80" w:type="dxa"/>
              <w:bottom w:w="80" w:type="dxa"/>
              <w:left w:w="100" w:type="dxa"/>
              <w:right w:w="100" w:type="dxa"/>
            </w:tcMar>
          </w:tcPr>
          <w:p>
            <w:pPr>
              <w:jc w:val="center"/>
            </w:pPr>
            <w:r>
              <w:rPr>
                <w:rFonts w:ascii="Calibri" w:hAnsi="Calibri"/>
                <w:color w:val="282828"/>
                <w:sz w:val="18"/>
              </w:rPr>
              <w:t>Cluster 4: Navigation SD Card Hub Errors</w:t>
            </w:r>
          </w:p>
        </w:tc>
        <w:tc>
          <w:tcPr>
            <w:tcW w:type="dxa" w:w="1008"/>
            <w:shd w:val="clear" w:color="auto" w:fill="FFFFFF"/>
            <w:tcMar>
              <w:top w:w="80" w:type="dxa"/>
              <w:bottom w:w="80" w:type="dxa"/>
              <w:left w:w="100" w:type="dxa"/>
              <w:right w:w="100" w:type="dxa"/>
            </w:tcMar>
          </w:tcPr>
          <w:p>
            <w:pPr>
              <w:jc w:val="left"/>
            </w:pPr>
            <w:r>
              <w:rPr>
                <w:rFonts w:ascii="Calibri" w:hAnsi="Calibri"/>
                <w:color w:val="282828"/>
                <w:sz w:val="18"/>
              </w:rPr>
              <w:t>47</w:t>
            </w:r>
          </w:p>
        </w:tc>
        <w:tc>
          <w:tcPr>
            <w:tcW w:type="dxa" w:w="2880"/>
            <w:shd w:val="clear" w:color="auto" w:fill="FFFFFF"/>
            <w:tcMar>
              <w:top w:w="80" w:type="dxa"/>
              <w:bottom w:w="80" w:type="dxa"/>
              <w:left w:w="100" w:type="dxa"/>
              <w:right w:w="100" w:type="dxa"/>
            </w:tcMar>
          </w:tcPr>
          <w:p>
            <w:pPr>
              <w:jc w:val="left"/>
            </w:pPr>
            <w:r>
              <w:rPr>
                <w:rFonts w:ascii="Calibri" w:hAnsi="Calibri"/>
                <w:color w:val="282828"/>
                <w:sz w:val="18"/>
              </w:rPr>
              <w:t>card, sd, sd card, navigation, error code, nav, map</w:t>
            </w:r>
          </w:p>
        </w:tc>
        <w:tc>
          <w:tcPr>
            <w:tcW w:type="dxa" w:w="3744"/>
            <w:shd w:val="clear" w:color="auto" w:fill="FFFFFF"/>
            <w:tcMar>
              <w:top w:w="80" w:type="dxa"/>
              <w:bottom w:w="80" w:type="dxa"/>
              <w:left w:w="100" w:type="dxa"/>
              <w:right w:w="100" w:type="dxa"/>
            </w:tcMar>
          </w:tcPr>
          <w:p>
            <w:pPr>
              <w:jc w:val="left"/>
            </w:pPr>
            <w:r>
              <w:rPr>
                <w:rFonts w:ascii="Calibri" w:hAnsi="Calibri"/>
                <w:color w:val="282828"/>
                <w:sz w:val="18"/>
              </w:rPr>
              <w:t>Console USB/SD hub receptacle grounding faults causing intermittent 'SD Card Removed' error code 02.000.00.</w:t>
            </w:r>
          </w:p>
        </w:tc>
      </w:tr>
    </w:tbl>
    <w:p>
      <w:pPr>
        <w:spacing w:after="160"/>
      </w:pPr>
    </w:p>
    <w:p>
      <w:pPr>
        <w:pStyle w:val="Heading1"/>
        <w:spacing w:before="280" w:after="80"/>
      </w:pPr>
      <w:r>
        <w:rPr>
          <w:rFonts w:ascii="Calibri" w:hAnsi="Calibri"/>
          <w:b/>
          <w:color w:val="1A5276"/>
          <w:sz w:val="32"/>
        </w:rPr>
        <w:t>5. Actionable Points &amp; Business Impact</w:t>
      </w:r>
    </w:p>
    <w:tbl>
      <w:tblPr>
        <w:tblW w:type="auto" w:w="0"/>
        <w:jc w:val="center"/>
        <w:tblLook w:firstColumn="1" w:firstRow="1" w:lastColumn="0" w:lastRow="0" w:noHBand="0" w:noVBand="1" w:val="04A0"/>
      </w:tblPr>
      <w:tblGrid>
        <w:gridCol w:w="2484"/>
        <w:gridCol w:w="2484"/>
        <w:gridCol w:w="2484"/>
        <w:gridCol w:w="2484"/>
      </w:tblGrid>
      <w:tr>
        <w:tc>
          <w:tcPr>
            <w:tcW w:type="dxa" w:w="2160"/>
            <w:shd w:val="clear" w:color="auto" w:fill="1A5276"/>
            <w:tcMar>
              <w:top w:w="100" w:type="dxa"/>
              <w:bottom w:w="100" w:type="dxa"/>
              <w:left w:w="120" w:type="dxa"/>
              <w:right w:w="120" w:type="dxa"/>
            </w:tcMar>
          </w:tcPr>
          <w:p>
            <w:pPr>
              <w:jc w:val="center"/>
            </w:pPr>
            <w:r>
              <w:rPr>
                <w:rFonts w:ascii="Calibri" w:hAnsi="Calibri"/>
                <w:b/>
                <w:color w:val="FFFFFF"/>
                <w:sz w:val="19"/>
              </w:rPr>
              <w:t>Opportunity Area</w:t>
            </w:r>
          </w:p>
        </w:tc>
        <w:tc>
          <w:tcPr>
            <w:tcW w:type="dxa" w:w="2592"/>
            <w:shd w:val="clear" w:color="auto" w:fill="1A5276"/>
            <w:tcMar>
              <w:top w:w="100" w:type="dxa"/>
              <w:bottom w:w="100" w:type="dxa"/>
              <w:left w:w="120" w:type="dxa"/>
              <w:right w:w="120" w:type="dxa"/>
            </w:tcMar>
          </w:tcPr>
          <w:p>
            <w:pPr>
              <w:jc w:val="center"/>
            </w:pPr>
            <w:r>
              <w:rPr>
                <w:rFonts w:ascii="Calibri" w:hAnsi="Calibri"/>
                <w:b/>
                <w:color w:val="FFFFFF"/>
                <w:sz w:val="19"/>
              </w:rPr>
              <w:t>Identified Problem</w:t>
            </w:r>
          </w:p>
        </w:tc>
        <w:tc>
          <w:tcPr>
            <w:tcW w:type="dxa" w:w="3024"/>
            <w:shd w:val="clear" w:color="auto" w:fill="1A5276"/>
            <w:tcMar>
              <w:top w:w="100" w:type="dxa"/>
              <w:bottom w:w="100" w:type="dxa"/>
              <w:left w:w="120" w:type="dxa"/>
              <w:right w:w="120" w:type="dxa"/>
            </w:tcMar>
          </w:tcPr>
          <w:p>
            <w:pPr>
              <w:jc w:val="center"/>
            </w:pPr>
            <w:r>
              <w:rPr>
                <w:rFonts w:ascii="Calibri" w:hAnsi="Calibri"/>
                <w:b/>
                <w:color w:val="FFFFFF"/>
                <w:sz w:val="19"/>
              </w:rPr>
              <w:t>Proposed Solution</w:t>
            </w:r>
          </w:p>
        </w:tc>
        <w:tc>
          <w:tcPr>
            <w:tcW w:type="dxa" w:w="2304"/>
            <w:shd w:val="clear" w:color="auto" w:fill="1A5276"/>
            <w:tcMar>
              <w:top w:w="100" w:type="dxa"/>
              <w:bottom w:w="100" w:type="dxa"/>
              <w:left w:w="120" w:type="dxa"/>
              <w:right w:w="120" w:type="dxa"/>
            </w:tcMar>
          </w:tcPr>
          <w:p>
            <w:pPr>
              <w:jc w:val="center"/>
            </w:pPr>
            <w:r>
              <w:rPr>
                <w:rFonts w:ascii="Calibri" w:hAnsi="Calibri"/>
                <w:b/>
                <w:color w:val="FFFFFF"/>
                <w:sz w:val="19"/>
              </w:rPr>
              <w:t>Business &amp; Warranty Impact</w:t>
            </w:r>
          </w:p>
        </w:tc>
      </w:tr>
      <w:tr>
        <w:tc>
          <w:tcPr>
            <w:tcW w:type="dxa" w:w="2160"/>
            <w:shd w:val="clear" w:color="auto" w:fill="FFFFFF"/>
            <w:tcMar>
              <w:top w:w="80" w:type="dxa"/>
              <w:bottom w:w="80" w:type="dxa"/>
              <w:left w:w="100" w:type="dxa"/>
              <w:right w:w="100" w:type="dxa"/>
            </w:tcMar>
          </w:tcPr>
          <w:p>
            <w:pPr>
              <w:jc w:val="center"/>
            </w:pPr>
            <w:r>
              <w:rPr>
                <w:rFonts w:ascii="Calibri" w:hAnsi="Calibri"/>
                <w:color w:val="282828"/>
                <w:sz w:val="18"/>
              </w:rPr>
              <w:t>Reduce Unnecessary Radio Swaps</w:t>
            </w:r>
          </w:p>
        </w:tc>
        <w:tc>
          <w:tcPr>
            <w:tcW w:type="dxa" w:w="2592"/>
            <w:shd w:val="clear" w:color="auto" w:fill="FFFFFF"/>
            <w:tcMar>
              <w:top w:w="80" w:type="dxa"/>
              <w:bottom w:w="80" w:type="dxa"/>
              <w:left w:w="100" w:type="dxa"/>
              <w:right w:w="100" w:type="dxa"/>
            </w:tcMar>
          </w:tcPr>
          <w:p>
            <w:pPr>
              <w:jc w:val="left"/>
            </w:pPr>
            <w:r>
              <w:rPr>
                <w:rFonts w:ascii="Calibri" w:hAnsi="Calibri"/>
                <w:color w:val="282828"/>
                <w:sz w:val="18"/>
              </w:rPr>
              <w:t>18% of claims involved replacing an $850 radio module when the actual root cause was a loose coax cable or ground.</w:t>
            </w:r>
          </w:p>
        </w:tc>
        <w:tc>
          <w:tcPr>
            <w:tcW w:type="dxa" w:w="3024"/>
            <w:shd w:val="clear" w:color="auto" w:fill="FFFFFF"/>
            <w:tcMar>
              <w:top w:w="80" w:type="dxa"/>
              <w:bottom w:w="80" w:type="dxa"/>
              <w:left w:w="100" w:type="dxa"/>
              <w:right w:w="100" w:type="dxa"/>
            </w:tcMar>
          </w:tcPr>
          <w:p>
            <w:pPr>
              <w:jc w:val="left"/>
            </w:pPr>
            <w:r>
              <w:rPr>
                <w:rFonts w:ascii="Calibri" w:hAnsi="Calibri"/>
                <w:color w:val="282828"/>
                <w:sz w:val="18"/>
              </w:rPr>
              <w:t>Require a standard coax resistance check (using test tool EL-49642) before approving radio replacement.</w:t>
            </w:r>
          </w:p>
        </w:tc>
        <w:tc>
          <w:tcPr>
            <w:tcW w:type="dxa" w:w="2304"/>
            <w:shd w:val="clear" w:color="auto" w:fill="FFFFFF"/>
            <w:tcMar>
              <w:top w:w="80" w:type="dxa"/>
              <w:bottom w:w="80" w:type="dxa"/>
              <w:left w:w="100" w:type="dxa"/>
              <w:right w:w="100" w:type="dxa"/>
            </w:tcMar>
          </w:tcPr>
          <w:p>
            <w:pPr>
              <w:jc w:val="left"/>
            </w:pPr>
            <w:r>
              <w:rPr>
                <w:rFonts w:ascii="Calibri" w:hAnsi="Calibri"/>
                <w:color w:val="282828"/>
                <w:sz w:val="18"/>
              </w:rPr>
              <w:t>Saves an estimated $600K-$1.2M annually across dealer networks by avoiding unnecessary hardware replacements.</w:t>
            </w:r>
          </w:p>
        </w:tc>
      </w:tr>
      <w:tr>
        <w:tc>
          <w:tcPr>
            <w:tcW w:type="dxa" w:w="2160"/>
            <w:shd w:val="clear" w:color="auto" w:fill="F8F9F9"/>
            <w:tcMar>
              <w:top w:w="80" w:type="dxa"/>
              <w:bottom w:w="80" w:type="dxa"/>
              <w:left w:w="100" w:type="dxa"/>
              <w:right w:w="100" w:type="dxa"/>
            </w:tcMar>
          </w:tcPr>
          <w:p>
            <w:pPr>
              <w:jc w:val="center"/>
            </w:pPr>
            <w:r>
              <w:rPr>
                <w:rFonts w:ascii="Calibri" w:hAnsi="Calibri"/>
                <w:color w:val="282828"/>
                <w:sz w:val="18"/>
              </w:rPr>
              <w:t>Cut Diagnostic Labor Hours (OLH)</w:t>
            </w:r>
          </w:p>
        </w:tc>
        <w:tc>
          <w:tcPr>
            <w:tcW w:type="dxa" w:w="2592"/>
            <w:shd w:val="clear" w:color="auto" w:fill="F8F9F9"/>
            <w:tcMar>
              <w:top w:w="80" w:type="dxa"/>
              <w:bottom w:w="80" w:type="dxa"/>
              <w:left w:w="100" w:type="dxa"/>
              <w:right w:w="100" w:type="dxa"/>
            </w:tcMar>
          </w:tcPr>
          <w:p>
            <w:pPr>
              <w:jc w:val="left"/>
            </w:pPr>
            <w:r>
              <w:rPr>
                <w:rFonts w:ascii="Calibri" w:hAnsi="Calibri"/>
                <w:color w:val="282828"/>
                <w:sz w:val="18"/>
              </w:rPr>
              <w:t>Technicians averaged 1.5 to 2.0 extra labor hours waiting on phone lines with TAC for update errors.</w:t>
            </w:r>
          </w:p>
        </w:tc>
        <w:tc>
          <w:tcPr>
            <w:tcW w:type="dxa" w:w="3024"/>
            <w:shd w:val="clear" w:color="auto" w:fill="F8F9F9"/>
            <w:tcMar>
              <w:top w:w="80" w:type="dxa"/>
              <w:bottom w:w="80" w:type="dxa"/>
              <w:left w:w="100" w:type="dxa"/>
              <w:right w:w="100" w:type="dxa"/>
            </w:tcMar>
          </w:tcPr>
          <w:p>
            <w:pPr>
              <w:jc w:val="left"/>
            </w:pPr>
            <w:r>
              <w:rPr>
                <w:rFonts w:ascii="Calibri" w:hAnsi="Calibri"/>
                <w:color w:val="282828"/>
                <w:sz w:val="18"/>
              </w:rPr>
              <w:t>Provide a dedicated USB recovery flash tool and clear TSB flowchart to resolve failed downloads locally.</w:t>
            </w:r>
          </w:p>
        </w:tc>
        <w:tc>
          <w:tcPr>
            <w:tcW w:type="dxa" w:w="2304"/>
            <w:shd w:val="clear" w:color="auto" w:fill="F8F9F9"/>
            <w:tcMar>
              <w:top w:w="80" w:type="dxa"/>
              <w:bottom w:w="80" w:type="dxa"/>
              <w:left w:w="100" w:type="dxa"/>
              <w:right w:w="100" w:type="dxa"/>
            </w:tcMar>
          </w:tcPr>
          <w:p>
            <w:pPr>
              <w:jc w:val="left"/>
            </w:pPr>
            <w:r>
              <w:rPr>
                <w:rFonts w:ascii="Calibri" w:hAnsi="Calibri"/>
                <w:color w:val="282828"/>
                <w:sz w:val="18"/>
              </w:rPr>
              <w:t>Reduces dealership labor allowances by ~$50-$70 per claim and shortens vehicle turnaround time.</w:t>
            </w:r>
          </w:p>
        </w:tc>
      </w:tr>
      <w:tr>
        <w:tc>
          <w:tcPr>
            <w:tcW w:type="dxa" w:w="2160"/>
            <w:shd w:val="clear" w:color="auto" w:fill="FFFFFF"/>
            <w:tcMar>
              <w:top w:w="80" w:type="dxa"/>
              <w:bottom w:w="80" w:type="dxa"/>
              <w:left w:w="100" w:type="dxa"/>
              <w:right w:w="100" w:type="dxa"/>
            </w:tcMar>
          </w:tcPr>
          <w:p>
            <w:pPr>
              <w:jc w:val="center"/>
            </w:pPr>
            <w:r>
              <w:rPr>
                <w:rFonts w:ascii="Calibri" w:hAnsi="Calibri"/>
                <w:color w:val="282828"/>
                <w:sz w:val="18"/>
              </w:rPr>
              <w:t>Improve Over-The-Air Update Reliability</w:t>
            </w:r>
          </w:p>
        </w:tc>
        <w:tc>
          <w:tcPr>
            <w:tcW w:type="dxa" w:w="2592"/>
            <w:shd w:val="clear" w:color="auto" w:fill="FFFFFF"/>
            <w:tcMar>
              <w:top w:w="80" w:type="dxa"/>
              <w:bottom w:w="80" w:type="dxa"/>
              <w:left w:w="100" w:type="dxa"/>
              <w:right w:w="100" w:type="dxa"/>
            </w:tcMar>
          </w:tcPr>
          <w:p>
            <w:pPr>
              <w:jc w:val="left"/>
            </w:pPr>
            <w:r>
              <w:rPr>
                <w:rFonts w:ascii="Calibri" w:hAnsi="Calibri"/>
                <w:color w:val="282828"/>
                <w:sz w:val="18"/>
              </w:rPr>
              <w:t>Failed OTA updates bricked infotainment units, requiring dealer visits and customer loaner cars.</w:t>
            </w:r>
          </w:p>
        </w:tc>
        <w:tc>
          <w:tcPr>
            <w:tcW w:type="dxa" w:w="3024"/>
            <w:shd w:val="clear" w:color="auto" w:fill="FFFFFF"/>
            <w:tcMar>
              <w:top w:w="80" w:type="dxa"/>
              <w:bottom w:w="80" w:type="dxa"/>
              <w:left w:w="100" w:type="dxa"/>
              <w:right w:w="100" w:type="dxa"/>
            </w:tcMar>
          </w:tcPr>
          <w:p>
            <w:pPr>
              <w:jc w:val="left"/>
            </w:pPr>
            <w:r>
              <w:rPr>
                <w:rFonts w:ascii="Calibri" w:hAnsi="Calibri"/>
                <w:color w:val="282828"/>
                <w:sz w:val="18"/>
              </w:rPr>
              <w:t>Implement dual-partition (A/B) firmware bootloaders with minimum battery state-of-charge checks before update.</w:t>
            </w:r>
          </w:p>
        </w:tc>
        <w:tc>
          <w:tcPr>
            <w:tcW w:type="dxa" w:w="2304"/>
            <w:shd w:val="clear" w:color="auto" w:fill="FFFFFF"/>
            <w:tcMar>
              <w:top w:w="80" w:type="dxa"/>
              <w:bottom w:w="80" w:type="dxa"/>
              <w:left w:w="100" w:type="dxa"/>
              <w:right w:w="100" w:type="dxa"/>
            </w:tcMar>
          </w:tcPr>
          <w:p>
            <w:pPr>
              <w:jc w:val="left"/>
            </w:pPr>
            <w:r>
              <w:rPr>
                <w:rFonts w:ascii="Calibri" w:hAnsi="Calibri"/>
                <w:color w:val="282828"/>
                <w:sz w:val="18"/>
              </w:rPr>
              <w:t>Eliminates customer-facing update failures and protects JD Power Initial Quality Study scores.</w:t>
            </w:r>
          </w:p>
        </w:tc>
      </w:tr>
      <w:tr>
        <w:tc>
          <w:tcPr>
            <w:tcW w:type="dxa" w:w="2160"/>
            <w:shd w:val="clear" w:color="auto" w:fill="F8F9F9"/>
            <w:tcMar>
              <w:top w:w="80" w:type="dxa"/>
              <w:bottom w:w="80" w:type="dxa"/>
              <w:left w:w="100" w:type="dxa"/>
              <w:right w:w="100" w:type="dxa"/>
            </w:tcMar>
          </w:tcPr>
          <w:p>
            <w:pPr>
              <w:jc w:val="center"/>
            </w:pPr>
            <w:r>
              <w:rPr>
                <w:rFonts w:ascii="Calibri" w:hAnsi="Calibri"/>
                <w:color w:val="282828"/>
                <w:sz w:val="18"/>
              </w:rPr>
              <w:t>Assembly Plant Inspection at Flint &amp; Fort Wayne</w:t>
            </w:r>
          </w:p>
        </w:tc>
        <w:tc>
          <w:tcPr>
            <w:tcW w:type="dxa" w:w="2592"/>
            <w:shd w:val="clear" w:color="auto" w:fill="F8F9F9"/>
            <w:tcMar>
              <w:top w:w="80" w:type="dxa"/>
              <w:bottom w:w="80" w:type="dxa"/>
              <w:left w:w="100" w:type="dxa"/>
              <w:right w:w="100" w:type="dxa"/>
            </w:tcMar>
          </w:tcPr>
          <w:p>
            <w:pPr>
              <w:jc w:val="left"/>
            </w:pPr>
            <w:r>
              <w:rPr>
                <w:rFonts w:ascii="Calibri" w:hAnsi="Calibri"/>
                <w:color w:val="282828"/>
                <w:sz w:val="18"/>
              </w:rPr>
              <w:t>Flint and Fort Wayne accounted for over 51% of claims, with high rates of loose header pins and bent connectors.</w:t>
            </w:r>
          </w:p>
        </w:tc>
        <w:tc>
          <w:tcPr>
            <w:tcW w:type="dxa" w:w="3024"/>
            <w:shd w:val="clear" w:color="auto" w:fill="F8F9F9"/>
            <w:tcMar>
              <w:top w:w="80" w:type="dxa"/>
              <w:bottom w:w="80" w:type="dxa"/>
              <w:left w:w="100" w:type="dxa"/>
              <w:right w:w="100" w:type="dxa"/>
            </w:tcMar>
          </w:tcPr>
          <w:p>
            <w:pPr>
              <w:jc w:val="left"/>
            </w:pPr>
            <w:r>
              <w:rPr>
                <w:rFonts w:ascii="Calibri" w:hAnsi="Calibri"/>
                <w:color w:val="282828"/>
                <w:sz w:val="18"/>
              </w:rPr>
              <w:t>Add inspection checks for FAKRA video connector locking tabs during instrument panel assembly.</w:t>
            </w:r>
          </w:p>
        </w:tc>
        <w:tc>
          <w:tcPr>
            <w:tcW w:type="dxa" w:w="2304"/>
            <w:shd w:val="clear" w:color="auto" w:fill="F8F9F9"/>
            <w:tcMar>
              <w:top w:w="80" w:type="dxa"/>
              <w:bottom w:w="80" w:type="dxa"/>
              <w:left w:w="100" w:type="dxa"/>
              <w:right w:w="100" w:type="dxa"/>
            </w:tcMar>
          </w:tcPr>
          <w:p>
            <w:pPr>
              <w:jc w:val="left"/>
            </w:pPr>
            <w:r>
              <w:rPr>
                <w:rFonts w:ascii="Calibri" w:hAnsi="Calibri"/>
                <w:color w:val="282828"/>
                <w:sz w:val="18"/>
              </w:rPr>
              <w:t>Prevents early-life intermittent camera failures in high-volume truck models.</w:t>
            </w:r>
          </w:p>
        </w:tc>
      </w:tr>
    </w:tbl>
    <w:p>
      <w:pPr>
        <w:spacing w:after="160"/>
      </w:pPr>
    </w:p>
    <w:p>
      <w:pPr>
        <w:pStyle w:val="Heading1"/>
        <w:spacing w:before="280" w:after="80"/>
      </w:pPr>
      <w:r>
        <w:rPr>
          <w:rFonts w:ascii="Calibri" w:hAnsi="Calibri"/>
          <w:b/>
          <w:color w:val="1A5276"/>
          <w:sz w:val="32"/>
        </w:rPr>
        <w:t>6. Key Learnings &amp; Future Technical Improvements</w:t>
      </w:r>
    </w:p>
    <w:p>
      <w:pPr>
        <w:pStyle w:val="ListBullet"/>
      </w:pPr>
      <w:r>
        <w:t>• Entity Mining Unlocks Hidden Details: Standard warranty causal codes often categorize issues broadly as 'Communication Failure'. Text mining technician notes showed that over 14% of these were actually physical connection defects (loose coax cables, pinched harness pins, or bad grounding), enabling more targeted fixes.</w:t>
      </w:r>
    </w:p>
    <w:p>
      <w:pPr>
        <w:pStyle w:val="ListBullet"/>
      </w:pPr>
      <w:r>
        <w:t>• In-Dealership Diagnostic Assistants: Fine-tuning a lightweight domain model on past repair orders could guide technicians through step-by-step pin testing before they order expensive replacement modules.</w:t>
      </w:r>
    </w:p>
    <w:p>
      <w:pPr>
        <w:pStyle w:val="ListBullet"/>
      </w:pPr>
      <w:r>
        <w:t>• Proactive Telematics Monitoring: Vehicle telematics could detect repeated bus error retries or failed update downloads and automatically trigger a clean reboot or notify service before a customer experiences a black screen.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