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59" w:lineRule="auto"/>
        <w:jc w:val="center"/>
      </w:pPr>
      <w:r>
        <w:rPr>
          <w:b/>
          <w:sz w:val="28"/>
        </w:rPr>
        <w:br/>
        <w:br/>
        <w:t>PROJECT REPORT</w:t>
      </w:r>
    </w:p>
    <w:p>
      <w:pPr>
        <w:spacing w:after="120" w:line="259" w:lineRule="auto"/>
        <w:jc w:val="center"/>
      </w:pPr>
      <w:r>
        <w:rPr>
          <w:b/>
          <w:sz w:val="48"/>
        </w:rPr>
        <w:t>Diabetic Patient Readmission Prediction</w:t>
      </w:r>
    </w:p>
    <w:p>
      <w:pPr>
        <w:spacing w:after="120" w:line="259" w:lineRule="auto"/>
        <w:jc w:val="center"/>
      </w:pPr>
      <w:r>
        <w:rPr>
          <w:i/>
          <w:sz w:val="26"/>
        </w:rPr>
        <w:t>Machine Learning-Based Multi-Class Classification</w:t>
      </w:r>
    </w:p>
    <w:p>
      <w:pPr>
        <w:spacing w:after="120" w:line="259" w:lineRule="auto"/>
      </w:pPr>
      <w:r>
        <w:br/>
      </w:r>
    </w:p>
    <w:p>
      <w:pPr>
        <w:spacing w:after="120" w:line="259" w:lineRule="auto"/>
        <w:jc w:val="center"/>
      </w:pPr>
      <w:r>
        <w:rPr>
          <w:b/>
        </w:rPr>
        <w:t xml:space="preserve">Student: </w:t>
      </w:r>
      <w:r>
        <w:t>Nandana M</w:t>
      </w:r>
    </w:p>
    <w:p>
      <w:pPr>
        <w:spacing w:after="120" w:line="259" w:lineRule="auto"/>
        <w:jc w:val="center"/>
      </w:pPr>
      <w:r>
        <w:rPr>
          <w:b/>
        </w:rPr>
        <w:t xml:space="preserve">Programme: </w:t>
      </w:r>
      <w:r>
        <w:t>B.Sc. (Hons) Data Science &amp; Analytics</w:t>
      </w:r>
    </w:p>
    <w:p>
      <w:pPr>
        <w:spacing w:after="120" w:line="259" w:lineRule="auto"/>
        <w:jc w:val="center"/>
      </w:pPr>
      <w:r>
        <w:rPr>
          <w:b/>
        </w:rPr>
        <w:t xml:space="preserve">Project Type: </w:t>
      </w:r>
      <w:r>
        <w:t>Data Analytics / Machine Learning Project</w:t>
      </w:r>
    </w:p>
    <w:p>
      <w:pPr>
        <w:spacing w:after="120" w:line="259" w:lineRule="auto"/>
      </w:pPr>
      <w:r>
        <w:br w:type="page"/>
      </w:r>
    </w:p>
    <w:p>
      <w:pPr>
        <w:pStyle w:val="Heading1"/>
      </w:pPr>
      <w:r>
        <w:t>1. Introduction</w:t>
      </w:r>
    </w:p>
    <w:p>
      <w:pPr>
        <w:spacing w:after="120" w:line="259" w:lineRule="auto"/>
      </w:pPr>
      <w:r>
        <w:t>Hospital readmission is an important healthcare challenge because repeated admissions can affect patient outcomes and healthcare resource utilization. This project analyzes diabetic patient and hospital encounter data and applies machine learning techniques to classify patients according to their readmission status.</w:t>
      </w:r>
    </w:p>
    <w:p>
      <w:pPr>
        <w:spacing w:after="120" w:line="259" w:lineRule="auto"/>
      </w:pPr>
      <w:r>
        <w:t>The objective of the study is to classify whether a diabetic patient is readmitted within 30 days (&lt;30), readmitted after 30 days (&gt;30), or not readmitted (NO). The project includes exploratory data analysis, data preprocessing, feature engineering, categorical encoding, class-imbalance handling, and comparison of multiple classification models.</w:t>
      </w:r>
    </w:p>
    <w:p>
      <w:pPr>
        <w:pStyle w:val="Heading1"/>
      </w:pPr>
      <w:r>
        <w:t>2. Dataset Description</w:t>
      </w:r>
    </w:p>
    <w:p>
      <w:pPr>
        <w:spacing w:after="120" w:line="259" w:lineRule="auto"/>
      </w:pPr>
      <w:r>
        <w:t>Dataset: Diabetes Prediction Dataset</w:t>
      </w:r>
    </w:p>
    <w:p>
      <w:pPr>
        <w:spacing w:after="120" w:line="259" w:lineRule="auto"/>
      </w:pPr>
      <w:r>
        <w:rPr>
          <w:b/>
        </w:rPr>
        <w:t xml:space="preserve">Source: </w:t>
      </w:r>
      <w:r>
        <w:t>Kaggle - Diabetes Prediction Dataset</w:t>
      </w:r>
    </w:p>
    <w:p>
      <w:pPr>
        <w:spacing w:after="120" w:line="259" w:lineRule="auto"/>
      </w:pPr>
      <w:r>
        <w:rPr>
          <w:b/>
        </w:rPr>
        <w:t xml:space="preserve">Dataset link: </w:t>
      </w:r>
      <w:r>
        <w:t>https://www.kaggle.com/datasets/nguynnhkhang/diabetes-prediction-dataset</w:t>
      </w:r>
    </w:p>
    <w:p>
      <w:pPr>
        <w:spacing w:after="120" w:line="259" w:lineRule="auto"/>
      </w:pPr>
      <w:r>
        <w:t>The project uses the diabetic_data.csv file. The dataset contains more than 100,000 patient encounters and 50 features covering demographic information, hospital admission details, medical procedures, medications, and diagnostic information.</w:t>
      </w:r>
    </w:p>
    <w:p>
      <w:pPr>
        <w:spacing w:after="120" w:line="259" w:lineRule="auto"/>
      </w:pPr>
      <w:r>
        <w:t>Examples of the available variables include:</w:t>
      </w:r>
    </w:p>
    <w:p>
      <w:pPr>
        <w:pStyle w:val="ListBullet"/>
        <w:spacing w:after="60"/>
      </w:pPr>
      <w:r>
        <w:t>Demographic information such as race, gender, age, and weight.</w:t>
      </w:r>
    </w:p>
    <w:p>
      <w:pPr>
        <w:pStyle w:val="ListBullet"/>
        <w:spacing w:after="60"/>
      </w:pPr>
      <w:r>
        <w:t>Hospital and admission information such as admission type, discharge disposition, and time in hospital.</w:t>
      </w:r>
    </w:p>
    <w:p>
      <w:pPr>
        <w:pStyle w:val="ListBullet"/>
        <w:spacing w:after="60"/>
      </w:pPr>
      <w:r>
        <w:t>Medical activity such as laboratory procedures, procedures, and number of medications.</w:t>
      </w:r>
    </w:p>
    <w:p>
      <w:pPr>
        <w:pStyle w:val="ListBullet"/>
        <w:spacing w:after="60"/>
      </w:pPr>
      <w:r>
        <w:t>Utilization measures such as outpatient, emergency, and inpatient visits.</w:t>
      </w:r>
    </w:p>
    <w:p>
      <w:pPr>
        <w:pStyle w:val="ListBullet"/>
        <w:spacing w:after="60"/>
      </w:pPr>
      <w:r>
        <w:t>Diagnostic information such as primary, secondary, and additional diagnosis fields.</w:t>
      </w:r>
    </w:p>
    <w:p>
      <w:pPr>
        <w:pStyle w:val="ListBullet"/>
        <w:spacing w:after="60"/>
      </w:pPr>
      <w:r>
        <w:t>The target variable readmitted, with three classes: &lt;30, &gt;30, and NO.</w:t>
      </w:r>
    </w:p>
    <w:p>
      <w:pPr>
        <w:pStyle w:val="Heading1"/>
      </w:pPr>
      <w:r>
        <w:t>3. Data Preprocessing</w:t>
      </w:r>
    </w:p>
    <w:p>
      <w:pPr>
        <w:spacing w:after="120" w:line="259" w:lineRule="auto"/>
      </w:pPr>
      <w:r>
        <w:t>The dataset was inspected for missing values and unsuitable fields before model development. The main preprocessing steps were as follows.</w:t>
      </w:r>
    </w:p>
    <w:p>
      <w:pPr>
        <w:pStyle w:val="Heading2"/>
      </w:pPr>
      <w:r>
        <w:t>3.1 Handling Missing Values</w:t>
      </w:r>
    </w:p>
    <w:p>
      <w:pPr>
        <w:spacing w:after="120" w:line="259" w:lineRule="auto"/>
      </w:pPr>
      <w:r>
        <w:t>Missing values represented by '?' were identified and treated. The payer_code column, which contained a very high proportion of missing data, was dropped. Other selected columns with missing values, including race, diag_1, diag_2, diag_3, max_glu_serum, A1Cresult, and weight, were handled using mode imputation.</w:t>
      </w:r>
    </w:p>
    <w:p>
      <w:pPr>
        <w:pStyle w:val="Heading2"/>
      </w:pPr>
      <w:r>
        <w:t>3.2 Feature Engineering</w:t>
      </w:r>
    </w:p>
    <w:p>
      <w:pPr>
        <w:spacing w:after="120" w:line="259" w:lineRule="auto"/>
      </w:pPr>
      <w:r>
        <w:t>A new binary feature, on_any_medication, was created to indicate whether a patient was prescribed any of the listed diabetic medications. This consolidated medication information into a single feature.</w:t>
      </w:r>
    </w:p>
    <w:p>
      <w:pPr>
        <w:pStyle w:val="Heading2"/>
      </w:pPr>
      <w:r>
        <w:t>3.3 Feature Selection</w:t>
      </w:r>
    </w:p>
    <w:p>
      <w:pPr>
        <w:spacing w:after="120" w:line="259" w:lineRule="auto"/>
      </w:pPr>
      <w:r>
        <w:t>The selected input features included race, gender, age, weight, time_in_hospital, num_lab_procedures, num_procedures, num_medications, number_outpatient, number_emergency, number_inpatient, number_diagnoses, change, diabetesMed, and on_any_medication. The target variable readmitted was handled separately as the classification target.</w:t>
      </w:r>
    </w:p>
    <w:p>
      <w:pPr>
        <w:pStyle w:val="Heading2"/>
      </w:pPr>
      <w:r>
        <w:t>3.4 Categorical Encoding</w:t>
      </w:r>
    </w:p>
    <w:p>
      <w:pPr>
        <w:spacing w:after="120" w:line="259" w:lineRule="auto"/>
      </w:pPr>
      <w:r>
        <w:t>Categorical variables were converted into numerical representations using one-hot encoding with pandas get_dummies so that they could be used by the machine learning algorithms.</w:t>
      </w:r>
    </w:p>
    <w:p>
      <w:pPr>
        <w:pStyle w:val="Heading2"/>
      </w:pPr>
      <w:r>
        <w:t>3.5 Train-Test Split</w:t>
      </w:r>
    </w:p>
    <w:p>
      <w:pPr>
        <w:spacing w:after="120" w:line="259" w:lineRule="auto"/>
      </w:pPr>
      <w:r>
        <w:t>The dataset was divided into training and testing sets using an 80:20 split. Stratification was applied using the readmitted target to preserve the class distribution between the two sets.</w:t>
      </w:r>
    </w:p>
    <w:p>
      <w:pPr>
        <w:pStyle w:val="Heading1"/>
      </w:pPr>
      <w:r>
        <w:t>4. Exploratory Data Analysis</w:t>
      </w:r>
    </w:p>
    <w:p>
      <w:pPr>
        <w:spacing w:after="120" w:line="259" w:lineRule="auto"/>
      </w:pPr>
      <w:r>
        <w:t>Exploratory data analysis was conducted to understand the distribution of the data and identify patterns that could be relevant to readmission classification.</w:t>
      </w:r>
    </w:p>
    <w:p>
      <w:pPr>
        <w:pStyle w:val="ListBullet"/>
        <w:spacing w:after="60"/>
      </w:pPr>
      <w:r>
        <w:t>Histograms and box plots were used to examine numerical variables such as time_in_hospital, num_lab_procedures, and num_medications.</w:t>
      </w:r>
    </w:p>
    <w:p>
      <w:pPr>
        <w:pStyle w:val="ListBullet"/>
        <w:spacing w:after="60"/>
      </w:pPr>
      <w:r>
        <w:t>Count plots were used to examine categorical variables including race, gender, age groups, and medication-related variables.</w:t>
      </w:r>
    </w:p>
    <w:p>
      <w:pPr>
        <w:pStyle w:val="ListBullet"/>
        <w:spacing w:after="60"/>
      </w:pPr>
      <w:r>
        <w:t>The age distribution showed greater representation in older age groups, including the 70–80 and 80–90 groups.</w:t>
      </w:r>
    </w:p>
    <w:p>
      <w:pPr>
        <w:pStyle w:val="ListBullet"/>
        <w:spacing w:after="60"/>
      </w:pPr>
      <w:r>
        <w:t>A correlation heatmap was used to examine relationships among numerical variables.</w:t>
      </w:r>
    </w:p>
    <w:p>
      <w:pPr>
        <w:pStyle w:val="ListBullet"/>
        <w:spacing w:after="60"/>
      </w:pPr>
      <w:r>
        <w:t>Moderate positive relationships were observed between variables such as num_lab_procedures and num_medications, and among outpatient, emergency, and inpatient visit counts.</w:t>
      </w:r>
    </w:p>
    <w:p>
      <w:pPr>
        <w:pStyle w:val="Heading1"/>
      </w:pPr>
      <w:r>
        <w:t>5. Methodology and Machine Learning Models</w:t>
      </w:r>
    </w:p>
    <w:p>
      <w:pPr>
        <w:spacing w:after="120" w:line="259" w:lineRule="auto"/>
      </w:pPr>
      <w:r>
        <w:t>Several classification approaches were implemented to compare their performance on the readmission prediction task.</w:t>
      </w:r>
    </w:p>
    <w:p>
      <w:pPr>
        <w:pStyle w:val="Heading2"/>
      </w:pPr>
      <w:r>
        <w:t>5.1 Logistic Regression</w:t>
      </w:r>
    </w:p>
    <w:p>
      <w:pPr>
        <w:spacing w:after="120" w:line="259" w:lineRule="auto"/>
      </w:pPr>
      <w:r>
        <w:t>Logistic Regression was first implemented with class_weight='balanced' to account for class imbalance. Additional experiments used SMOTE to oversample minority classes. Uniform and class-specific threshold tuning were also explored to investigate their effect on classification performance.</w:t>
      </w:r>
    </w:p>
    <w:p>
      <w:pPr>
        <w:pStyle w:val="Heading2"/>
      </w:pPr>
      <w:r>
        <w:t>5.2 Decision Tree</w:t>
      </w:r>
    </w:p>
    <w:p>
      <w:pPr>
        <w:spacing w:after="120" w:line="259" w:lineRule="auto"/>
      </w:pPr>
      <w:r>
        <w:t>A Decision Tree Classifier with class_weight='balanced' was used. Decision trees provide an interpretable classification approach based on sequential feature-based decisions.</w:t>
      </w:r>
    </w:p>
    <w:p>
      <w:pPr>
        <w:pStyle w:val="Heading2"/>
      </w:pPr>
      <w:r>
        <w:t>5.3 Random Forest</w:t>
      </w:r>
    </w:p>
    <w:p>
      <w:pPr>
        <w:spacing w:after="120" w:line="259" w:lineRule="auto"/>
      </w:pPr>
      <w:r>
        <w:t>A Random Forest Classifier with class_weight='balanced' was implemented as an ensemble of decision trees to improve predictive performance and reduce dependence on a single tree.</w:t>
      </w:r>
    </w:p>
    <w:p>
      <w:pPr>
        <w:pStyle w:val="Heading2"/>
      </w:pPr>
      <w:r>
        <w:t>5.4 XGBoost</w:t>
      </w:r>
    </w:p>
    <w:p>
      <w:pPr>
        <w:spacing w:after="120" w:line="259" w:lineRule="auto"/>
      </w:pPr>
      <w:r>
        <w:t>XGBoost was used as a gradient boosting classifier. Column names were cleaned and the target labels were encoded numerically for multi-class classification using the multi:softprob objective.</w:t>
      </w:r>
    </w:p>
    <w:p>
      <w:pPr>
        <w:pStyle w:val="Heading2"/>
      </w:pPr>
      <w:r>
        <w:t>5.5 Support Vector Machines</w:t>
      </w:r>
    </w:p>
    <w:p>
      <w:pPr>
        <w:spacing w:after="120" w:line="259" w:lineRule="auto"/>
      </w:pPr>
      <w:r>
        <w:t>Numerical features were standardized before SVM modelling. A Fast Linear SVM using SGDClassifier with hinge loss and probability calibration was implemented. Polynomial, RBF, and Sigmoid kernel SVMs were also evaluated. The kernel-based models used class balancing and a maximum of 500 iterations; convergence warnings were observed for these models.</w:t>
      </w:r>
    </w:p>
    <w:p>
      <w:pPr>
        <w:pStyle w:val="Heading1"/>
      </w:pPr>
      <w:r>
        <w:t>6. Model Evaluation</w:t>
      </w:r>
    </w:p>
    <w:p>
      <w:pPr>
        <w:spacing w:after="120" w:line="259" w:lineRule="auto"/>
      </w:pPr>
      <w:r>
        <w:t>Models were evaluated using Accuracy, weighted Precision, weighted Recall, weighted F1-score, and weighted Average AUC.</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1632"/>
            <w:vAlign w:val="center"/>
            <w:shd w:fill="D9EAF7"/>
          </w:tcPr>
          <w:p>
            <w:pPr>
              <w:jc w:val="center"/>
            </w:pPr>
            <w:r>
              <w:rPr>
                <w:b/>
                <w:sz w:val="17"/>
              </w:rPr>
              <w:t>Model</w:t>
            </w:r>
          </w:p>
        </w:tc>
        <w:tc>
          <w:tcPr>
            <w:tcW w:type="dxa" w:w="1632"/>
            <w:vAlign w:val="center"/>
            <w:shd w:fill="D9EAF7"/>
          </w:tcPr>
          <w:p>
            <w:pPr>
              <w:jc w:val="center"/>
            </w:pPr>
            <w:r>
              <w:rPr>
                <w:b/>
                <w:sz w:val="17"/>
              </w:rPr>
              <w:t>Accuracy</w:t>
            </w:r>
          </w:p>
        </w:tc>
        <w:tc>
          <w:tcPr>
            <w:tcW w:type="dxa" w:w="1632"/>
            <w:vAlign w:val="center"/>
            <w:shd w:fill="D9EAF7"/>
          </w:tcPr>
          <w:p>
            <w:pPr>
              <w:jc w:val="center"/>
            </w:pPr>
            <w:r>
              <w:rPr>
                <w:b/>
                <w:sz w:val="17"/>
              </w:rPr>
              <w:t>Precision</w:t>
            </w:r>
          </w:p>
        </w:tc>
        <w:tc>
          <w:tcPr>
            <w:tcW w:type="dxa" w:w="1632"/>
            <w:vAlign w:val="center"/>
            <w:shd w:fill="D9EAF7"/>
          </w:tcPr>
          <w:p>
            <w:pPr>
              <w:jc w:val="center"/>
            </w:pPr>
            <w:r>
              <w:rPr>
                <w:b/>
                <w:sz w:val="17"/>
              </w:rPr>
              <w:t>Recall</w:t>
            </w:r>
          </w:p>
        </w:tc>
        <w:tc>
          <w:tcPr>
            <w:tcW w:type="dxa" w:w="1632"/>
            <w:vAlign w:val="center"/>
            <w:shd w:fill="D9EAF7"/>
          </w:tcPr>
          <w:p>
            <w:pPr>
              <w:jc w:val="center"/>
            </w:pPr>
            <w:r>
              <w:rPr>
                <w:b/>
                <w:sz w:val="17"/>
              </w:rPr>
              <w:t>F1</w:t>
            </w:r>
          </w:p>
        </w:tc>
        <w:tc>
          <w:tcPr>
            <w:tcW w:type="dxa" w:w="1632"/>
            <w:vAlign w:val="center"/>
            <w:shd w:fill="D9EAF7"/>
          </w:tcPr>
          <w:p>
            <w:pPr>
              <w:jc w:val="center"/>
            </w:pPr>
            <w:r>
              <w:rPr>
                <w:b/>
                <w:sz w:val="17"/>
              </w:rPr>
              <w:t>AUC</w:t>
            </w:r>
          </w:p>
        </w:tc>
      </w:tr>
      <w:tr>
        <w:tc>
          <w:tcPr>
            <w:tcW w:type="dxa" w:w="1632"/>
            <w:vAlign w:val="center"/>
          </w:tcPr>
          <w:p>
            <w:pPr>
              <w:jc w:val="center"/>
            </w:pPr>
            <w:r>
              <w:rPr>
                <w:sz w:val="17"/>
              </w:rPr>
              <w:t>Original Logistic Regression</w:t>
            </w:r>
          </w:p>
        </w:tc>
        <w:tc>
          <w:tcPr>
            <w:tcW w:type="dxa" w:w="1632"/>
            <w:vAlign w:val="center"/>
          </w:tcPr>
          <w:p>
            <w:pPr>
              <w:jc w:val="center"/>
            </w:pPr>
            <w:r>
              <w:rPr>
                <w:sz w:val="17"/>
              </w:rPr>
              <w:t>0.4852</w:t>
            </w:r>
          </w:p>
        </w:tc>
        <w:tc>
          <w:tcPr>
            <w:tcW w:type="dxa" w:w="1632"/>
            <w:vAlign w:val="center"/>
          </w:tcPr>
          <w:p>
            <w:pPr>
              <w:jc w:val="center"/>
            </w:pPr>
            <w:r>
              <w:rPr>
                <w:sz w:val="17"/>
              </w:rPr>
              <w:t>0.51</w:t>
            </w:r>
          </w:p>
        </w:tc>
        <w:tc>
          <w:tcPr>
            <w:tcW w:type="dxa" w:w="1632"/>
            <w:vAlign w:val="center"/>
          </w:tcPr>
          <w:p>
            <w:pPr>
              <w:jc w:val="center"/>
            </w:pPr>
            <w:r>
              <w:rPr>
                <w:sz w:val="17"/>
              </w:rPr>
              <w:t>0.4852</w:t>
            </w:r>
          </w:p>
        </w:tc>
        <w:tc>
          <w:tcPr>
            <w:tcW w:type="dxa" w:w="1632"/>
            <w:vAlign w:val="center"/>
          </w:tcPr>
          <w:p>
            <w:pPr>
              <w:jc w:val="center"/>
            </w:pPr>
            <w:r>
              <w:rPr>
                <w:sz w:val="17"/>
              </w:rPr>
              <w:t>0.49</w:t>
            </w:r>
          </w:p>
        </w:tc>
        <w:tc>
          <w:tcPr>
            <w:tcW w:type="dxa" w:w="1632"/>
            <w:vAlign w:val="center"/>
          </w:tcPr>
          <w:p>
            <w:pPr>
              <w:jc w:val="center"/>
            </w:pPr>
            <w:r>
              <w:rPr>
                <w:sz w:val="17"/>
              </w:rPr>
              <w:t>0.6312</w:t>
            </w:r>
          </w:p>
        </w:tc>
      </w:tr>
      <w:tr>
        <w:tc>
          <w:tcPr>
            <w:tcW w:type="dxa" w:w="1632"/>
            <w:vAlign w:val="center"/>
          </w:tcPr>
          <w:p>
            <w:pPr>
              <w:jc w:val="center"/>
            </w:pPr>
            <w:r>
              <w:rPr>
                <w:sz w:val="17"/>
              </w:rPr>
              <w:t>SMOTE LR (Default Threshold)</w:t>
            </w:r>
          </w:p>
        </w:tc>
        <w:tc>
          <w:tcPr>
            <w:tcW w:type="dxa" w:w="1632"/>
            <w:vAlign w:val="center"/>
          </w:tcPr>
          <w:p>
            <w:pPr>
              <w:jc w:val="center"/>
            </w:pPr>
            <w:r>
              <w:rPr>
                <w:sz w:val="17"/>
              </w:rPr>
              <w:t>0.5234</w:t>
            </w:r>
          </w:p>
        </w:tc>
        <w:tc>
          <w:tcPr>
            <w:tcW w:type="dxa" w:w="1632"/>
            <w:vAlign w:val="center"/>
          </w:tcPr>
          <w:p>
            <w:pPr>
              <w:jc w:val="center"/>
            </w:pPr>
            <w:r>
              <w:rPr>
                <w:sz w:val="17"/>
              </w:rPr>
              <w:t>0.49</w:t>
            </w:r>
          </w:p>
        </w:tc>
        <w:tc>
          <w:tcPr>
            <w:tcW w:type="dxa" w:w="1632"/>
            <w:vAlign w:val="center"/>
          </w:tcPr>
          <w:p>
            <w:pPr>
              <w:jc w:val="center"/>
            </w:pPr>
            <w:r>
              <w:rPr>
                <w:sz w:val="17"/>
              </w:rPr>
              <w:t>0.5234</w:t>
            </w:r>
          </w:p>
        </w:tc>
        <w:tc>
          <w:tcPr>
            <w:tcW w:type="dxa" w:w="1632"/>
            <w:vAlign w:val="center"/>
          </w:tcPr>
          <w:p>
            <w:pPr>
              <w:jc w:val="center"/>
            </w:pPr>
            <w:r>
              <w:rPr>
                <w:sz w:val="17"/>
              </w:rPr>
              <w:t>0.51</w:t>
            </w:r>
          </w:p>
        </w:tc>
        <w:tc>
          <w:tcPr>
            <w:tcW w:type="dxa" w:w="1632"/>
            <w:vAlign w:val="center"/>
          </w:tcPr>
          <w:p>
            <w:pPr>
              <w:jc w:val="center"/>
            </w:pPr>
            <w:r>
              <w:rPr>
                <w:sz w:val="17"/>
              </w:rPr>
              <w:t>0.6077</w:t>
            </w:r>
          </w:p>
        </w:tc>
      </w:tr>
      <w:tr>
        <w:tc>
          <w:tcPr>
            <w:tcW w:type="dxa" w:w="1632"/>
            <w:vAlign w:val="center"/>
          </w:tcPr>
          <w:p>
            <w:pPr>
              <w:jc w:val="center"/>
            </w:pPr>
            <w:r>
              <w:rPr>
                <w:sz w:val="17"/>
              </w:rPr>
              <w:t>SMOTE LR (Uniform Threshold 0.3)</w:t>
            </w:r>
          </w:p>
        </w:tc>
        <w:tc>
          <w:tcPr>
            <w:tcW w:type="dxa" w:w="1632"/>
            <w:vAlign w:val="center"/>
          </w:tcPr>
          <w:p>
            <w:pPr>
              <w:jc w:val="center"/>
            </w:pPr>
            <w:r>
              <w:rPr>
                <w:sz w:val="17"/>
              </w:rPr>
              <w:t>0.4173</w:t>
            </w:r>
          </w:p>
        </w:tc>
        <w:tc>
          <w:tcPr>
            <w:tcW w:type="dxa" w:w="1632"/>
            <w:vAlign w:val="center"/>
          </w:tcPr>
          <w:p>
            <w:pPr>
              <w:jc w:val="center"/>
            </w:pPr>
            <w:r>
              <w:rPr>
                <w:sz w:val="17"/>
              </w:rPr>
              <w:t>0.51</w:t>
            </w:r>
          </w:p>
        </w:tc>
        <w:tc>
          <w:tcPr>
            <w:tcW w:type="dxa" w:w="1632"/>
            <w:vAlign w:val="center"/>
          </w:tcPr>
          <w:p>
            <w:pPr>
              <w:jc w:val="center"/>
            </w:pPr>
            <w:r>
              <w:rPr>
                <w:sz w:val="17"/>
              </w:rPr>
              <w:t>0.4173</w:t>
            </w:r>
          </w:p>
        </w:tc>
        <w:tc>
          <w:tcPr>
            <w:tcW w:type="dxa" w:w="1632"/>
            <w:vAlign w:val="center"/>
          </w:tcPr>
          <w:p>
            <w:pPr>
              <w:jc w:val="center"/>
            </w:pPr>
            <w:r>
              <w:rPr>
                <w:sz w:val="17"/>
              </w:rPr>
              <w:t>0.42</w:t>
            </w:r>
          </w:p>
        </w:tc>
        <w:tc>
          <w:tcPr>
            <w:tcW w:type="dxa" w:w="1632"/>
            <w:vAlign w:val="center"/>
          </w:tcPr>
          <w:p>
            <w:pPr>
              <w:jc w:val="center"/>
            </w:pPr>
            <w:r>
              <w:rPr>
                <w:sz w:val="17"/>
              </w:rPr>
              <w:t>0.6077</w:t>
            </w:r>
          </w:p>
        </w:tc>
      </w:tr>
      <w:tr>
        <w:tc>
          <w:tcPr>
            <w:tcW w:type="dxa" w:w="1632"/>
            <w:vAlign w:val="center"/>
          </w:tcPr>
          <w:p>
            <w:pPr>
              <w:jc w:val="center"/>
            </w:pPr>
            <w:r>
              <w:rPr>
                <w:sz w:val="17"/>
              </w:rPr>
              <w:t>SMOTE LR (Class-Specific Thresholds)</w:t>
            </w:r>
          </w:p>
        </w:tc>
        <w:tc>
          <w:tcPr>
            <w:tcW w:type="dxa" w:w="1632"/>
            <w:vAlign w:val="center"/>
          </w:tcPr>
          <w:p>
            <w:pPr>
              <w:jc w:val="center"/>
            </w:pPr>
            <w:r>
              <w:rPr>
                <w:sz w:val="17"/>
              </w:rPr>
              <w:t>0.4800</w:t>
            </w:r>
          </w:p>
        </w:tc>
        <w:tc>
          <w:tcPr>
            <w:tcW w:type="dxa" w:w="1632"/>
            <w:vAlign w:val="center"/>
          </w:tcPr>
          <w:p>
            <w:pPr>
              <w:jc w:val="center"/>
            </w:pPr>
            <w:r>
              <w:rPr>
                <w:sz w:val="17"/>
              </w:rPr>
              <w:t>0.50</w:t>
            </w:r>
          </w:p>
        </w:tc>
        <w:tc>
          <w:tcPr>
            <w:tcW w:type="dxa" w:w="1632"/>
            <w:vAlign w:val="center"/>
          </w:tcPr>
          <w:p>
            <w:pPr>
              <w:jc w:val="center"/>
            </w:pPr>
            <w:r>
              <w:rPr>
                <w:sz w:val="17"/>
              </w:rPr>
              <w:t>0.4800</w:t>
            </w:r>
          </w:p>
        </w:tc>
        <w:tc>
          <w:tcPr>
            <w:tcW w:type="dxa" w:w="1632"/>
            <w:vAlign w:val="center"/>
          </w:tcPr>
          <w:p>
            <w:pPr>
              <w:jc w:val="center"/>
            </w:pPr>
            <w:r>
              <w:rPr>
                <w:sz w:val="17"/>
              </w:rPr>
              <w:t>0.47</w:t>
            </w:r>
          </w:p>
        </w:tc>
        <w:tc>
          <w:tcPr>
            <w:tcW w:type="dxa" w:w="1632"/>
            <w:vAlign w:val="center"/>
          </w:tcPr>
          <w:p>
            <w:pPr>
              <w:jc w:val="center"/>
            </w:pPr>
            <w:r>
              <w:rPr>
                <w:sz w:val="17"/>
              </w:rPr>
              <w:t>0.6077</w:t>
            </w:r>
          </w:p>
        </w:tc>
      </w:tr>
      <w:tr>
        <w:tc>
          <w:tcPr>
            <w:tcW w:type="dxa" w:w="1632"/>
            <w:vAlign w:val="center"/>
          </w:tcPr>
          <w:p>
            <w:pPr>
              <w:jc w:val="center"/>
            </w:pPr>
            <w:r>
              <w:rPr>
                <w:sz w:val="17"/>
              </w:rPr>
              <w:t>Decision Tree</w:t>
            </w:r>
          </w:p>
        </w:tc>
        <w:tc>
          <w:tcPr>
            <w:tcW w:type="dxa" w:w="1632"/>
            <w:vAlign w:val="center"/>
          </w:tcPr>
          <w:p>
            <w:pPr>
              <w:jc w:val="center"/>
            </w:pPr>
            <w:r>
              <w:rPr>
                <w:sz w:val="17"/>
              </w:rPr>
              <w:t>0.4537</w:t>
            </w:r>
          </w:p>
        </w:tc>
        <w:tc>
          <w:tcPr>
            <w:tcW w:type="dxa" w:w="1632"/>
            <w:vAlign w:val="center"/>
          </w:tcPr>
          <w:p>
            <w:pPr>
              <w:jc w:val="center"/>
            </w:pPr>
            <w:r>
              <w:rPr>
                <w:sz w:val="17"/>
              </w:rPr>
              <w:t>0.46</w:t>
            </w:r>
          </w:p>
        </w:tc>
        <w:tc>
          <w:tcPr>
            <w:tcW w:type="dxa" w:w="1632"/>
            <w:vAlign w:val="center"/>
          </w:tcPr>
          <w:p>
            <w:pPr>
              <w:jc w:val="center"/>
            </w:pPr>
            <w:r>
              <w:rPr>
                <w:sz w:val="17"/>
              </w:rPr>
              <w:t>0.4537</w:t>
            </w:r>
          </w:p>
        </w:tc>
        <w:tc>
          <w:tcPr>
            <w:tcW w:type="dxa" w:w="1632"/>
            <w:vAlign w:val="center"/>
          </w:tcPr>
          <w:p>
            <w:pPr>
              <w:jc w:val="center"/>
            </w:pPr>
            <w:r>
              <w:rPr>
                <w:sz w:val="17"/>
              </w:rPr>
              <w:t>0.46</w:t>
            </w:r>
          </w:p>
        </w:tc>
        <w:tc>
          <w:tcPr>
            <w:tcW w:type="dxa" w:w="1632"/>
            <w:vAlign w:val="center"/>
          </w:tcPr>
          <w:p>
            <w:pPr>
              <w:jc w:val="center"/>
            </w:pPr>
            <w:r>
              <w:rPr>
                <w:sz w:val="17"/>
              </w:rPr>
              <w:t>0.5326</w:t>
            </w:r>
          </w:p>
        </w:tc>
      </w:tr>
      <w:tr>
        <w:tc>
          <w:tcPr>
            <w:tcW w:type="dxa" w:w="1632"/>
            <w:vAlign w:val="center"/>
          </w:tcPr>
          <w:p>
            <w:pPr>
              <w:jc w:val="center"/>
            </w:pPr>
            <w:r>
              <w:rPr>
                <w:sz w:val="17"/>
              </w:rPr>
              <w:t>Random Forest</w:t>
            </w:r>
          </w:p>
        </w:tc>
        <w:tc>
          <w:tcPr>
            <w:tcW w:type="dxa" w:w="1632"/>
            <w:vAlign w:val="center"/>
          </w:tcPr>
          <w:p>
            <w:pPr>
              <w:jc w:val="center"/>
            </w:pPr>
            <w:r>
              <w:rPr>
                <w:sz w:val="17"/>
              </w:rPr>
              <w:t>0.5452</w:t>
            </w:r>
          </w:p>
        </w:tc>
        <w:tc>
          <w:tcPr>
            <w:tcW w:type="dxa" w:w="1632"/>
            <w:vAlign w:val="center"/>
          </w:tcPr>
          <w:p>
            <w:pPr>
              <w:jc w:val="center"/>
            </w:pPr>
            <w:r>
              <w:rPr>
                <w:sz w:val="17"/>
              </w:rPr>
              <w:t>0.50</w:t>
            </w:r>
          </w:p>
        </w:tc>
        <w:tc>
          <w:tcPr>
            <w:tcW w:type="dxa" w:w="1632"/>
            <w:vAlign w:val="center"/>
          </w:tcPr>
          <w:p>
            <w:pPr>
              <w:jc w:val="center"/>
            </w:pPr>
            <w:r>
              <w:rPr>
                <w:sz w:val="17"/>
              </w:rPr>
              <w:t>0.5452</w:t>
            </w:r>
          </w:p>
        </w:tc>
        <w:tc>
          <w:tcPr>
            <w:tcW w:type="dxa" w:w="1632"/>
            <w:vAlign w:val="center"/>
          </w:tcPr>
          <w:p>
            <w:pPr>
              <w:jc w:val="center"/>
            </w:pPr>
            <w:r>
              <w:rPr>
                <w:sz w:val="17"/>
              </w:rPr>
              <w:t>0.51</w:t>
            </w:r>
          </w:p>
        </w:tc>
        <w:tc>
          <w:tcPr>
            <w:tcW w:type="dxa" w:w="1632"/>
            <w:vAlign w:val="center"/>
          </w:tcPr>
          <w:p>
            <w:pPr>
              <w:jc w:val="center"/>
            </w:pPr>
            <w:r>
              <w:rPr>
                <w:sz w:val="17"/>
              </w:rPr>
              <w:t>0.6093</w:t>
            </w:r>
          </w:p>
        </w:tc>
      </w:tr>
      <w:tr>
        <w:tc>
          <w:tcPr>
            <w:tcW w:type="dxa" w:w="1632"/>
            <w:vAlign w:val="center"/>
          </w:tcPr>
          <w:p>
            <w:pPr>
              <w:jc w:val="center"/>
            </w:pPr>
            <w:r>
              <w:rPr>
                <w:sz w:val="17"/>
              </w:rPr>
              <w:t>XGBoost</w:t>
            </w:r>
          </w:p>
        </w:tc>
        <w:tc>
          <w:tcPr>
            <w:tcW w:type="dxa" w:w="1632"/>
            <w:vAlign w:val="center"/>
          </w:tcPr>
          <w:p>
            <w:pPr>
              <w:jc w:val="center"/>
            </w:pPr>
            <w:r>
              <w:rPr>
                <w:sz w:val="17"/>
              </w:rPr>
              <w:t>0.5711</w:t>
            </w:r>
          </w:p>
        </w:tc>
        <w:tc>
          <w:tcPr>
            <w:tcW w:type="dxa" w:w="1632"/>
            <w:vAlign w:val="center"/>
          </w:tcPr>
          <w:p>
            <w:pPr>
              <w:jc w:val="center"/>
            </w:pPr>
            <w:r>
              <w:rPr>
                <w:sz w:val="17"/>
              </w:rPr>
              <w:t>0.52</w:t>
            </w:r>
          </w:p>
        </w:tc>
        <w:tc>
          <w:tcPr>
            <w:tcW w:type="dxa" w:w="1632"/>
            <w:vAlign w:val="center"/>
          </w:tcPr>
          <w:p>
            <w:pPr>
              <w:jc w:val="center"/>
            </w:pPr>
            <w:r>
              <w:rPr>
                <w:sz w:val="17"/>
              </w:rPr>
              <w:t>0.5711</w:t>
            </w:r>
          </w:p>
        </w:tc>
        <w:tc>
          <w:tcPr>
            <w:tcW w:type="dxa" w:w="1632"/>
            <w:vAlign w:val="center"/>
          </w:tcPr>
          <w:p>
            <w:pPr>
              <w:jc w:val="center"/>
            </w:pPr>
            <w:r>
              <w:rPr>
                <w:sz w:val="17"/>
              </w:rPr>
              <w:t>0.52</w:t>
            </w:r>
          </w:p>
        </w:tc>
        <w:tc>
          <w:tcPr>
            <w:tcW w:type="dxa" w:w="1632"/>
            <w:vAlign w:val="center"/>
          </w:tcPr>
          <w:p>
            <w:pPr>
              <w:jc w:val="center"/>
            </w:pPr>
            <w:r>
              <w:rPr>
                <w:sz w:val="17"/>
              </w:rPr>
              <w:t>0.6475</w:t>
            </w:r>
          </w:p>
        </w:tc>
      </w:tr>
      <w:tr>
        <w:tc>
          <w:tcPr>
            <w:tcW w:type="dxa" w:w="1632"/>
            <w:vAlign w:val="center"/>
          </w:tcPr>
          <w:p>
            <w:pPr>
              <w:jc w:val="center"/>
            </w:pPr>
            <w:r>
              <w:rPr>
                <w:sz w:val="17"/>
              </w:rPr>
              <w:t>Fast Linear SVM</w:t>
            </w:r>
          </w:p>
        </w:tc>
        <w:tc>
          <w:tcPr>
            <w:tcW w:type="dxa" w:w="1632"/>
            <w:vAlign w:val="center"/>
          </w:tcPr>
          <w:p>
            <w:pPr>
              <w:jc w:val="center"/>
            </w:pPr>
            <w:r>
              <w:rPr>
                <w:sz w:val="17"/>
              </w:rPr>
              <w:t>0.5521</w:t>
            </w:r>
          </w:p>
        </w:tc>
        <w:tc>
          <w:tcPr>
            <w:tcW w:type="dxa" w:w="1632"/>
            <w:vAlign w:val="center"/>
          </w:tcPr>
          <w:p>
            <w:pPr>
              <w:jc w:val="center"/>
            </w:pPr>
            <w:r>
              <w:rPr>
                <w:sz w:val="17"/>
              </w:rPr>
              <w:t>0.47</w:t>
            </w:r>
          </w:p>
        </w:tc>
        <w:tc>
          <w:tcPr>
            <w:tcW w:type="dxa" w:w="1632"/>
            <w:vAlign w:val="center"/>
          </w:tcPr>
          <w:p>
            <w:pPr>
              <w:jc w:val="center"/>
            </w:pPr>
            <w:r>
              <w:rPr>
                <w:sz w:val="17"/>
              </w:rPr>
              <w:t>0.5521</w:t>
            </w:r>
          </w:p>
        </w:tc>
        <w:tc>
          <w:tcPr>
            <w:tcW w:type="dxa" w:w="1632"/>
            <w:vAlign w:val="center"/>
          </w:tcPr>
          <w:p>
            <w:pPr>
              <w:jc w:val="center"/>
            </w:pPr>
            <w:r>
              <w:rPr>
                <w:sz w:val="17"/>
              </w:rPr>
              <w:t>0.43</w:t>
            </w:r>
          </w:p>
        </w:tc>
        <w:tc>
          <w:tcPr>
            <w:tcW w:type="dxa" w:w="1632"/>
            <w:vAlign w:val="center"/>
          </w:tcPr>
          <w:p>
            <w:pPr>
              <w:jc w:val="center"/>
            </w:pPr>
            <w:r>
              <w:rPr>
                <w:sz w:val="17"/>
              </w:rPr>
              <w:t>0.6270</w:t>
            </w:r>
          </w:p>
        </w:tc>
      </w:tr>
    </w:tbl>
    <w:p>
      <w:pPr>
        <w:spacing w:after="120" w:line="259" w:lineRule="auto"/>
      </w:pPr>
    </w:p>
    <w:p>
      <w:pPr>
        <w:pStyle w:val="Heading2"/>
      </w:pPr>
      <w:r>
        <w:t>6.1 Key Findings</w:t>
      </w:r>
    </w:p>
    <w:p>
      <w:pPr>
        <w:pStyle w:val="ListBullet"/>
        <w:spacing w:after="60"/>
      </w:pPr>
      <w:r>
        <w:t>XGBoost achieved the highest reported accuracy (0.5711) and weighted AUC (0.6475) among the evaluated models.</w:t>
      </w:r>
    </w:p>
    <w:p>
      <w:pPr>
        <w:pStyle w:val="ListBullet"/>
        <w:spacing w:after="60"/>
      </w:pPr>
      <w:r>
        <w:t>Fast Linear SVM achieved an accuracy of 0.5521 and weighted AUC of 0.6270.</w:t>
      </w:r>
    </w:p>
    <w:p>
      <w:pPr>
        <w:pStyle w:val="ListBullet"/>
        <w:spacing w:after="60"/>
      </w:pPr>
      <w:r>
        <w:t>Random Forest achieved an accuracy of 0.5452 and weighted AUC of 0.6093.</w:t>
      </w:r>
    </w:p>
    <w:p>
      <w:pPr>
        <w:pStyle w:val="ListBullet"/>
        <w:spacing w:after="60"/>
      </w:pPr>
      <w:r>
        <w:t>SMOTE and class-weighting experiments were useful for investigating the effect of class imbalance, although threshold tuning did not consistently improve the overall metrics.</w:t>
      </w:r>
    </w:p>
    <w:p>
      <w:pPr>
        <w:pStyle w:val="ListBullet"/>
        <w:spacing w:after="60"/>
      </w:pPr>
      <w:r>
        <w:t>The kernel-based SVM models encountered convergence warnings with max_iter=500, indicating that further tuning may be required.</w:t>
      </w:r>
    </w:p>
    <w:p>
      <w:pPr>
        <w:pStyle w:val="ListBullet"/>
        <w:spacing w:after="60"/>
      </w:pPr>
      <w:r>
        <w:t>Decision Tree produced the lowest weighted AUC among the models shown in the comparison table, at 0.5326.</w:t>
      </w:r>
    </w:p>
    <w:p>
      <w:pPr>
        <w:pStyle w:val="Heading1"/>
      </w:pPr>
      <w:r>
        <w:t>7. Conclusion</w:t>
      </w:r>
    </w:p>
    <w:p>
      <w:pPr>
        <w:spacing w:after="120" w:line="259" w:lineRule="auto"/>
      </w:pPr>
      <w:r>
        <w:t>This project applied data analytics and machine learning techniques to the classification of diabetic patient readmission status. The workflow included data preprocessing, exploratory analysis, feature engineering, class-imbalance handling, model development, and comparative evaluation.</w:t>
      </w:r>
    </w:p>
    <w:p>
      <w:pPr>
        <w:spacing w:after="120" w:line="259" w:lineRule="auto"/>
      </w:pPr>
      <w:r>
        <w:t>Among the evaluated models, XGBoost achieved the highest reported accuracy and weighted AUC. The results demonstrate the potential of machine learning for analyzing readmission patterns while also showing that model performance can vary considerably depending on the classification method and preprocessing strategy.</w:t>
      </w:r>
    </w:p>
    <w:p>
      <w:pPr>
        <w:pStyle w:val="Heading1"/>
      </w:pPr>
      <w:r>
        <w:t>8. Future Work</w:t>
      </w:r>
    </w:p>
    <w:p>
      <w:pPr>
        <w:pStyle w:val="ListBullet"/>
        <w:spacing w:after="60"/>
      </w:pPr>
      <w:r>
        <w:t>Advanced feature engineering to capture interactions among patient, treatment, and utilization variables.</w:t>
      </w:r>
    </w:p>
    <w:p>
      <w:pPr>
        <w:pStyle w:val="ListBullet"/>
        <w:spacing w:after="60"/>
      </w:pPr>
      <w:r>
        <w:t>Hyperparameter optimization using techniques such as GridSearchCV or RandomizedSearchCV.</w:t>
      </w:r>
    </w:p>
    <w:p>
      <w:pPr>
        <w:pStyle w:val="ListBullet"/>
        <w:spacing w:after="60"/>
      </w:pPr>
      <w:r>
        <w:t>Further investigation of ensemble methods and model combinations.</w:t>
      </w:r>
    </w:p>
    <w:p>
      <w:pPr>
        <w:pStyle w:val="ListBullet"/>
        <w:spacing w:after="60"/>
      </w:pPr>
      <w:r>
        <w:t>Evaluation of deep learning approaches for the same classification task.</w:t>
      </w:r>
    </w:p>
    <w:p>
      <w:pPr>
        <w:pStyle w:val="ListBullet"/>
        <w:spacing w:after="60"/>
      </w:pPr>
      <w:r>
        <w:t>Additional scaling and optimization for models affected by convergence issues.</w:t>
      </w:r>
    </w:p>
    <w:p>
      <w:pPr>
        <w:pStyle w:val="ListBullet"/>
        <w:spacing w:after="60"/>
      </w:pPr>
      <w:r>
        <w:t>Further investigation of class-specific metrics, particularly for the minority readmission classes.</w:t>
      </w:r>
    </w:p>
    <w:p>
      <w:pPr>
        <w:pStyle w:val="Heading1"/>
      </w:pPr>
      <w:r>
        <w:t>9. Technologies Used</w:t>
      </w:r>
    </w:p>
    <w:p>
      <w:pPr>
        <w:pStyle w:val="ListBullet"/>
        <w:spacing w:after="60"/>
      </w:pPr>
      <w:r>
        <w:t>Python</w:t>
      </w:r>
    </w:p>
    <w:p>
      <w:pPr>
        <w:pStyle w:val="ListBullet"/>
        <w:spacing w:after="60"/>
      </w:pPr>
      <w:r>
        <w:t>Pandas</w:t>
      </w:r>
    </w:p>
    <w:p>
      <w:pPr>
        <w:pStyle w:val="ListBullet"/>
        <w:spacing w:after="60"/>
      </w:pPr>
      <w:r>
        <w:t>NumPy</w:t>
      </w:r>
    </w:p>
    <w:p>
      <w:pPr>
        <w:pStyle w:val="ListBullet"/>
        <w:spacing w:after="60"/>
      </w:pPr>
      <w:r>
        <w:t>Matplotlib</w:t>
      </w:r>
    </w:p>
    <w:p>
      <w:pPr>
        <w:pStyle w:val="ListBullet"/>
        <w:spacing w:after="60"/>
      </w:pPr>
      <w:r>
        <w:t>Seaborn</w:t>
      </w:r>
    </w:p>
    <w:p>
      <w:pPr>
        <w:pStyle w:val="ListBullet"/>
        <w:spacing w:after="60"/>
      </w:pPr>
      <w:r>
        <w:t>Scikit-learn</w:t>
      </w:r>
    </w:p>
    <w:p>
      <w:pPr>
        <w:pStyle w:val="ListBullet"/>
        <w:spacing w:after="60"/>
      </w:pPr>
      <w:r>
        <w:t>Imbalanced-learn (SMOTE)</w:t>
      </w:r>
    </w:p>
    <w:p>
      <w:pPr>
        <w:pStyle w:val="ListBullet"/>
        <w:spacing w:after="60"/>
      </w:pPr>
      <w:r>
        <w:t>XGBoost</w:t>
      </w:r>
    </w:p>
    <w:p>
      <w:pPr>
        <w:pStyle w:val="ListBullet"/>
        <w:spacing w:after="60"/>
      </w:pPr>
      <w:r>
        <w:t>Jupyter Notebook / Google Colab</w:t>
      </w:r>
    </w:p>
    <w:p>
      <w:pPr>
        <w:pStyle w:val="Heading1"/>
      </w:pPr>
      <w:r>
        <w:t>10. Dataset Reference</w:t>
      </w:r>
    </w:p>
    <w:p>
      <w:pPr>
        <w:spacing w:after="120" w:line="259" w:lineRule="auto"/>
      </w:pPr>
      <w:r>
        <w:rPr>
          <w:b/>
        </w:rPr>
        <w:t xml:space="preserve">Kaggle. </w:t>
      </w:r>
      <w:r>
        <w:t xml:space="preserve">Diabetes Prediction Dataset. </w:t>
      </w:r>
      <w:r>
        <w:t>https://www.kaggle.com/datasets/nguynnhkhang/diabetes-prediction-dataset</w:t>
      </w:r>
    </w:p>
    <w:sectPr w:rsidR="00FC693F" w:rsidRPr="0006063C" w:rsidSect="00034616">
      <w:headerReference w:type="default" r:id="rId9"/>
      <w:foot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sz w:val="16"/>
      </w:rPr>
      <w:t>Diabetic Patient Readmission Prediction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