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i w:val="0"/>
          <w:color w:val="17365D"/>
          <w:sz w:val="46"/>
        </w:rPr>
        <w:t>PROJECT DEFINITION</w:t>
      </w:r>
    </w:p>
    <w:p>
      <w:pPr>
        <w:spacing w:after="320"/>
      </w:pPr>
      <w:r>
        <w:rPr>
          <w:rFonts w:ascii="Calibri" w:hAnsi="Calibri"/>
          <w:b w:val="0"/>
          <w:i w:val="0"/>
          <w:color w:val="667085"/>
          <w:sz w:val="28"/>
        </w:rPr>
        <w:t>Ad Click Fraud Detection - Business Problem and Project Scope</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shd w:fill="F2F4F7"/>
            <w:vAlign w:val="center"/>
          </w:tcPr>
          <w:p>
            <w:pPr>
              <w:spacing w:after="0"/>
            </w:pPr>
            <w:r>
              <w:rPr>
                <w:rFonts w:ascii="Calibri" w:hAnsi="Calibri"/>
                <w:b/>
                <w:i w:val="0"/>
                <w:color w:val="667085"/>
                <w:sz w:val="16"/>
              </w:rPr>
              <w:t>Project Type</w:t>
              <w:br/>
            </w:r>
            <w:r>
              <w:rPr>
                <w:rFonts w:ascii="Calibri" w:hAnsi="Calibri"/>
                <w:b/>
                <w:i w:val="0"/>
                <w:color w:val="17365D"/>
                <w:sz w:val="20"/>
              </w:rPr>
              <w:t>End-to-End Machine Learning</w:t>
            </w:r>
          </w:p>
        </w:tc>
        <w:tc>
          <w:tcPr>
            <w:tcW w:type="dxa" w:w="4680"/>
            <w:tcMar>
              <w:top w:w="80" w:type="dxa"/>
              <w:start w:w="120" w:type="dxa"/>
              <w:bottom w:w="80" w:type="dxa"/>
              <w:end w:w="120" w:type="dxa"/>
            </w:tcMar>
            <w:shd w:fill="F2F4F7"/>
            <w:vAlign w:val="center"/>
          </w:tcPr>
          <w:p>
            <w:pPr>
              <w:spacing w:after="0"/>
            </w:pPr>
            <w:r>
              <w:rPr>
                <w:rFonts w:ascii="Calibri" w:hAnsi="Calibri"/>
                <w:b/>
                <w:i w:val="0"/>
                <w:color w:val="667085"/>
                <w:sz w:val="16"/>
              </w:rPr>
              <w:t>Primary Domain</w:t>
              <w:br/>
            </w:r>
            <w:r>
              <w:rPr>
                <w:rFonts w:ascii="Calibri" w:hAnsi="Calibri"/>
                <w:b/>
                <w:i w:val="0"/>
                <w:color w:val="17365D"/>
                <w:sz w:val="20"/>
              </w:rPr>
              <w:t>Fraud Analytics and Trust &amp; Safety</w:t>
            </w:r>
          </w:p>
        </w:tc>
      </w:tr>
      <w:tr>
        <w:tc>
          <w:tcPr>
            <w:tcW w:type="dxa" w:w="4680"/>
            <w:tcMar>
              <w:top w:w="80" w:type="dxa"/>
              <w:start w:w="120" w:type="dxa"/>
              <w:bottom w:w="80" w:type="dxa"/>
              <w:end w:w="120" w:type="dxa"/>
            </w:tcMar>
            <w:shd w:fill="F2F4F7"/>
            <w:vAlign w:val="center"/>
          </w:tcPr>
          <w:p>
            <w:pPr>
              <w:spacing w:after="0"/>
            </w:pPr>
            <w:r>
              <w:rPr>
                <w:rFonts w:ascii="Calibri" w:hAnsi="Calibri"/>
                <w:b/>
                <w:i w:val="0"/>
                <w:color w:val="667085"/>
                <w:sz w:val="16"/>
              </w:rPr>
              <w:t>Prepared For</w:t>
              <w:br/>
            </w:r>
            <w:r>
              <w:rPr>
                <w:rFonts w:ascii="Calibri" w:hAnsi="Calibri"/>
                <w:b/>
                <w:i w:val="0"/>
                <w:color w:val="17365D"/>
                <w:sz w:val="20"/>
              </w:rPr>
              <w:t>Portfolio Development</w:t>
            </w:r>
          </w:p>
        </w:tc>
        <w:tc>
          <w:tcPr>
            <w:tcW w:type="dxa" w:w="4680"/>
            <w:tcMar>
              <w:top w:w="80" w:type="dxa"/>
              <w:start w:w="120" w:type="dxa"/>
              <w:bottom w:w="80" w:type="dxa"/>
              <w:end w:w="120" w:type="dxa"/>
            </w:tcMar>
            <w:shd w:fill="F2F4F7"/>
            <w:vAlign w:val="center"/>
          </w:tcPr>
          <w:p>
            <w:pPr>
              <w:spacing w:after="0"/>
            </w:pPr>
            <w:r>
              <w:rPr>
                <w:rFonts w:ascii="Calibri" w:hAnsi="Calibri"/>
                <w:b/>
                <w:i w:val="0"/>
                <w:color w:val="667085"/>
                <w:sz w:val="16"/>
              </w:rPr>
              <w:t>Related Domain</w:t>
              <w:br/>
            </w:r>
            <w:r>
              <w:rPr>
                <w:rFonts w:ascii="Calibri" w:hAnsi="Calibri"/>
                <w:b/>
                <w:i w:val="0"/>
                <w:color w:val="17365D"/>
                <w:sz w:val="20"/>
              </w:rPr>
              <w:t>Cybersecurity</w:t>
            </w:r>
          </w:p>
        </w:tc>
      </w:tr>
      <w:tr>
        <w:tc>
          <w:tcPr>
            <w:tcW w:type="dxa" w:w="4680"/>
            <w:tcMar>
              <w:top w:w="80" w:type="dxa"/>
              <w:start w:w="120" w:type="dxa"/>
              <w:bottom w:w="80" w:type="dxa"/>
              <w:end w:w="120" w:type="dxa"/>
            </w:tcMar>
            <w:shd w:fill="F2F4F7"/>
            <w:vAlign w:val="center"/>
          </w:tcPr>
          <w:p>
            <w:pPr>
              <w:spacing w:after="0"/>
            </w:pPr>
            <w:r>
              <w:rPr>
                <w:rFonts w:ascii="Calibri" w:hAnsi="Calibri"/>
                <w:b/>
                <w:i w:val="0"/>
                <w:color w:val="667085"/>
                <w:sz w:val="16"/>
              </w:rPr>
              <w:t>Prepared By</w:t>
              <w:br/>
            </w:r>
            <w:r>
              <w:rPr>
                <w:rFonts w:ascii="Calibri" w:hAnsi="Calibri"/>
                <w:b/>
                <w:i w:val="0"/>
                <w:color w:val="17365D"/>
                <w:sz w:val="20"/>
              </w:rPr>
              <w:t>Nandan M</w:t>
            </w:r>
          </w:p>
        </w:tc>
        <w:tc>
          <w:tcPr>
            <w:tcW w:type="dxa" w:w="4680"/>
            <w:tcMar>
              <w:top w:w="80" w:type="dxa"/>
              <w:start w:w="120" w:type="dxa"/>
              <w:bottom w:w="80" w:type="dxa"/>
              <w:end w:w="120" w:type="dxa"/>
            </w:tcMar>
            <w:shd w:fill="F2F4F7"/>
            <w:vAlign w:val="center"/>
          </w:tcPr>
          <w:p>
            <w:pPr>
              <w:spacing w:after="0"/>
            </w:pPr>
            <w:r>
              <w:rPr>
                <w:rFonts w:ascii="Calibri" w:hAnsi="Calibri"/>
                <w:b/>
                <w:i w:val="0"/>
                <w:color w:val="667085"/>
                <w:sz w:val="16"/>
              </w:rPr>
              <w:t>Document Status</w:t>
              <w:br/>
            </w:r>
            <w:r>
              <w:rPr>
                <w:rFonts w:ascii="Calibri" w:hAnsi="Calibri"/>
                <w:b/>
                <w:i w:val="0"/>
                <w:color w:val="17365D"/>
                <w:sz w:val="20"/>
              </w:rPr>
              <w:t>Initial Project Definition</w:t>
            </w:r>
          </w:p>
        </w:tc>
      </w:tr>
    </w:tbl>
    <w:p>
      <w:pPr>
        <w:spacing w:after="0"/>
      </w:pPr>
    </w:p>
    <w:p>
      <w:pPr>
        <w:pStyle w:val="Heading1"/>
      </w:pPr>
      <w:r>
        <w:t>Project Overview</w:t>
      </w:r>
    </w:p>
    <w:p>
      <w:pPr>
        <w:keepLines w:val="0"/>
      </w:pPr>
      <w:r>
        <w:t>The Ad Click Fraud Detection project is an end-to-end machine-learning initiative designed to identify potentially fraudulent or malicious activity within digital advertising traffic. The project aims to simulate a practical fraud-detection system that could help advertising platforms and advertisers distinguish legitimate user engagement from suspicious click behaviour.</w:t>
      </w:r>
    </w:p>
    <w:p>
      <w:pPr>
        <w:keepLines w:val="0"/>
      </w:pPr>
      <w:r>
        <w:t>The solution will cover the complete machine-learning lifecycle, including data validation, exploratory analysis, leakage-safe feature engineering, time-aware model training, cost-sensitive evaluation, explainability, deployment and monitoring design.</w:t>
      </w:r>
    </w:p>
    <w:p>
      <w:pPr>
        <w:pStyle w:val="Heading1"/>
      </w:pPr>
      <w:r>
        <w:t>Business Problem</w:t>
      </w:r>
    </w:p>
    <w:p>
      <w:pPr>
        <w:keepLines w:val="0"/>
      </w:pPr>
      <w:r>
        <w:t>Digital advertising commonly operates on pricing models in which advertisers are charged when users click their advertisements. Fraudsters can exploit this system by generating artificial clicks through automated bots, click farms, repeated-click patterns, spoofed identifiers or other coordinated activity.</w:t>
      </w:r>
    </w:p>
    <w:p>
      <w:pPr>
        <w:keepLines w:val="0"/>
      </w:pPr>
      <w:r>
        <w:t>Fraudulent clicks can consume advertising budgets without producing genuine customer interest or business value. They may also distort campaign-performance metrics, mislead marketing decisions and reduce trust between advertisers, publishers and advertising platforms.</w:t>
      </w:r>
    </w:p>
    <w:p>
      <w:pPr>
        <w:keepLines w:val="0"/>
      </w:pPr>
      <w:r>
        <w:t>Manually reviewing every click is impractical because advertising systems can process extremely large volumes of traffic. A scalable method is therefore required to analyse click-level behaviour and assign a fraud-risk score before an operational decision is made.</w:t>
      </w:r>
    </w:p>
    <w:p>
      <w:pPr>
        <w:pStyle w:val="Heading1"/>
      </w:pPr>
      <w:r>
        <w:t>Proposed Solution</w:t>
      </w:r>
    </w:p>
    <w:p>
      <w:pPr>
        <w:keepLines w:val="0"/>
      </w:pPr>
      <w:r>
        <w:t>The project will develop a machine-learning pipeline that analyses available click characteristics and behavioural patterns to estimate whether an incoming click is likely to be fraudulent or legitimate.</w:t>
      </w:r>
    </w:p>
    <w:p>
      <w:pPr>
        <w:keepLines/>
        <w:numPr>
          <w:ilvl w:val="0"/>
          <w:numId w:val="77"/>
        </w:numPr>
      </w:pPr>
      <w:r>
        <w:rPr>
          <w:rFonts w:ascii="Calibri" w:hAnsi="Calibri"/>
          <w:b w:val="0"/>
          <w:i w:val="0"/>
          <w:color w:val="1F2933"/>
          <w:sz w:val="22"/>
        </w:rPr>
        <w:t>Allowing low-risk clicks</w:t>
      </w:r>
    </w:p>
    <w:p>
      <w:pPr>
        <w:keepLines/>
        <w:numPr>
          <w:ilvl w:val="0"/>
          <w:numId w:val="77"/>
        </w:numPr>
      </w:pPr>
      <w:r>
        <w:rPr>
          <w:rFonts w:ascii="Calibri" w:hAnsi="Calibri"/>
          <w:b w:val="0"/>
          <w:i w:val="0"/>
          <w:color w:val="1F2933"/>
          <w:sz w:val="22"/>
        </w:rPr>
        <w:t>Flagging suspicious clicks for further review</w:t>
      </w:r>
    </w:p>
    <w:p>
      <w:pPr>
        <w:keepLines/>
        <w:numPr>
          <w:ilvl w:val="0"/>
          <w:numId w:val="77"/>
        </w:numPr>
      </w:pPr>
      <w:r>
        <w:rPr>
          <w:rFonts w:ascii="Calibri" w:hAnsi="Calibri"/>
          <w:b w:val="0"/>
          <w:i w:val="0"/>
          <w:color w:val="1F2933"/>
          <w:sz w:val="22"/>
        </w:rPr>
        <w:t>Throttling repeated or abnormal activity</w:t>
      </w:r>
    </w:p>
    <w:p>
      <w:pPr>
        <w:keepLines/>
        <w:numPr>
          <w:ilvl w:val="0"/>
          <w:numId w:val="77"/>
        </w:numPr>
      </w:pPr>
      <w:r>
        <w:rPr>
          <w:rFonts w:ascii="Calibri" w:hAnsi="Calibri"/>
          <w:b w:val="0"/>
          <w:i w:val="0"/>
          <w:color w:val="1F2933"/>
          <w:sz w:val="22"/>
        </w:rPr>
        <w:t>Blocking clicks that exceed an approved risk threshold</w:t>
      </w:r>
    </w:p>
    <w:p>
      <w:pPr>
        <w:keepLines w:val="0"/>
      </w:pPr>
      <w:r>
        <w:t>The model will function as a decision-support component rather than an independent guarantee of fraud prevention. Its objective is to help the business reduce exposure to fraudulent traffic while limiting the accidental rejection of legitimate users.</w:t>
      </w:r>
    </w:p>
    <w:p>
      <w:pPr>
        <w:pStyle w:val="Heading1"/>
      </w:pPr>
      <w:r>
        <w:t>Business Objective</w:t>
      </w:r>
    </w:p>
    <w:p>
      <w:pPr>
        <w:keepLines w:val="0"/>
      </w:pPr>
      <w:r>
        <w:t>The primary business objective is to reduce the financial and operational impact of fraudulent advertisement clicks while preserving genuine customer engagement.</w:t>
      </w:r>
    </w:p>
    <w:p>
      <w:pPr>
        <w:keepLines/>
        <w:numPr>
          <w:ilvl w:val="0"/>
          <w:numId w:val="77"/>
        </w:numPr>
      </w:pPr>
      <w:r>
        <w:rPr>
          <w:rFonts w:ascii="Calibri" w:hAnsi="Calibri"/>
          <w:b w:val="0"/>
          <w:i w:val="0"/>
          <w:color w:val="1F2933"/>
          <w:sz w:val="22"/>
        </w:rPr>
        <w:t>Detect a meaningful proportion of suspicious clicks</w:t>
      </w:r>
    </w:p>
    <w:p>
      <w:pPr>
        <w:keepLines/>
        <w:numPr>
          <w:ilvl w:val="0"/>
          <w:numId w:val="77"/>
        </w:numPr>
      </w:pPr>
      <w:r>
        <w:rPr>
          <w:rFonts w:ascii="Calibri" w:hAnsi="Calibri"/>
          <w:b w:val="0"/>
          <w:i w:val="0"/>
          <w:color w:val="1F2933"/>
          <w:sz w:val="22"/>
        </w:rPr>
        <w:t>Reduce advertising expenditure attributed to invalid traffic</w:t>
      </w:r>
    </w:p>
    <w:p>
      <w:pPr>
        <w:keepLines/>
        <w:numPr>
          <w:ilvl w:val="0"/>
          <w:numId w:val="77"/>
        </w:numPr>
      </w:pPr>
      <w:r>
        <w:rPr>
          <w:rFonts w:ascii="Calibri" w:hAnsi="Calibri"/>
          <w:b w:val="0"/>
          <w:i w:val="0"/>
          <w:color w:val="1F2933"/>
          <w:sz w:val="22"/>
        </w:rPr>
        <w:t>Minimise false positives that could block genuine users</w:t>
      </w:r>
    </w:p>
    <w:p>
      <w:pPr>
        <w:keepLines/>
        <w:numPr>
          <w:ilvl w:val="0"/>
          <w:numId w:val="77"/>
        </w:numPr>
      </w:pPr>
      <w:r>
        <w:rPr>
          <w:rFonts w:ascii="Calibri" w:hAnsi="Calibri"/>
          <w:b w:val="0"/>
          <w:i w:val="0"/>
          <w:color w:val="1F2933"/>
          <w:sz w:val="22"/>
        </w:rPr>
        <w:t>Prioritise high-risk activity for investigation</w:t>
      </w:r>
    </w:p>
    <w:p>
      <w:pPr>
        <w:keepLines/>
        <w:numPr>
          <w:ilvl w:val="0"/>
          <w:numId w:val="77"/>
        </w:numPr>
      </w:pPr>
      <w:r>
        <w:rPr>
          <w:rFonts w:ascii="Calibri" w:hAnsi="Calibri"/>
          <w:b w:val="0"/>
          <w:i w:val="0"/>
          <w:color w:val="1F2933"/>
          <w:sz w:val="22"/>
        </w:rPr>
        <w:t>Provide interpretable reasons behind fraud-risk predictions</w:t>
      </w:r>
    </w:p>
    <w:p>
      <w:pPr>
        <w:keepLines/>
        <w:numPr>
          <w:ilvl w:val="0"/>
          <w:numId w:val="77"/>
        </w:numPr>
      </w:pPr>
      <w:r>
        <w:rPr>
          <w:rFonts w:ascii="Calibri" w:hAnsi="Calibri"/>
          <w:b w:val="0"/>
          <w:i w:val="0"/>
          <w:color w:val="1F2933"/>
          <w:sz w:val="22"/>
        </w:rPr>
        <w:t>Support threshold selection based on business costs and review capacity</w:t>
      </w:r>
    </w:p>
    <w:p>
      <w:pPr>
        <w:keepLines w:val="0"/>
      </w:pPr>
      <w:r>
        <w:t>Success will therefore be evaluated using fraud-appropriate metrics such as precision, recall, PR-AUC, F-beta score and estimated business cost—not accuracy alone.</w:t>
      </w:r>
    </w:p>
    <w:p>
      <w:pPr>
        <w:pStyle w:val="Heading1"/>
      </w:pPr>
      <w:r>
        <w:t>Intended Stakeholders</w:t>
      </w:r>
    </w:p>
    <w:p>
      <w:pPr>
        <w:keepLines/>
        <w:numPr>
          <w:ilvl w:val="0"/>
          <w:numId w:val="77"/>
        </w:numPr>
      </w:pPr>
      <w:r>
        <w:rPr>
          <w:rFonts w:ascii="Calibri" w:hAnsi="Calibri"/>
          <w:b w:val="0"/>
          <w:i w:val="0"/>
          <w:color w:val="1F2933"/>
          <w:sz w:val="22"/>
        </w:rPr>
        <w:t>Digital advertising platforms</w:t>
      </w:r>
    </w:p>
    <w:p>
      <w:pPr>
        <w:keepLines/>
        <w:numPr>
          <w:ilvl w:val="0"/>
          <w:numId w:val="77"/>
        </w:numPr>
      </w:pPr>
      <w:r>
        <w:rPr>
          <w:rFonts w:ascii="Calibri" w:hAnsi="Calibri"/>
          <w:b w:val="0"/>
          <w:i w:val="0"/>
          <w:color w:val="1F2933"/>
          <w:sz w:val="22"/>
        </w:rPr>
        <w:t>Advertisers and client companies</w:t>
      </w:r>
    </w:p>
    <w:p>
      <w:pPr>
        <w:keepLines/>
        <w:numPr>
          <w:ilvl w:val="0"/>
          <w:numId w:val="77"/>
        </w:numPr>
      </w:pPr>
      <w:r>
        <w:rPr>
          <w:rFonts w:ascii="Calibri" w:hAnsi="Calibri"/>
          <w:b w:val="0"/>
          <w:i w:val="0"/>
          <w:color w:val="1F2933"/>
          <w:sz w:val="22"/>
        </w:rPr>
        <w:t>Fraud and risk analysts</w:t>
      </w:r>
    </w:p>
    <w:p>
      <w:pPr>
        <w:keepLines/>
        <w:numPr>
          <w:ilvl w:val="0"/>
          <w:numId w:val="77"/>
        </w:numPr>
      </w:pPr>
      <w:r>
        <w:rPr>
          <w:rFonts w:ascii="Calibri" w:hAnsi="Calibri"/>
          <w:b w:val="0"/>
          <w:i w:val="0"/>
          <w:color w:val="1F2933"/>
          <w:sz w:val="22"/>
        </w:rPr>
        <w:t>Trust and safety teams</w:t>
      </w:r>
    </w:p>
    <w:p>
      <w:pPr>
        <w:keepLines/>
        <w:numPr>
          <w:ilvl w:val="0"/>
          <w:numId w:val="77"/>
        </w:numPr>
      </w:pPr>
      <w:r>
        <w:rPr>
          <w:rFonts w:ascii="Calibri" w:hAnsi="Calibri"/>
          <w:b w:val="0"/>
          <w:i w:val="0"/>
          <w:color w:val="1F2933"/>
          <w:sz w:val="22"/>
        </w:rPr>
        <w:t>Marketing operations teams</w:t>
      </w:r>
    </w:p>
    <w:p>
      <w:pPr>
        <w:keepLines/>
        <w:numPr>
          <w:ilvl w:val="0"/>
          <w:numId w:val="77"/>
        </w:numPr>
      </w:pPr>
      <w:r>
        <w:rPr>
          <w:rFonts w:ascii="Calibri" w:hAnsi="Calibri"/>
          <w:b w:val="0"/>
          <w:i w:val="0"/>
          <w:color w:val="1F2933"/>
          <w:sz w:val="22"/>
        </w:rPr>
        <w:t>Cybersecurity and platform-integrity teams</w:t>
      </w:r>
    </w:p>
    <w:p>
      <w:pPr>
        <w:keepLines w:val="0"/>
      </w:pPr>
      <w:r>
        <w:t>The project is primarily positioned within fraud analytics and trust and safety, while also having cybersecurity relevance because it addresses automated and potentially malicious platform activity.</w:t>
      </w:r>
    </w:p>
    <w:p>
      <w:pPr>
        <w:pStyle w:val="Heading1"/>
      </w:pPr>
      <w:r>
        <w:t>Project Scope</w:t>
      </w:r>
    </w:p>
    <w:p>
      <w:pPr>
        <w:keepLines/>
        <w:numPr>
          <w:ilvl w:val="0"/>
          <w:numId w:val="77"/>
        </w:numPr>
      </w:pPr>
      <w:r>
        <w:rPr>
          <w:rFonts w:ascii="Calibri" w:hAnsi="Calibri"/>
          <w:b w:val="0"/>
          <w:i w:val="0"/>
          <w:color w:val="1F2933"/>
          <w:sz w:val="22"/>
        </w:rPr>
        <w:t>Validating and documenting the selected click-level dataset</w:t>
      </w:r>
    </w:p>
    <w:p>
      <w:pPr>
        <w:keepLines/>
        <w:numPr>
          <w:ilvl w:val="0"/>
          <w:numId w:val="77"/>
        </w:numPr>
      </w:pPr>
      <w:r>
        <w:rPr>
          <w:rFonts w:ascii="Calibri" w:hAnsi="Calibri"/>
          <w:b w:val="0"/>
          <w:i w:val="0"/>
          <w:color w:val="1F2933"/>
          <w:sz w:val="22"/>
        </w:rPr>
        <w:t>Investigating click patterns, class imbalance and temporal behaviour</w:t>
      </w:r>
    </w:p>
    <w:p>
      <w:pPr>
        <w:keepLines/>
        <w:numPr>
          <w:ilvl w:val="0"/>
          <w:numId w:val="77"/>
        </w:numPr>
      </w:pPr>
      <w:r>
        <w:rPr>
          <w:rFonts w:ascii="Calibri" w:hAnsi="Calibri"/>
          <w:b w:val="0"/>
          <w:i w:val="0"/>
          <w:color w:val="1F2933"/>
          <w:sz w:val="22"/>
        </w:rPr>
        <w:t>Engineering behavioural and time-based features</w:t>
      </w:r>
    </w:p>
    <w:p>
      <w:pPr>
        <w:keepLines/>
        <w:numPr>
          <w:ilvl w:val="0"/>
          <w:numId w:val="77"/>
        </w:numPr>
      </w:pPr>
      <w:r>
        <w:rPr>
          <w:rFonts w:ascii="Calibri" w:hAnsi="Calibri"/>
          <w:b w:val="0"/>
          <w:i w:val="0"/>
          <w:color w:val="1F2933"/>
          <w:sz w:val="22"/>
        </w:rPr>
        <w:t>Preventing target and temporal data leakage</w:t>
      </w:r>
    </w:p>
    <w:p>
      <w:pPr>
        <w:keepLines/>
        <w:numPr>
          <w:ilvl w:val="0"/>
          <w:numId w:val="77"/>
        </w:numPr>
      </w:pPr>
      <w:r>
        <w:rPr>
          <w:rFonts w:ascii="Calibri" w:hAnsi="Calibri"/>
          <w:b w:val="0"/>
          <w:i w:val="0"/>
          <w:color w:val="1F2933"/>
          <w:sz w:val="22"/>
        </w:rPr>
        <w:t>Building baseline and advanced classification models</w:t>
      </w:r>
    </w:p>
    <w:p>
      <w:pPr>
        <w:keepLines/>
        <w:numPr>
          <w:ilvl w:val="0"/>
          <w:numId w:val="77"/>
        </w:numPr>
      </w:pPr>
      <w:r>
        <w:rPr>
          <w:rFonts w:ascii="Calibri" w:hAnsi="Calibri"/>
          <w:b w:val="0"/>
          <w:i w:val="0"/>
          <w:color w:val="1F2933"/>
          <w:sz w:val="22"/>
        </w:rPr>
        <w:t>Using chronological training, validation and test periods</w:t>
      </w:r>
    </w:p>
    <w:p>
      <w:pPr>
        <w:keepLines/>
        <w:numPr>
          <w:ilvl w:val="0"/>
          <w:numId w:val="77"/>
        </w:numPr>
      </w:pPr>
      <w:r>
        <w:rPr>
          <w:rFonts w:ascii="Calibri" w:hAnsi="Calibri"/>
          <w:b w:val="0"/>
          <w:i w:val="0"/>
          <w:color w:val="1F2933"/>
          <w:sz w:val="22"/>
        </w:rPr>
        <w:t>Evaluating the model using statistical and business-oriented metrics</w:t>
      </w:r>
    </w:p>
    <w:p>
      <w:pPr>
        <w:keepLines/>
        <w:numPr>
          <w:ilvl w:val="0"/>
          <w:numId w:val="77"/>
        </w:numPr>
      </w:pPr>
      <w:r>
        <w:rPr>
          <w:rFonts w:ascii="Calibri" w:hAnsi="Calibri"/>
          <w:b w:val="0"/>
          <w:i w:val="0"/>
          <w:color w:val="1F2933"/>
          <w:sz w:val="22"/>
        </w:rPr>
        <w:t>Selecting an operational classification threshold</w:t>
      </w:r>
    </w:p>
    <w:p>
      <w:pPr>
        <w:keepLines/>
        <w:numPr>
          <w:ilvl w:val="0"/>
          <w:numId w:val="77"/>
        </w:numPr>
      </w:pPr>
      <w:r>
        <w:rPr>
          <w:rFonts w:ascii="Calibri" w:hAnsi="Calibri"/>
          <w:b w:val="0"/>
          <w:i w:val="0"/>
          <w:color w:val="1F2933"/>
          <w:sz w:val="22"/>
        </w:rPr>
        <w:t>Explaining model behaviour and prediction errors</w:t>
      </w:r>
    </w:p>
    <w:p>
      <w:pPr>
        <w:keepLines/>
        <w:numPr>
          <w:ilvl w:val="0"/>
          <w:numId w:val="77"/>
        </w:numPr>
      </w:pPr>
      <w:r>
        <w:rPr>
          <w:rFonts w:ascii="Calibri" w:hAnsi="Calibri"/>
          <w:b w:val="0"/>
          <w:i w:val="0"/>
          <w:color w:val="1F2933"/>
          <w:sz w:val="22"/>
        </w:rPr>
        <w:t>Packaging the final training and inference pipeline</w:t>
      </w:r>
    </w:p>
    <w:p>
      <w:pPr>
        <w:keepLines/>
        <w:numPr>
          <w:ilvl w:val="0"/>
          <w:numId w:val="77"/>
        </w:numPr>
      </w:pPr>
      <w:r>
        <w:rPr>
          <w:rFonts w:ascii="Calibri" w:hAnsi="Calibri"/>
          <w:b w:val="0"/>
          <w:i w:val="0"/>
          <w:color w:val="1F2933"/>
          <w:sz w:val="22"/>
        </w:rPr>
        <w:t>Developing an interactive fraud-monitoring application</w:t>
      </w:r>
    </w:p>
    <w:p>
      <w:pPr>
        <w:keepLines/>
        <w:numPr>
          <w:ilvl w:val="0"/>
          <w:numId w:val="77"/>
        </w:numPr>
      </w:pPr>
      <w:r>
        <w:rPr>
          <w:rFonts w:ascii="Calibri" w:hAnsi="Calibri"/>
          <w:b w:val="0"/>
          <w:i w:val="0"/>
          <w:color w:val="1F2933"/>
          <w:sz w:val="22"/>
        </w:rPr>
        <w:t>Designing a strategy for monitoring drift and future retraining</w:t>
      </w:r>
    </w:p>
    <w:p>
      <w:pPr>
        <w:keepLines w:val="0"/>
      </w:pPr>
      <w:r>
        <w:t>The first version will focus on conventional supervised machine learning. More advanced capabilities may be introduced later without unnecessarily complicating the initial implementation.</w:t>
      </w:r>
    </w:p>
    <w:p>
      <w:pPr>
        <w:pStyle w:val="Heading1"/>
      </w:pPr>
      <w:r>
        <w:t>Scope Boundaries</w:t>
      </w:r>
    </w:p>
    <w:p>
      <w:pPr>
        <w:keepLines w:val="0"/>
      </w:pPr>
      <w:r>
        <w:t>The project will not claim to:</w:t>
      </w:r>
    </w:p>
    <w:p>
      <w:pPr>
        <w:keepLines/>
        <w:numPr>
          <w:ilvl w:val="0"/>
          <w:numId w:val="77"/>
        </w:numPr>
      </w:pPr>
      <w:r>
        <w:rPr>
          <w:rFonts w:ascii="Calibri" w:hAnsi="Calibri"/>
          <w:b w:val="0"/>
          <w:i w:val="0"/>
          <w:color w:val="1F2933"/>
          <w:sz w:val="22"/>
        </w:rPr>
        <w:t>Eliminate all forms of advertising fraud</w:t>
      </w:r>
    </w:p>
    <w:p>
      <w:pPr>
        <w:keepLines/>
        <w:numPr>
          <w:ilvl w:val="0"/>
          <w:numId w:val="77"/>
        </w:numPr>
      </w:pPr>
      <w:r>
        <w:rPr>
          <w:rFonts w:ascii="Calibri" w:hAnsi="Calibri"/>
          <w:b w:val="0"/>
          <w:i w:val="0"/>
          <w:color w:val="1F2933"/>
          <w:sz w:val="22"/>
        </w:rPr>
        <w:t>Prove that every model-flagged click was intentionally malicious</w:t>
      </w:r>
    </w:p>
    <w:p>
      <w:pPr>
        <w:keepLines/>
        <w:numPr>
          <w:ilvl w:val="0"/>
          <w:numId w:val="77"/>
        </w:numPr>
      </w:pPr>
      <w:r>
        <w:rPr>
          <w:rFonts w:ascii="Calibri" w:hAnsi="Calibri"/>
          <w:b w:val="0"/>
          <w:i w:val="0"/>
          <w:color w:val="1F2933"/>
          <w:sz w:val="22"/>
        </w:rPr>
        <w:t>Treat every non-converting click as confirmed fraud without supporting labels</w:t>
      </w:r>
    </w:p>
    <w:p>
      <w:pPr>
        <w:keepLines/>
        <w:numPr>
          <w:ilvl w:val="0"/>
          <w:numId w:val="77"/>
        </w:numPr>
      </w:pPr>
      <w:r>
        <w:rPr>
          <w:rFonts w:ascii="Calibri" w:hAnsi="Calibri"/>
          <w:b w:val="0"/>
          <w:i w:val="0"/>
          <w:color w:val="1F2933"/>
          <w:sz w:val="22"/>
        </w:rPr>
        <w:t>Prevent unrelated cybersecurity incidents or unauthorised system access</w:t>
      </w:r>
    </w:p>
    <w:p>
      <w:pPr>
        <w:keepLines/>
        <w:numPr>
          <w:ilvl w:val="0"/>
          <w:numId w:val="77"/>
        </w:numPr>
      </w:pPr>
      <w:r>
        <w:rPr>
          <w:rFonts w:ascii="Calibri" w:hAnsi="Calibri"/>
          <w:b w:val="0"/>
          <w:i w:val="0"/>
          <w:color w:val="1F2933"/>
          <w:sz w:val="22"/>
        </w:rPr>
        <w:t>Deploy directly into a live advertising environment without additional infrastructure, security testing and real-world validation</w:t>
      </w:r>
    </w:p>
    <w:p>
      <w:pPr>
        <w:keepLines w:val="0"/>
      </w:pPr>
      <w:r>
        <w:t>These boundaries are important because the reliability of the final conclusions depends on the definition and quality of the selected target variable.</w:t>
      </w:r>
    </w:p>
    <w:p>
      <w:pPr>
        <w:pStyle w:val="Heading1"/>
      </w:pPr>
      <w:r>
        <w:t>Future Adaptability</w:t>
      </w:r>
    </w:p>
    <w:p>
      <w:pPr>
        <w:keepLines w:val="0"/>
      </w:pPr>
      <w:r>
        <w:t>The project will use a modular and configuration-driven architecture so that its components can be maintained or extended independently.</w:t>
      </w:r>
    </w:p>
    <w:p>
      <w:pPr>
        <w:keepLines w:val="0"/>
      </w:pPr>
      <w:r>
        <w:t>Subject to schema validation, feature redesign and model retraining, the architecture could later be adapted to new click datasets, advertising environments or fraud patterns. Potential future extensions include:</w:t>
      </w:r>
    </w:p>
    <w:p>
      <w:pPr>
        <w:keepLines/>
        <w:numPr>
          <w:ilvl w:val="0"/>
          <w:numId w:val="77"/>
        </w:numPr>
      </w:pPr>
      <w:r>
        <w:rPr>
          <w:rFonts w:ascii="Calibri" w:hAnsi="Calibri"/>
          <w:b w:val="0"/>
          <w:i w:val="0"/>
          <w:color w:val="1F2933"/>
          <w:sz w:val="22"/>
        </w:rPr>
        <w:t>Real-time or streaming fraud detection</w:t>
      </w:r>
    </w:p>
    <w:p>
      <w:pPr>
        <w:keepLines/>
        <w:numPr>
          <w:ilvl w:val="0"/>
          <w:numId w:val="77"/>
        </w:numPr>
      </w:pPr>
      <w:r>
        <w:rPr>
          <w:rFonts w:ascii="Calibri" w:hAnsi="Calibri"/>
          <w:b w:val="0"/>
          <w:i w:val="0"/>
          <w:color w:val="1F2933"/>
          <w:sz w:val="22"/>
        </w:rPr>
        <w:t>Automated model retraining</w:t>
      </w:r>
    </w:p>
    <w:p>
      <w:pPr>
        <w:keepLines/>
        <w:numPr>
          <w:ilvl w:val="0"/>
          <w:numId w:val="77"/>
        </w:numPr>
      </w:pPr>
      <w:r>
        <w:rPr>
          <w:rFonts w:ascii="Calibri" w:hAnsi="Calibri"/>
          <w:b w:val="0"/>
          <w:i w:val="0"/>
          <w:color w:val="1F2933"/>
          <w:sz w:val="22"/>
        </w:rPr>
        <w:t>Data- and prediction-drift monitoring</w:t>
      </w:r>
    </w:p>
    <w:p>
      <w:pPr>
        <w:keepLines/>
        <w:numPr>
          <w:ilvl w:val="0"/>
          <w:numId w:val="77"/>
        </w:numPr>
      </w:pPr>
      <w:r>
        <w:rPr>
          <w:rFonts w:ascii="Calibri" w:hAnsi="Calibri"/>
          <w:b w:val="0"/>
          <w:i w:val="0"/>
          <w:color w:val="1F2933"/>
          <w:sz w:val="22"/>
        </w:rPr>
        <w:t>Rule-based and machine-learning hybrid detection</w:t>
      </w:r>
    </w:p>
    <w:p>
      <w:pPr>
        <w:keepLines/>
        <w:numPr>
          <w:ilvl w:val="0"/>
          <w:numId w:val="77"/>
        </w:numPr>
      </w:pPr>
      <w:r>
        <w:rPr>
          <w:rFonts w:ascii="Calibri" w:hAnsi="Calibri"/>
          <w:b w:val="0"/>
          <w:i w:val="0"/>
          <w:color w:val="1F2933"/>
          <w:sz w:val="22"/>
        </w:rPr>
        <w:t>Graph-based detection of coordinated fraud networks</w:t>
      </w:r>
    </w:p>
    <w:p>
      <w:pPr>
        <w:keepLines/>
        <w:numPr>
          <w:ilvl w:val="0"/>
          <w:numId w:val="77"/>
        </w:numPr>
      </w:pPr>
      <w:r>
        <w:rPr>
          <w:rFonts w:ascii="Calibri" w:hAnsi="Calibri"/>
          <w:b w:val="0"/>
          <w:i w:val="0"/>
          <w:color w:val="1F2933"/>
          <w:sz w:val="22"/>
        </w:rPr>
        <w:t>Sequence models for behavioural analysis</w:t>
      </w:r>
    </w:p>
    <w:p>
      <w:pPr>
        <w:keepLines/>
        <w:numPr>
          <w:ilvl w:val="0"/>
          <w:numId w:val="77"/>
        </w:numPr>
      </w:pPr>
      <w:r>
        <w:rPr>
          <w:rFonts w:ascii="Calibri" w:hAnsi="Calibri"/>
          <w:b w:val="0"/>
          <w:i w:val="0"/>
          <w:color w:val="1F2933"/>
          <w:sz w:val="22"/>
        </w:rPr>
        <w:t>Analyst-feedback integration</w:t>
      </w:r>
    </w:p>
    <w:p>
      <w:pPr>
        <w:keepLines/>
        <w:numPr>
          <w:ilvl w:val="0"/>
          <w:numId w:val="77"/>
        </w:numPr>
      </w:pPr>
      <w:r>
        <w:rPr>
          <w:rFonts w:ascii="Calibri" w:hAnsi="Calibri"/>
          <w:b w:val="0"/>
          <w:i w:val="0"/>
          <w:color w:val="1F2933"/>
          <w:sz w:val="22"/>
        </w:rPr>
        <w:t>AI-assisted explanations for fraud investigators</w:t>
      </w:r>
    </w:p>
    <w:p>
      <w:pPr>
        <w:keepLines w:val="0"/>
      </w:pPr>
      <w:r>
        <w:t>Adaptability refers to the architecture of the system; a model trained on one dataset should not be assumed to perform correctly on a different dataset without fresh validation and retraining.</w:t>
      </w:r>
    </w:p>
    <w:p>
      <w:pPr>
        <w:pStyle w:val="Heading1"/>
      </w:pPr>
      <w:r>
        <w:t>Project Motivation</w:t>
      </w:r>
    </w:p>
    <w:p>
      <w:pPr>
        <w:keepLines w:val="0"/>
      </w:pPr>
      <w:r>
        <w:t>This project was selected to demonstrate the development of a machine-learning solution that reflects a realistic commercial problem rather than a purely generic classification exercise.</w:t>
      </w:r>
    </w:p>
    <w:p>
      <w:pPr>
        <w:keepLines w:val="0"/>
      </w:pPr>
      <w:r>
        <w:t>Ad-click fraud presents a valuable portfolio challenge because it combines large-scale data processing, severe class imbalance, temporal behaviour, feature engineering, business-cost considerations, model explainability and deployment. It provides an opportunity to show not only how a model can be trained, but also how a machine-learning system can be designed to support responsible decisions in a real-world fraud-management environment.</w:t>
      </w:r>
    </w:p>
    <w:p>
      <w:pPr>
        <w:spacing w:before="200" w:after="0"/>
        <w:shd w:fill="EAF2F8"/>
      </w:pPr>
      <w:r>
        <w:rPr>
          <w:rFonts w:ascii="Calibri" w:hAnsi="Calibri"/>
          <w:b/>
          <w:i w:val="0"/>
          <w:color w:val="17365D"/>
          <w:sz w:val="19"/>
        </w:rPr>
        <w:t>Document control note: This definition should be revisited after dataset selection so the exact target variable, prediction moment and operational action can be confirmed.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6"/>
      </w:rPr>
      <w:t xml:space="preserve">Nandan M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67085"/>
        <w:sz w:val="17"/>
      </w:rPr>
      <w:t>PROJECT CHARTER  |  AD CLICK FRAUD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7">
    <w:lvl w:ilvl="0">
      <w:start w:val="1"/>
      <w:numFmt w:val="bullet"/>
      <w:lvlText w:val="•"/>
      <w:lvlJc w:val="left"/>
      <w:pPr>
        <w:tabs>
          <w:tab w:val="num" w:pos="720"/>
        </w:tabs>
        <w:ind w:left="720" w:hanging="360"/>
        <w:spacing w:after="160" w:line="280" w:lineRule="auto"/>
      </w:pPr>
      <w:rPr>
        <w:rFonts w:ascii="Calibri" w:hAnsi="Calibri"/>
      </w:rPr>
    </w:lvl>
  </w:abstract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 Click Fraud Detection - Project Definition and Business Problem</dc:title>
  <dc:subject>Professional machine learning project charter</dc:subject>
  <dc:creator>Nandan M</dc:creator>
  <cp:keywords>ad click fraud, machine learning, fraud analytics, cybersecurity, project charter</cp:keywords>
  <dc:description>generated by python-docx</dc:description>
  <cp:lastModifiedBy/>
  <cp:revision>1</cp:revision>
  <dcterms:created xsi:type="dcterms:W3CDTF">2013-12-23T23:15:00Z</dcterms:created>
  <dcterms:modified xsi:type="dcterms:W3CDTF">2013-12-23T23:15:00Z</dcterms:modified>
  <cp:category/>
</cp:coreProperties>
</file>