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r>
        <w:rPr>
          <w:b/>
          <w:sz w:val="44"/>
          <w:szCs w:val="44"/>
        </w:rPr>
        <w:t>Tessera</w:t>
      </w:r>
      <w:r>
        <w:rPr>
          <w:b/>
          <w:sz w:val="44"/>
          <w:szCs w:val="44"/>
          <w:vertAlign w:val="superscript"/>
        </w:rPr>
        <w:t>TM</w:t>
      </w:r>
      <w:r>
        <w:rPr>
          <w:b/>
          <w:sz w:val="44"/>
          <w:szCs w:val="44"/>
        </w:rPr>
        <w:t xml:space="preserve"> Noncognitive Assessment System (Version 1.2) </w:t>
      </w: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r>
        <w:rPr>
          <w:b/>
          <w:sz w:val="44"/>
          <w:szCs w:val="44"/>
        </w:rPr>
        <w:t>Comprehensive Theory of Action</w:t>
      </w: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p>
    <w:p w:rsidR="009E1250" w:rsidRDefault="009E1250" w:rsidP="009E1250">
      <w:pPr>
        <w:spacing w:after="0" w:line="240" w:lineRule="auto"/>
        <w:jc w:val="center"/>
        <w:rPr>
          <w:b/>
          <w:sz w:val="44"/>
          <w:szCs w:val="44"/>
        </w:rPr>
      </w:pPr>
      <w:r w:rsidRPr="009E1250">
        <w:rPr>
          <w:b/>
          <w:noProof/>
          <w:sz w:val="44"/>
          <w:szCs w:val="44"/>
        </w:rPr>
        <w:drawing>
          <wp:inline distT="0" distB="0" distL="0" distR="0">
            <wp:extent cx="1848293" cy="1600200"/>
            <wp:effectExtent l="95250" t="95250" r="94807" b="95250"/>
            <wp:docPr id="3" name="Picture 1"/>
            <wp:cNvGraphicFramePr/>
            <a:graphic xmlns:a="http://schemas.openxmlformats.org/drawingml/2006/main">
              <a:graphicData uri="http://schemas.openxmlformats.org/drawingml/2006/picture">
                <pic:pic xmlns:pic="http://schemas.openxmlformats.org/drawingml/2006/picture">
                  <pic:nvPicPr>
                    <pic:cNvPr id="131075" name="Picture 3"/>
                    <pic:cNvPicPr>
                      <a:picLocks noChangeAspect="1" noChangeArrowheads="1"/>
                    </pic:cNvPicPr>
                  </pic:nvPicPr>
                  <pic:blipFill>
                    <a:blip r:embed="rId8" cstate="print"/>
                    <a:srcRect/>
                    <a:stretch>
                      <a:fillRect/>
                    </a:stretch>
                  </pic:blipFill>
                  <pic:spPr bwMode="auto">
                    <a:xfrm>
                      <a:off x="0" y="0"/>
                      <a:ext cx="1848293" cy="1600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E1250" w:rsidRDefault="009E1250" w:rsidP="009E1250">
      <w:pPr>
        <w:spacing w:after="0" w:line="240" w:lineRule="auto"/>
        <w:jc w:val="center"/>
        <w:rPr>
          <w:b/>
          <w:sz w:val="44"/>
          <w:szCs w:val="44"/>
        </w:rPr>
      </w:pPr>
    </w:p>
    <w:p w:rsidR="009E1250" w:rsidRDefault="009E1250" w:rsidP="009E1250">
      <w:pPr>
        <w:rPr>
          <w:b/>
          <w:sz w:val="24"/>
          <w:szCs w:val="24"/>
        </w:rPr>
      </w:pPr>
    </w:p>
    <w:p w:rsidR="009E1250" w:rsidRDefault="009E1250" w:rsidP="009E1250">
      <w:pPr>
        <w:rPr>
          <w:b/>
          <w:sz w:val="24"/>
          <w:szCs w:val="24"/>
        </w:rPr>
      </w:pPr>
    </w:p>
    <w:p w:rsidR="009E1250" w:rsidRDefault="009E1250" w:rsidP="009E1250">
      <w:pPr>
        <w:rPr>
          <w:b/>
          <w:sz w:val="24"/>
          <w:szCs w:val="24"/>
        </w:rPr>
      </w:pPr>
    </w:p>
    <w:p w:rsidR="009E1250" w:rsidRDefault="009E1250" w:rsidP="009E1250">
      <w:pPr>
        <w:rPr>
          <w:b/>
          <w:sz w:val="24"/>
          <w:szCs w:val="24"/>
        </w:rPr>
      </w:pPr>
    </w:p>
    <w:p w:rsidR="009E1250" w:rsidRDefault="009E1250" w:rsidP="009E1250">
      <w:pPr>
        <w:rPr>
          <w:b/>
          <w:sz w:val="24"/>
          <w:szCs w:val="24"/>
        </w:rPr>
      </w:pPr>
    </w:p>
    <w:p w:rsidR="009E1250" w:rsidRDefault="009E1250" w:rsidP="009E1250">
      <w:pPr>
        <w:rPr>
          <w:szCs w:val="24"/>
        </w:rPr>
      </w:pPr>
      <w:r>
        <w:rPr>
          <w:szCs w:val="24"/>
        </w:rPr>
        <w:t>© 2016 by Center for Innovative Assessments, Professional Examination Service. All rights reserved</w:t>
      </w:r>
    </w:p>
    <w:p w:rsidR="009E1250" w:rsidRDefault="009E1250">
      <w:pPr>
        <w:rPr>
          <w:b/>
          <w:sz w:val="24"/>
          <w:szCs w:val="24"/>
        </w:rPr>
      </w:pPr>
      <w:r>
        <w:rPr>
          <w:b/>
          <w:sz w:val="24"/>
          <w:szCs w:val="24"/>
        </w:rPr>
        <w:br w:type="page"/>
      </w:r>
    </w:p>
    <w:p w:rsidR="00115A9E" w:rsidRPr="00D30B00" w:rsidRDefault="009E1250">
      <w:pPr>
        <w:pBdr>
          <w:bottom w:val="single" w:sz="4" w:space="1" w:color="auto"/>
        </w:pBdr>
        <w:spacing w:after="0" w:line="240" w:lineRule="auto"/>
        <w:jc w:val="center"/>
        <w:rPr>
          <w:b/>
          <w:sz w:val="24"/>
          <w:szCs w:val="24"/>
        </w:rPr>
      </w:pPr>
      <w:r>
        <w:rPr>
          <w:b/>
          <w:sz w:val="24"/>
          <w:szCs w:val="24"/>
        </w:rPr>
        <w:lastRenderedPageBreak/>
        <w:t>Introduction</w:t>
      </w:r>
    </w:p>
    <w:p w:rsidR="00871562" w:rsidRPr="00D30B00" w:rsidRDefault="00871562" w:rsidP="00252C57">
      <w:pPr>
        <w:spacing w:after="0" w:line="240" w:lineRule="auto"/>
        <w:rPr>
          <w:sz w:val="24"/>
          <w:szCs w:val="24"/>
        </w:rPr>
      </w:pPr>
    </w:p>
    <w:p w:rsidR="00CC4A36" w:rsidRPr="00D30B00" w:rsidRDefault="00CC4A36" w:rsidP="002B64E2">
      <w:pPr>
        <w:pStyle w:val="BodyText3"/>
        <w:tabs>
          <w:tab w:val="clear" w:pos="180"/>
        </w:tabs>
        <w:rPr>
          <w:rFonts w:asciiTheme="minorHAnsi" w:hAnsiTheme="minorHAnsi"/>
          <w:b w:val="0"/>
          <w:sz w:val="24"/>
        </w:rPr>
      </w:pPr>
    </w:p>
    <w:p w:rsidR="00996006" w:rsidRPr="00D30B00" w:rsidRDefault="002B64E2" w:rsidP="002B64E2">
      <w:pPr>
        <w:pStyle w:val="BodyText3"/>
        <w:tabs>
          <w:tab w:val="clear" w:pos="180"/>
        </w:tabs>
        <w:rPr>
          <w:rFonts w:asciiTheme="minorHAnsi" w:hAnsiTheme="minorHAnsi"/>
          <w:b w:val="0"/>
          <w:sz w:val="24"/>
        </w:rPr>
      </w:pPr>
      <w:r w:rsidRPr="00D30B00">
        <w:rPr>
          <w:rFonts w:asciiTheme="minorHAnsi" w:hAnsiTheme="minorHAnsi"/>
          <w:b w:val="0"/>
          <w:sz w:val="24"/>
        </w:rPr>
        <w:t xml:space="preserve">In the interest of </w:t>
      </w:r>
      <w:r w:rsidR="00CA6DF6" w:rsidRPr="00D30B00">
        <w:rPr>
          <w:rFonts w:asciiTheme="minorHAnsi" w:hAnsiTheme="minorHAnsi"/>
          <w:b w:val="0"/>
          <w:sz w:val="24"/>
        </w:rPr>
        <w:t xml:space="preserve">providing evidence that </w:t>
      </w:r>
      <w:r w:rsidR="00DE150C" w:rsidRPr="00D30B00">
        <w:rPr>
          <w:rFonts w:asciiTheme="minorHAnsi" w:hAnsiTheme="minorHAnsi"/>
          <w:b w:val="0"/>
          <w:sz w:val="24"/>
        </w:rPr>
        <w:t>this</w:t>
      </w:r>
      <w:r w:rsidR="00CA6DF6" w:rsidRPr="00D30B00">
        <w:rPr>
          <w:rFonts w:asciiTheme="minorHAnsi" w:hAnsiTheme="minorHAnsi"/>
          <w:b w:val="0"/>
          <w:sz w:val="24"/>
        </w:rPr>
        <w:t xml:space="preserve"> product is built upon a solid foundation</w:t>
      </w:r>
      <w:r w:rsidR="00D76ACB">
        <w:rPr>
          <w:rFonts w:asciiTheme="minorHAnsi" w:hAnsiTheme="minorHAnsi"/>
          <w:b w:val="0"/>
          <w:sz w:val="24"/>
        </w:rPr>
        <w:t xml:space="preserve"> of scientific research and logic</w:t>
      </w:r>
      <w:r w:rsidR="00CA6DF6" w:rsidRPr="00D30B00">
        <w:rPr>
          <w:rFonts w:asciiTheme="minorHAnsi" w:hAnsiTheme="minorHAnsi"/>
          <w:b w:val="0"/>
          <w:sz w:val="24"/>
        </w:rPr>
        <w:t xml:space="preserve">, we have developed a </w:t>
      </w:r>
      <w:r w:rsidR="009545DB" w:rsidRPr="00D30B00">
        <w:rPr>
          <w:rFonts w:asciiTheme="minorHAnsi" w:hAnsiTheme="minorHAnsi"/>
          <w:b w:val="0"/>
          <w:sz w:val="24"/>
        </w:rPr>
        <w:t>comprehensive theory of action</w:t>
      </w:r>
      <w:r w:rsidR="00DC356C" w:rsidRPr="00D30B00">
        <w:rPr>
          <w:rFonts w:asciiTheme="minorHAnsi" w:hAnsiTheme="minorHAnsi"/>
          <w:b w:val="0"/>
          <w:sz w:val="24"/>
        </w:rPr>
        <w:t xml:space="preserve"> </w:t>
      </w:r>
      <w:r w:rsidR="00CA6DF6" w:rsidRPr="00D30B00">
        <w:rPr>
          <w:rFonts w:asciiTheme="minorHAnsi" w:hAnsiTheme="minorHAnsi"/>
          <w:b w:val="0"/>
          <w:sz w:val="24"/>
        </w:rPr>
        <w:t xml:space="preserve">for the </w:t>
      </w:r>
      <w:r w:rsidR="00C94AB7" w:rsidRPr="00D30B00">
        <w:rPr>
          <w:rFonts w:asciiTheme="minorHAnsi" w:hAnsiTheme="minorHAnsi"/>
          <w:b w:val="0"/>
          <w:sz w:val="24"/>
        </w:rPr>
        <w:t>Tessera</w:t>
      </w:r>
      <w:r w:rsidR="00DE150C" w:rsidRPr="00D30B00">
        <w:rPr>
          <w:rFonts w:asciiTheme="minorHAnsi" w:hAnsiTheme="minorHAnsi"/>
          <w:b w:val="0"/>
          <w:sz w:val="24"/>
          <w:vertAlign w:val="superscript"/>
        </w:rPr>
        <w:t>TM</w:t>
      </w:r>
      <w:r w:rsidR="00C94AB7" w:rsidRPr="00D30B00">
        <w:rPr>
          <w:rFonts w:asciiTheme="minorHAnsi" w:hAnsiTheme="minorHAnsi"/>
          <w:b w:val="0"/>
          <w:sz w:val="24"/>
        </w:rPr>
        <w:t xml:space="preserve"> Noncognitive Assessment System</w:t>
      </w:r>
      <w:r w:rsidR="00CA6DF6" w:rsidRPr="00D30B00">
        <w:rPr>
          <w:rFonts w:asciiTheme="minorHAnsi" w:hAnsiTheme="minorHAnsi"/>
          <w:b w:val="0"/>
          <w:sz w:val="24"/>
        </w:rPr>
        <w:t xml:space="preserve">. Our </w:t>
      </w:r>
      <w:r w:rsidR="009545DB" w:rsidRPr="00D30B00">
        <w:rPr>
          <w:rFonts w:asciiTheme="minorHAnsi" w:hAnsiTheme="minorHAnsi"/>
          <w:b w:val="0"/>
          <w:sz w:val="24"/>
        </w:rPr>
        <w:t xml:space="preserve">comprehensive theory of action </w:t>
      </w:r>
      <w:r w:rsidR="00CA6DF6" w:rsidRPr="00D30B00">
        <w:rPr>
          <w:rFonts w:asciiTheme="minorHAnsi" w:hAnsiTheme="minorHAnsi"/>
          <w:b w:val="0"/>
          <w:sz w:val="24"/>
        </w:rPr>
        <w:t xml:space="preserve">has three components. First, an overview of the product is provided. Second, a graphical depiction of the theory of action </w:t>
      </w:r>
      <w:r w:rsidR="00C54A37" w:rsidRPr="00D30B00">
        <w:rPr>
          <w:rFonts w:asciiTheme="minorHAnsi" w:hAnsiTheme="minorHAnsi"/>
          <w:b w:val="0"/>
          <w:sz w:val="24"/>
        </w:rPr>
        <w:t xml:space="preserve">(Argyris &amp; Schon, 1974) </w:t>
      </w:r>
      <w:r w:rsidR="00CA6DF6" w:rsidRPr="00D30B00">
        <w:rPr>
          <w:rFonts w:asciiTheme="minorHAnsi" w:hAnsiTheme="minorHAnsi"/>
          <w:b w:val="0"/>
          <w:sz w:val="24"/>
        </w:rPr>
        <w:t xml:space="preserve">is provided, which outlines the claims that we wish to make concerning the mechanisms by which the assessment can impact </w:t>
      </w:r>
      <w:r w:rsidR="00287D15" w:rsidRPr="00D30B00">
        <w:rPr>
          <w:rFonts w:asciiTheme="minorHAnsi" w:hAnsiTheme="minorHAnsi"/>
          <w:b w:val="0"/>
          <w:sz w:val="24"/>
        </w:rPr>
        <w:t>a number of</w:t>
      </w:r>
      <w:r w:rsidR="00CA6DF6" w:rsidRPr="00D30B00">
        <w:rPr>
          <w:rFonts w:asciiTheme="minorHAnsi" w:hAnsiTheme="minorHAnsi"/>
          <w:b w:val="0"/>
          <w:sz w:val="24"/>
        </w:rPr>
        <w:t xml:space="preserve"> </w:t>
      </w:r>
      <w:r w:rsidR="00287D15" w:rsidRPr="00D30B00">
        <w:rPr>
          <w:rFonts w:asciiTheme="minorHAnsi" w:hAnsiTheme="minorHAnsi"/>
          <w:b w:val="0"/>
          <w:sz w:val="24"/>
        </w:rPr>
        <w:t>valued societal</w:t>
      </w:r>
      <w:r w:rsidR="00CA6DF6" w:rsidRPr="00D30B00">
        <w:rPr>
          <w:rFonts w:asciiTheme="minorHAnsi" w:hAnsiTheme="minorHAnsi"/>
          <w:b w:val="0"/>
          <w:sz w:val="24"/>
        </w:rPr>
        <w:t xml:space="preserve"> outcomes. The third component is a description of the empirical and logical foundation supporting </w:t>
      </w:r>
      <w:r w:rsidR="00115A9E" w:rsidRPr="00D30B00">
        <w:rPr>
          <w:rFonts w:asciiTheme="minorHAnsi" w:hAnsiTheme="minorHAnsi"/>
          <w:b w:val="0"/>
          <w:sz w:val="24"/>
        </w:rPr>
        <w:t>these</w:t>
      </w:r>
      <w:r w:rsidR="00CA6DF6" w:rsidRPr="00D30B00">
        <w:rPr>
          <w:rFonts w:asciiTheme="minorHAnsi" w:hAnsiTheme="minorHAnsi"/>
          <w:b w:val="0"/>
          <w:sz w:val="24"/>
        </w:rPr>
        <w:t xml:space="preserve"> claims. </w:t>
      </w:r>
    </w:p>
    <w:p w:rsidR="00115A9E" w:rsidRPr="00D30B00" w:rsidRDefault="00115A9E">
      <w:pPr>
        <w:pStyle w:val="BodyText3"/>
        <w:tabs>
          <w:tab w:val="clear" w:pos="180"/>
        </w:tabs>
        <w:jc w:val="center"/>
        <w:rPr>
          <w:rFonts w:asciiTheme="minorHAnsi" w:hAnsiTheme="minorHAnsi"/>
          <w:sz w:val="24"/>
        </w:rPr>
      </w:pPr>
    </w:p>
    <w:p w:rsidR="00115A9E" w:rsidRPr="00D30B00" w:rsidRDefault="00E12C36">
      <w:pPr>
        <w:pStyle w:val="BodyText3"/>
        <w:tabs>
          <w:tab w:val="clear" w:pos="180"/>
        </w:tabs>
        <w:jc w:val="center"/>
        <w:rPr>
          <w:rFonts w:asciiTheme="minorHAnsi" w:hAnsiTheme="minorHAnsi"/>
          <w:sz w:val="24"/>
        </w:rPr>
      </w:pPr>
      <w:r w:rsidRPr="00D30B00">
        <w:rPr>
          <w:rFonts w:asciiTheme="minorHAnsi" w:hAnsiTheme="minorHAnsi"/>
          <w:sz w:val="24"/>
        </w:rPr>
        <w:t>Product Overview</w:t>
      </w:r>
    </w:p>
    <w:p w:rsidR="00115A9E" w:rsidRPr="00D30B00" w:rsidRDefault="00115A9E">
      <w:pPr>
        <w:pStyle w:val="BodyText3"/>
        <w:tabs>
          <w:tab w:val="clear" w:pos="180"/>
        </w:tabs>
        <w:jc w:val="center"/>
        <w:rPr>
          <w:rFonts w:asciiTheme="minorHAnsi" w:hAnsiTheme="minorHAnsi"/>
          <w:sz w:val="24"/>
        </w:rPr>
      </w:pPr>
    </w:p>
    <w:p w:rsidR="00CC4A36" w:rsidRPr="00D30B00" w:rsidRDefault="00E12C36" w:rsidP="002B64E2">
      <w:pPr>
        <w:pStyle w:val="BodyText3"/>
        <w:tabs>
          <w:tab w:val="clear" w:pos="180"/>
        </w:tabs>
        <w:rPr>
          <w:rFonts w:asciiTheme="minorHAnsi" w:hAnsiTheme="minorHAnsi"/>
          <w:b w:val="0"/>
          <w:sz w:val="24"/>
        </w:rPr>
      </w:pPr>
      <w:r w:rsidRPr="00D30B00">
        <w:rPr>
          <w:rFonts w:asciiTheme="minorHAnsi" w:hAnsiTheme="minorHAnsi"/>
          <w:b w:val="0"/>
          <w:sz w:val="24"/>
        </w:rPr>
        <w:t>The</w:t>
      </w:r>
      <w:r w:rsidR="00C94AB7" w:rsidRPr="00D30B00">
        <w:rPr>
          <w:sz w:val="24"/>
        </w:rPr>
        <w:t xml:space="preserve"> </w:t>
      </w:r>
      <w:r w:rsidR="00C94AB7" w:rsidRPr="00D30B00">
        <w:rPr>
          <w:rFonts w:asciiTheme="minorHAnsi" w:hAnsiTheme="minorHAnsi"/>
          <w:b w:val="0"/>
          <w:sz w:val="24"/>
        </w:rPr>
        <w:t>Tessera</w:t>
      </w:r>
      <w:r w:rsidR="00DE150C" w:rsidRPr="00D30B00">
        <w:rPr>
          <w:rFonts w:asciiTheme="minorHAnsi" w:hAnsiTheme="minorHAnsi"/>
          <w:b w:val="0"/>
          <w:sz w:val="24"/>
          <w:vertAlign w:val="superscript"/>
        </w:rPr>
        <w:t>TM</w:t>
      </w:r>
      <w:r w:rsidR="00C94AB7" w:rsidRPr="00D30B00">
        <w:rPr>
          <w:rFonts w:asciiTheme="minorHAnsi" w:hAnsiTheme="minorHAnsi"/>
          <w:b w:val="0"/>
          <w:sz w:val="24"/>
        </w:rPr>
        <w:t xml:space="preserve"> Noncognitive Assessment System </w:t>
      </w:r>
      <w:r w:rsidR="00CC4A36" w:rsidRPr="00D30B00">
        <w:rPr>
          <w:rFonts w:asciiTheme="minorHAnsi" w:hAnsiTheme="minorHAnsi"/>
          <w:b w:val="0"/>
          <w:sz w:val="24"/>
        </w:rPr>
        <w:t>is</w:t>
      </w:r>
      <w:r w:rsidRPr="00D30B00">
        <w:rPr>
          <w:rFonts w:asciiTheme="minorHAnsi" w:hAnsiTheme="minorHAnsi"/>
          <w:b w:val="0"/>
          <w:sz w:val="24"/>
        </w:rPr>
        <w:t xml:space="preserve"> being designed to assess </w:t>
      </w:r>
      <w:r w:rsidR="00AA64A4" w:rsidRPr="00D30B00">
        <w:rPr>
          <w:rFonts w:asciiTheme="minorHAnsi" w:hAnsiTheme="minorHAnsi"/>
          <w:b w:val="0"/>
          <w:sz w:val="24"/>
        </w:rPr>
        <w:t xml:space="preserve">the noncognitive skills of </w:t>
      </w:r>
      <w:r w:rsidRPr="00D30B00">
        <w:rPr>
          <w:rFonts w:asciiTheme="minorHAnsi" w:hAnsiTheme="minorHAnsi"/>
          <w:b w:val="0"/>
          <w:sz w:val="24"/>
        </w:rPr>
        <w:t xml:space="preserve">students in </w:t>
      </w:r>
      <w:r w:rsidR="00DF219D" w:rsidRPr="00D30B00">
        <w:rPr>
          <w:rFonts w:asciiTheme="minorHAnsi" w:hAnsiTheme="minorHAnsi"/>
          <w:b w:val="0"/>
          <w:sz w:val="24"/>
        </w:rPr>
        <w:t>Middle (grades 6-8)</w:t>
      </w:r>
      <w:r w:rsidR="00DE150C" w:rsidRPr="00D30B00">
        <w:rPr>
          <w:rFonts w:asciiTheme="minorHAnsi" w:hAnsiTheme="minorHAnsi"/>
          <w:b w:val="0"/>
          <w:sz w:val="24"/>
        </w:rPr>
        <w:t xml:space="preserve"> and</w:t>
      </w:r>
      <w:r w:rsidR="00DF219D" w:rsidRPr="00D30B00">
        <w:rPr>
          <w:rFonts w:asciiTheme="minorHAnsi" w:hAnsiTheme="minorHAnsi"/>
          <w:b w:val="0"/>
          <w:sz w:val="24"/>
        </w:rPr>
        <w:t xml:space="preserve"> High School (grades </w:t>
      </w:r>
      <w:r w:rsidR="00DE150C" w:rsidRPr="00D30B00">
        <w:rPr>
          <w:rFonts w:asciiTheme="minorHAnsi" w:hAnsiTheme="minorHAnsi"/>
          <w:b w:val="0"/>
          <w:sz w:val="24"/>
        </w:rPr>
        <w:t>9-12</w:t>
      </w:r>
      <w:r w:rsidR="00DF219D" w:rsidRPr="00D30B00">
        <w:rPr>
          <w:rFonts w:asciiTheme="minorHAnsi" w:hAnsiTheme="minorHAnsi"/>
          <w:b w:val="0"/>
          <w:sz w:val="24"/>
        </w:rPr>
        <w:t>)</w:t>
      </w:r>
      <w:r w:rsidRPr="00D30B00">
        <w:rPr>
          <w:rFonts w:asciiTheme="minorHAnsi" w:hAnsiTheme="minorHAnsi"/>
          <w:b w:val="0"/>
          <w:sz w:val="24"/>
        </w:rPr>
        <w:t>.</w:t>
      </w:r>
      <w:r w:rsidRPr="00D30B00">
        <w:rPr>
          <w:rFonts w:asciiTheme="minorHAnsi" w:hAnsiTheme="minorHAnsi"/>
          <w:sz w:val="24"/>
        </w:rPr>
        <w:t xml:space="preserve"> </w:t>
      </w:r>
      <w:r w:rsidRPr="00D30B00">
        <w:rPr>
          <w:rFonts w:asciiTheme="minorHAnsi" w:hAnsiTheme="minorHAnsi"/>
          <w:b w:val="0"/>
          <w:bCs w:val="0"/>
          <w:sz w:val="24"/>
        </w:rPr>
        <w:t xml:space="preserve">Noncognitive </w:t>
      </w:r>
      <w:r w:rsidR="00AA64A4" w:rsidRPr="00D30B00">
        <w:rPr>
          <w:rFonts w:asciiTheme="minorHAnsi" w:hAnsiTheme="minorHAnsi"/>
          <w:b w:val="0"/>
          <w:bCs w:val="0"/>
          <w:sz w:val="24"/>
        </w:rPr>
        <w:t>skills</w:t>
      </w:r>
      <w:r w:rsidRPr="00D30B00">
        <w:rPr>
          <w:rFonts w:asciiTheme="minorHAnsi" w:hAnsiTheme="minorHAnsi"/>
          <w:b w:val="0"/>
          <w:bCs w:val="0"/>
          <w:sz w:val="24"/>
        </w:rPr>
        <w:t xml:space="preserve"> are personal characteristics that are distinct </w:t>
      </w:r>
      <w:r w:rsidRPr="00D30B00">
        <w:rPr>
          <w:rFonts w:asciiTheme="minorHAnsi" w:hAnsiTheme="minorHAnsi"/>
          <w:b w:val="0"/>
          <w:sz w:val="24"/>
        </w:rPr>
        <w:t xml:space="preserve">from cognitive factors, or intelligence, and are commonly referred to as </w:t>
      </w:r>
      <w:r w:rsidR="00996006" w:rsidRPr="00D30B00">
        <w:rPr>
          <w:rFonts w:asciiTheme="minorHAnsi" w:hAnsiTheme="minorHAnsi"/>
          <w:b w:val="0"/>
          <w:sz w:val="24"/>
        </w:rPr>
        <w:t xml:space="preserve">dispositions, psychosocial skills, </w:t>
      </w:r>
      <w:r w:rsidRPr="00D30B00">
        <w:rPr>
          <w:rFonts w:asciiTheme="minorHAnsi" w:hAnsiTheme="minorHAnsi"/>
          <w:b w:val="0"/>
          <w:sz w:val="24"/>
        </w:rPr>
        <w:t>personality, personal skills, and character traits (Kyllonen, Lipnevich, Burrus</w:t>
      </w:r>
      <w:r w:rsidR="00115A9E" w:rsidRPr="00D30B00">
        <w:rPr>
          <w:rFonts w:asciiTheme="minorHAnsi" w:hAnsiTheme="minorHAnsi"/>
          <w:b w:val="0"/>
          <w:sz w:val="24"/>
        </w:rPr>
        <w:t>,</w:t>
      </w:r>
      <w:r w:rsidRPr="00D30B00">
        <w:rPr>
          <w:rFonts w:asciiTheme="minorHAnsi" w:hAnsiTheme="minorHAnsi"/>
          <w:b w:val="0"/>
          <w:sz w:val="24"/>
        </w:rPr>
        <w:t xml:space="preserve"> &amp; Roberts, </w:t>
      </w:r>
      <w:r w:rsidR="002B64E2" w:rsidRPr="00D30B00">
        <w:rPr>
          <w:rFonts w:asciiTheme="minorHAnsi" w:hAnsiTheme="minorHAnsi"/>
          <w:b w:val="0"/>
          <w:sz w:val="24"/>
        </w:rPr>
        <w:t>2014</w:t>
      </w:r>
      <w:r w:rsidRPr="00D30B00">
        <w:rPr>
          <w:rFonts w:asciiTheme="minorHAnsi" w:hAnsiTheme="minorHAnsi"/>
          <w:b w:val="0"/>
          <w:sz w:val="24"/>
        </w:rPr>
        <w:t xml:space="preserve">). </w:t>
      </w:r>
      <w:r w:rsidR="009A32A4" w:rsidRPr="00D30B00">
        <w:rPr>
          <w:rFonts w:asciiTheme="minorHAnsi" w:hAnsiTheme="minorHAnsi"/>
          <w:b w:val="0"/>
          <w:sz w:val="24"/>
        </w:rPr>
        <w:t xml:space="preserve">The use of the term “noncognitive” is somewhat controversial in the literature (e.g., Duckworth &amp; Yeager, 2015) yet it is the most commonly used term for these skills, thus we also adopt this nomenclature. </w:t>
      </w:r>
      <w:r w:rsidR="00996006" w:rsidRPr="00D30B00">
        <w:rPr>
          <w:rFonts w:asciiTheme="minorHAnsi" w:hAnsiTheme="minorHAnsi"/>
          <w:b w:val="0"/>
          <w:sz w:val="24"/>
        </w:rPr>
        <w:t xml:space="preserve">Noncognitive </w:t>
      </w:r>
      <w:r w:rsidR="00AA64A4" w:rsidRPr="00D30B00">
        <w:rPr>
          <w:rFonts w:asciiTheme="minorHAnsi" w:hAnsiTheme="minorHAnsi"/>
          <w:b w:val="0"/>
          <w:sz w:val="24"/>
        </w:rPr>
        <w:t>skills</w:t>
      </w:r>
      <w:r w:rsidR="00996006" w:rsidRPr="00D30B00">
        <w:rPr>
          <w:rFonts w:asciiTheme="minorHAnsi" w:hAnsiTheme="minorHAnsi"/>
          <w:b w:val="0"/>
          <w:sz w:val="24"/>
        </w:rPr>
        <w:t xml:space="preserve"> have been shown to be predictive of success in school (e.g., Poropat, 2009), success at work (e.g., Hough &amp; Oswald, 2008), well-being (e.g.,</w:t>
      </w:r>
      <w:r w:rsidRPr="00D30B00">
        <w:rPr>
          <w:rFonts w:asciiTheme="minorHAnsi" w:hAnsiTheme="minorHAnsi" w:cs="MyriadPro-Regular"/>
          <w:b w:val="0"/>
          <w:sz w:val="24"/>
          <w:lang w:val="de-DE"/>
        </w:rPr>
        <w:t xml:space="preserve"> Steel, Schmidt, &amp; Shultz, 2008)</w:t>
      </w:r>
      <w:r w:rsidR="00996006" w:rsidRPr="00D30B00">
        <w:rPr>
          <w:rFonts w:asciiTheme="minorHAnsi" w:hAnsiTheme="minorHAnsi" w:cs="MyriadPro-Regular"/>
          <w:b w:val="0"/>
          <w:sz w:val="24"/>
          <w:lang w:val="de-DE"/>
        </w:rPr>
        <w:t>, and several other important life outcomes (</w:t>
      </w:r>
      <w:r w:rsidR="00287D15" w:rsidRPr="00D30B00">
        <w:rPr>
          <w:rFonts w:asciiTheme="minorHAnsi" w:hAnsiTheme="minorHAnsi" w:cs="MyriadPro-Regular"/>
          <w:b w:val="0"/>
          <w:sz w:val="24"/>
          <w:lang w:val="de-DE"/>
        </w:rPr>
        <w:t xml:space="preserve">e.g., </w:t>
      </w:r>
      <w:r w:rsidR="00565F97" w:rsidRPr="00D30B00">
        <w:rPr>
          <w:rFonts w:asciiTheme="minorHAnsi" w:hAnsiTheme="minorHAnsi" w:cs="MyriadPro-Regular"/>
          <w:b w:val="0"/>
          <w:sz w:val="24"/>
          <w:lang w:val="de-DE"/>
        </w:rPr>
        <w:t xml:space="preserve">Ozer &amp; Benet-Martinez, 2006; </w:t>
      </w:r>
      <w:r w:rsidR="00996006" w:rsidRPr="00D30B00">
        <w:rPr>
          <w:rFonts w:asciiTheme="minorHAnsi" w:hAnsiTheme="minorHAnsi" w:cs="MyriadPro-Regular"/>
          <w:b w:val="0"/>
          <w:sz w:val="24"/>
          <w:lang w:val="de-DE"/>
        </w:rPr>
        <w:t>Roberts, Kuncel, Shiner, et al., 2007)</w:t>
      </w:r>
      <w:r w:rsidRPr="00D30B00">
        <w:rPr>
          <w:rFonts w:asciiTheme="minorHAnsi" w:hAnsiTheme="minorHAnsi" w:cs="MyriadPro-Regular"/>
          <w:b w:val="0"/>
          <w:sz w:val="24"/>
          <w:lang w:val="de-DE"/>
        </w:rPr>
        <w:t xml:space="preserve">. </w:t>
      </w:r>
      <w:r w:rsidR="00996006" w:rsidRPr="00D30B00">
        <w:rPr>
          <w:rFonts w:asciiTheme="minorHAnsi" w:hAnsiTheme="minorHAnsi"/>
          <w:b w:val="0"/>
          <w:sz w:val="24"/>
        </w:rPr>
        <w:t xml:space="preserve"> </w:t>
      </w:r>
      <w:r w:rsidR="002B64E2" w:rsidRPr="00D30B00">
        <w:rPr>
          <w:rFonts w:asciiTheme="minorHAnsi" w:hAnsiTheme="minorHAnsi"/>
          <w:b w:val="0"/>
          <w:sz w:val="24"/>
        </w:rPr>
        <w:t>Furthermore, e</w:t>
      </w:r>
      <w:r w:rsidRPr="00D30B00">
        <w:rPr>
          <w:rFonts w:asciiTheme="minorHAnsi" w:hAnsiTheme="minorHAnsi"/>
          <w:b w:val="0"/>
          <w:sz w:val="24"/>
        </w:rPr>
        <w:t>merging research evidence suggests that these constructs are more amenable to change than previously thought (</w:t>
      </w:r>
      <w:r w:rsidR="00287D15" w:rsidRPr="00D30B00">
        <w:rPr>
          <w:rFonts w:asciiTheme="minorHAnsi" w:hAnsiTheme="minorHAnsi"/>
          <w:b w:val="0"/>
          <w:sz w:val="24"/>
        </w:rPr>
        <w:t xml:space="preserve">e.g., </w:t>
      </w:r>
      <w:r w:rsidR="00996006" w:rsidRPr="00D30B00">
        <w:rPr>
          <w:rFonts w:asciiTheme="minorHAnsi" w:hAnsiTheme="minorHAnsi"/>
          <w:b w:val="0"/>
          <w:sz w:val="24"/>
        </w:rPr>
        <w:t xml:space="preserve">Roberts, Walton, &amp; </w:t>
      </w:r>
      <w:r w:rsidRPr="00D30B00">
        <w:rPr>
          <w:rFonts w:asciiTheme="minorHAnsi" w:hAnsiTheme="minorHAnsi"/>
          <w:b w:val="0"/>
          <w:sz w:val="24"/>
        </w:rPr>
        <w:t>Viechtbauer, 2006</w:t>
      </w:r>
      <w:r w:rsidR="00996006" w:rsidRPr="00D30B00">
        <w:rPr>
          <w:rFonts w:asciiTheme="minorHAnsi" w:hAnsiTheme="minorHAnsi"/>
          <w:b w:val="0"/>
          <w:sz w:val="24"/>
        </w:rPr>
        <w:t>).</w:t>
      </w:r>
      <w:r w:rsidR="006A6EF9" w:rsidRPr="00D30B00">
        <w:rPr>
          <w:rFonts w:asciiTheme="minorHAnsi" w:hAnsiTheme="minorHAnsi"/>
          <w:b w:val="0"/>
          <w:sz w:val="24"/>
        </w:rPr>
        <w:t xml:space="preserve"> </w:t>
      </w:r>
    </w:p>
    <w:p w:rsidR="00CC4A36" w:rsidRPr="00D30B00" w:rsidRDefault="00CC4A36" w:rsidP="002B64E2">
      <w:pPr>
        <w:pStyle w:val="BodyText3"/>
        <w:tabs>
          <w:tab w:val="clear" w:pos="180"/>
        </w:tabs>
        <w:rPr>
          <w:rFonts w:asciiTheme="minorHAnsi" w:hAnsiTheme="minorHAnsi"/>
          <w:b w:val="0"/>
          <w:sz w:val="24"/>
        </w:rPr>
      </w:pPr>
    </w:p>
    <w:p w:rsidR="00CC4A36" w:rsidRPr="00D30B00" w:rsidRDefault="006A6EF9" w:rsidP="002B64E2">
      <w:pPr>
        <w:pStyle w:val="BodyText3"/>
        <w:tabs>
          <w:tab w:val="clear" w:pos="180"/>
        </w:tabs>
        <w:rPr>
          <w:rFonts w:asciiTheme="minorHAnsi" w:hAnsiTheme="minorHAnsi"/>
          <w:b w:val="0"/>
          <w:bCs w:val="0"/>
          <w:sz w:val="24"/>
        </w:rPr>
      </w:pPr>
      <w:r w:rsidRPr="00D30B00">
        <w:rPr>
          <w:rFonts w:asciiTheme="minorHAnsi" w:hAnsiTheme="minorHAnsi"/>
          <w:b w:val="0"/>
          <w:sz w:val="24"/>
        </w:rPr>
        <w:t xml:space="preserve">Nearly all noncognitive </w:t>
      </w:r>
      <w:r w:rsidR="00AA64A4" w:rsidRPr="00D30B00">
        <w:rPr>
          <w:rFonts w:asciiTheme="minorHAnsi" w:hAnsiTheme="minorHAnsi"/>
          <w:b w:val="0"/>
          <w:sz w:val="24"/>
        </w:rPr>
        <w:t>skills</w:t>
      </w:r>
      <w:r w:rsidRPr="00D30B00">
        <w:rPr>
          <w:rFonts w:asciiTheme="minorHAnsi" w:hAnsiTheme="minorHAnsi"/>
          <w:b w:val="0"/>
          <w:sz w:val="24"/>
        </w:rPr>
        <w:t xml:space="preserve"> can be </w:t>
      </w:r>
      <w:r w:rsidR="00506E25" w:rsidRPr="00D30B00">
        <w:rPr>
          <w:rFonts w:asciiTheme="minorHAnsi" w:hAnsiTheme="minorHAnsi"/>
          <w:b w:val="0"/>
          <w:sz w:val="24"/>
        </w:rPr>
        <w:t>cross</w:t>
      </w:r>
      <w:r w:rsidRPr="00D30B00">
        <w:rPr>
          <w:rFonts w:asciiTheme="minorHAnsi" w:hAnsiTheme="minorHAnsi"/>
          <w:b w:val="0"/>
          <w:sz w:val="24"/>
        </w:rPr>
        <w:t xml:space="preserve">walked to the </w:t>
      </w:r>
      <w:r w:rsidRPr="00D30B00">
        <w:rPr>
          <w:rFonts w:asciiTheme="minorHAnsi" w:hAnsiTheme="minorHAnsi"/>
          <w:b w:val="0"/>
          <w:i/>
          <w:sz w:val="24"/>
        </w:rPr>
        <w:t>Big Five</w:t>
      </w:r>
      <w:r w:rsidRPr="00D30B00">
        <w:rPr>
          <w:rFonts w:asciiTheme="minorHAnsi" w:hAnsiTheme="minorHAnsi"/>
          <w:b w:val="0"/>
          <w:sz w:val="24"/>
        </w:rPr>
        <w:t xml:space="preserve"> personality factors (Roberts, Martin, &amp; Olaru, 2015). </w:t>
      </w:r>
      <w:r w:rsidR="0086014D" w:rsidRPr="00D30B00">
        <w:rPr>
          <w:rFonts w:asciiTheme="minorHAnsi" w:hAnsiTheme="minorHAnsi"/>
          <w:b w:val="0"/>
          <w:sz w:val="24"/>
        </w:rPr>
        <w:t>Table 1 below provides descriptions of the Big Five constructs and</w:t>
      </w:r>
      <w:r w:rsidR="0080312D" w:rsidRPr="00D30B00">
        <w:rPr>
          <w:rFonts w:asciiTheme="minorHAnsi" w:hAnsiTheme="minorHAnsi"/>
          <w:b w:val="0"/>
          <w:sz w:val="24"/>
        </w:rPr>
        <w:t xml:space="preserve"> their</w:t>
      </w:r>
      <w:r w:rsidR="0086014D" w:rsidRPr="00D30B00">
        <w:rPr>
          <w:rFonts w:asciiTheme="minorHAnsi" w:hAnsiTheme="minorHAnsi"/>
          <w:b w:val="0"/>
          <w:sz w:val="24"/>
        </w:rPr>
        <w:t xml:space="preserve"> corresponding </w:t>
      </w:r>
      <w:r w:rsidR="00C94AB7" w:rsidRPr="00D30B00">
        <w:rPr>
          <w:rFonts w:asciiTheme="minorHAnsi" w:hAnsiTheme="minorHAnsi"/>
          <w:b w:val="0"/>
          <w:sz w:val="24"/>
        </w:rPr>
        <w:t>Tessera</w:t>
      </w:r>
      <w:r w:rsidR="00DE150C" w:rsidRPr="00D30B00">
        <w:rPr>
          <w:rFonts w:asciiTheme="minorHAnsi" w:hAnsiTheme="minorHAnsi"/>
          <w:b w:val="0"/>
          <w:sz w:val="24"/>
          <w:vertAlign w:val="superscript"/>
        </w:rPr>
        <w:t>TM</w:t>
      </w:r>
      <w:r w:rsidR="00C94AB7" w:rsidRPr="00D30B00">
        <w:rPr>
          <w:rFonts w:asciiTheme="minorHAnsi" w:hAnsiTheme="minorHAnsi"/>
          <w:b w:val="0"/>
          <w:sz w:val="24"/>
        </w:rPr>
        <w:t xml:space="preserve"> Noncognitive Assessment System </w:t>
      </w:r>
      <w:r w:rsidR="0086014D" w:rsidRPr="00D30B00">
        <w:rPr>
          <w:rFonts w:asciiTheme="minorHAnsi" w:hAnsiTheme="minorHAnsi"/>
          <w:b w:val="0"/>
          <w:sz w:val="24"/>
        </w:rPr>
        <w:t xml:space="preserve">facets. </w:t>
      </w:r>
      <w:r w:rsidRPr="00D30B00">
        <w:rPr>
          <w:rFonts w:asciiTheme="minorHAnsi" w:hAnsiTheme="minorHAnsi"/>
          <w:b w:val="0"/>
          <w:sz w:val="24"/>
        </w:rPr>
        <w:t>Because</w:t>
      </w:r>
      <w:r w:rsidR="00E12C36" w:rsidRPr="00D30B00">
        <w:rPr>
          <w:rFonts w:asciiTheme="minorHAnsi" w:hAnsiTheme="minorHAnsi" w:cstheme="minorHAnsi"/>
          <w:b w:val="0"/>
          <w:sz w:val="24"/>
        </w:rPr>
        <w:t xml:space="preserve"> the Big Five is supported by a large volume of compelling meta-analytic data showing its utility for education, workforce, and life across a wide array of </w:t>
      </w:r>
      <w:r w:rsidR="00DE150C" w:rsidRPr="00D30B00">
        <w:rPr>
          <w:rFonts w:asciiTheme="minorHAnsi" w:hAnsiTheme="minorHAnsi" w:cstheme="minorHAnsi"/>
          <w:b w:val="0"/>
          <w:sz w:val="24"/>
        </w:rPr>
        <w:t xml:space="preserve">valued </w:t>
      </w:r>
      <w:r w:rsidR="00E12C36" w:rsidRPr="00D30B00">
        <w:rPr>
          <w:rFonts w:asciiTheme="minorHAnsi" w:hAnsiTheme="minorHAnsi" w:cstheme="minorHAnsi"/>
          <w:b w:val="0"/>
          <w:sz w:val="24"/>
        </w:rPr>
        <w:t>outcomes, and in many countries, and because other frameworks are based on isolated studies, have limited support, and/or appear to predict only specific</w:t>
      </w:r>
      <w:r w:rsidR="00DE150C" w:rsidRPr="00D30B00">
        <w:rPr>
          <w:rFonts w:asciiTheme="minorHAnsi" w:hAnsiTheme="minorHAnsi" w:cstheme="minorHAnsi"/>
          <w:b w:val="0"/>
          <w:sz w:val="24"/>
        </w:rPr>
        <w:t>, rather shallow</w:t>
      </w:r>
      <w:r w:rsidR="00E12C36" w:rsidRPr="00D30B00">
        <w:rPr>
          <w:rFonts w:asciiTheme="minorHAnsi" w:hAnsiTheme="minorHAnsi" w:cstheme="minorHAnsi"/>
          <w:b w:val="0"/>
          <w:sz w:val="24"/>
        </w:rPr>
        <w:t xml:space="preserve"> outcomes</w:t>
      </w:r>
      <w:r w:rsidR="00287D15" w:rsidRPr="00D30B00">
        <w:rPr>
          <w:rFonts w:asciiTheme="minorHAnsi" w:hAnsiTheme="minorHAnsi" w:cstheme="minorHAnsi"/>
          <w:b w:val="0"/>
          <w:sz w:val="24"/>
        </w:rPr>
        <w:t xml:space="preserve"> (see e.g., Kyllonen et al., 2014; Roberts et al., 2015)</w:t>
      </w:r>
      <w:r w:rsidR="00AA64A4" w:rsidRPr="00D30B00">
        <w:rPr>
          <w:rFonts w:asciiTheme="minorHAnsi" w:hAnsiTheme="minorHAnsi" w:cstheme="minorHAnsi"/>
          <w:b w:val="0"/>
          <w:sz w:val="24"/>
        </w:rPr>
        <w:t xml:space="preserve">, </w:t>
      </w:r>
      <w:r w:rsidR="00E12C36" w:rsidRPr="00D30B00">
        <w:rPr>
          <w:rFonts w:asciiTheme="minorHAnsi" w:hAnsiTheme="minorHAnsi" w:cstheme="minorHAnsi"/>
          <w:b w:val="0"/>
          <w:sz w:val="24"/>
        </w:rPr>
        <w:t xml:space="preserve">it is used as the organizing framework for the </w:t>
      </w:r>
      <w:r w:rsidR="00C94AB7" w:rsidRPr="00D30B00">
        <w:rPr>
          <w:rFonts w:asciiTheme="minorHAnsi" w:hAnsiTheme="minorHAnsi" w:cstheme="minorHAnsi"/>
          <w:b w:val="0"/>
          <w:sz w:val="24"/>
        </w:rPr>
        <w:t>Tessera</w:t>
      </w:r>
      <w:r w:rsidR="00DE150C" w:rsidRPr="00D30B00">
        <w:rPr>
          <w:rFonts w:asciiTheme="minorHAnsi" w:hAnsiTheme="minorHAnsi"/>
          <w:b w:val="0"/>
          <w:sz w:val="24"/>
          <w:vertAlign w:val="superscript"/>
        </w:rPr>
        <w:t>TM</w:t>
      </w:r>
      <w:r w:rsidR="00C94AB7" w:rsidRPr="00D30B00">
        <w:rPr>
          <w:rFonts w:asciiTheme="minorHAnsi" w:hAnsiTheme="minorHAnsi" w:cstheme="minorHAnsi"/>
          <w:b w:val="0"/>
          <w:sz w:val="24"/>
        </w:rPr>
        <w:t xml:space="preserve"> Noncognitive Assessment System</w:t>
      </w:r>
      <w:r w:rsidR="00287D15" w:rsidRPr="00D30B00">
        <w:rPr>
          <w:rFonts w:asciiTheme="minorHAnsi" w:hAnsiTheme="minorHAnsi" w:cstheme="minorHAnsi"/>
          <w:b w:val="0"/>
          <w:sz w:val="24"/>
        </w:rPr>
        <w:t>.</w:t>
      </w:r>
    </w:p>
    <w:p w:rsidR="00CC4A36" w:rsidRPr="00D30B00" w:rsidRDefault="00CC4A36" w:rsidP="002B64E2">
      <w:pPr>
        <w:pStyle w:val="BodyText3"/>
        <w:tabs>
          <w:tab w:val="clear" w:pos="180"/>
        </w:tabs>
        <w:rPr>
          <w:rFonts w:asciiTheme="minorHAnsi" w:hAnsiTheme="minorHAnsi"/>
          <w:b w:val="0"/>
          <w:bCs w:val="0"/>
          <w:sz w:val="24"/>
        </w:rPr>
      </w:pPr>
    </w:p>
    <w:p w:rsidR="00CC4A36" w:rsidRDefault="00CC4A36">
      <w:r>
        <w:br w:type="page"/>
      </w:r>
    </w:p>
    <w:p w:rsidR="009F3ABA" w:rsidRDefault="009F3ABA" w:rsidP="00CC4A36">
      <w:pPr>
        <w:spacing w:after="0" w:line="240" w:lineRule="auto"/>
        <w:jc w:val="center"/>
        <w:rPr>
          <w:b/>
        </w:rPr>
        <w:sectPr w:rsidR="009F3ABA" w:rsidSect="003369A1">
          <w:pgSz w:w="12240" w:h="15840"/>
          <w:pgMar w:top="1440" w:right="1440" w:bottom="1440" w:left="1440" w:header="720" w:footer="720" w:gutter="0"/>
          <w:cols w:space="720"/>
          <w:docGrid w:linePitch="360"/>
        </w:sectPr>
      </w:pPr>
    </w:p>
    <w:p w:rsidR="00871562" w:rsidRPr="00D30B00" w:rsidRDefault="00E12C36" w:rsidP="00CC4A36">
      <w:pPr>
        <w:spacing w:after="0" w:line="240" w:lineRule="auto"/>
        <w:jc w:val="center"/>
        <w:rPr>
          <w:b/>
          <w:sz w:val="24"/>
          <w:szCs w:val="24"/>
        </w:rPr>
      </w:pPr>
      <w:r w:rsidRPr="00D30B00">
        <w:rPr>
          <w:b/>
          <w:sz w:val="24"/>
          <w:szCs w:val="24"/>
        </w:rPr>
        <w:lastRenderedPageBreak/>
        <w:t xml:space="preserve">Table 1. </w:t>
      </w:r>
      <w:r w:rsidR="00C94AB7" w:rsidRPr="00D30B00">
        <w:rPr>
          <w:b/>
          <w:sz w:val="24"/>
          <w:szCs w:val="24"/>
        </w:rPr>
        <w:t>Tessera</w:t>
      </w:r>
      <w:r w:rsidR="00D30B00" w:rsidRPr="00D30B00">
        <w:rPr>
          <w:b/>
          <w:sz w:val="24"/>
          <w:szCs w:val="24"/>
          <w:vertAlign w:val="superscript"/>
        </w:rPr>
        <w:t>TM</w:t>
      </w:r>
      <w:r w:rsidR="00C94AB7" w:rsidRPr="00D30B00">
        <w:rPr>
          <w:b/>
          <w:sz w:val="24"/>
          <w:szCs w:val="24"/>
        </w:rPr>
        <w:t xml:space="preserve"> Noncognitive Assessment System </w:t>
      </w:r>
      <w:r w:rsidRPr="00D30B00">
        <w:rPr>
          <w:b/>
          <w:sz w:val="24"/>
          <w:szCs w:val="24"/>
        </w:rPr>
        <w:t>constructs,</w:t>
      </w:r>
      <w:r w:rsidR="00CC4A36" w:rsidRPr="00D30B00">
        <w:rPr>
          <w:b/>
          <w:sz w:val="24"/>
          <w:szCs w:val="24"/>
        </w:rPr>
        <w:t xml:space="preserve"> facets, </w:t>
      </w:r>
      <w:r w:rsidR="00C9309F" w:rsidRPr="00D30B00">
        <w:rPr>
          <w:b/>
          <w:sz w:val="24"/>
          <w:szCs w:val="24"/>
        </w:rPr>
        <w:t xml:space="preserve">labels, </w:t>
      </w:r>
      <w:r w:rsidR="00CC4A36" w:rsidRPr="00D30B00">
        <w:rPr>
          <w:b/>
          <w:sz w:val="24"/>
          <w:szCs w:val="24"/>
        </w:rPr>
        <w:t>and their definitions</w:t>
      </w:r>
    </w:p>
    <w:p w:rsidR="009F3ABA" w:rsidRDefault="009F3ABA" w:rsidP="00CC4A36">
      <w:pPr>
        <w:spacing w:after="0" w:line="240" w:lineRule="auto"/>
        <w:jc w:val="center"/>
        <w:rPr>
          <w:b/>
        </w:rPr>
      </w:pPr>
    </w:p>
    <w:tbl>
      <w:tblPr>
        <w:tblStyle w:val="TableGrid"/>
        <w:tblW w:w="13068" w:type="dxa"/>
        <w:tblLayout w:type="fixed"/>
        <w:tblLook w:val="04A0" w:firstRow="1" w:lastRow="0" w:firstColumn="1" w:lastColumn="0" w:noHBand="0" w:noVBand="1"/>
      </w:tblPr>
      <w:tblGrid>
        <w:gridCol w:w="2088"/>
        <w:gridCol w:w="2880"/>
        <w:gridCol w:w="8100"/>
      </w:tblGrid>
      <w:tr w:rsidR="00D30B00" w:rsidTr="00D30B00">
        <w:tc>
          <w:tcPr>
            <w:tcW w:w="2088" w:type="dxa"/>
            <w:vAlign w:val="center"/>
          </w:tcPr>
          <w:p w:rsidR="00D30B00" w:rsidRPr="00D30B00" w:rsidRDefault="00D30B00" w:rsidP="001E38DD">
            <w:pPr>
              <w:jc w:val="center"/>
              <w:rPr>
                <w:sz w:val="24"/>
                <w:szCs w:val="24"/>
              </w:rPr>
            </w:pPr>
            <w:r w:rsidRPr="00D30B00">
              <w:rPr>
                <w:b/>
                <w:bCs/>
                <w:sz w:val="24"/>
                <w:szCs w:val="24"/>
              </w:rPr>
              <w:t>Tessera</w:t>
            </w:r>
            <w:r w:rsidR="001E38DD" w:rsidRPr="001E38DD">
              <w:rPr>
                <w:b/>
                <w:bCs/>
                <w:sz w:val="24"/>
                <w:szCs w:val="24"/>
                <w:vertAlign w:val="superscript"/>
              </w:rPr>
              <w:t>TM</w:t>
            </w:r>
            <w:r w:rsidR="001E38DD">
              <w:rPr>
                <w:b/>
                <w:bCs/>
                <w:sz w:val="24"/>
                <w:szCs w:val="24"/>
              </w:rPr>
              <w:t xml:space="preserve"> </w:t>
            </w:r>
            <w:r w:rsidRPr="00D30B00">
              <w:rPr>
                <w:b/>
                <w:bCs/>
                <w:sz w:val="24"/>
                <w:szCs w:val="24"/>
              </w:rPr>
              <w:t>Construct</w:t>
            </w:r>
            <w:r>
              <w:rPr>
                <w:b/>
                <w:bCs/>
                <w:sz w:val="24"/>
                <w:szCs w:val="24"/>
              </w:rPr>
              <w:t xml:space="preserve"> </w:t>
            </w:r>
            <w:r w:rsidRPr="00D30B00">
              <w:rPr>
                <w:b/>
                <w:bCs/>
                <w:sz w:val="24"/>
                <w:szCs w:val="24"/>
              </w:rPr>
              <w:t>/</w:t>
            </w:r>
            <w:r>
              <w:rPr>
                <w:b/>
                <w:bCs/>
                <w:sz w:val="24"/>
                <w:szCs w:val="24"/>
              </w:rPr>
              <w:t xml:space="preserve"> </w:t>
            </w:r>
            <w:r w:rsidRPr="00D30B00">
              <w:rPr>
                <w:b/>
                <w:bCs/>
                <w:sz w:val="24"/>
                <w:szCs w:val="24"/>
              </w:rPr>
              <w:t>Facet</w:t>
            </w:r>
            <w:r>
              <w:rPr>
                <w:b/>
                <w:bCs/>
                <w:sz w:val="24"/>
                <w:szCs w:val="24"/>
              </w:rPr>
              <w:t xml:space="preserve"> </w:t>
            </w:r>
          </w:p>
        </w:tc>
        <w:tc>
          <w:tcPr>
            <w:tcW w:w="2880" w:type="dxa"/>
            <w:vAlign w:val="center"/>
          </w:tcPr>
          <w:p w:rsidR="00D30B00" w:rsidRPr="00D30B00" w:rsidRDefault="00D30B00" w:rsidP="00CB149C">
            <w:pPr>
              <w:jc w:val="center"/>
              <w:rPr>
                <w:b/>
                <w:bCs/>
                <w:sz w:val="24"/>
                <w:szCs w:val="24"/>
              </w:rPr>
            </w:pPr>
            <w:r w:rsidRPr="00D30B00">
              <w:rPr>
                <w:b/>
                <w:bCs/>
                <w:sz w:val="24"/>
                <w:szCs w:val="24"/>
              </w:rPr>
              <w:t>Big Five</w:t>
            </w:r>
          </w:p>
          <w:p w:rsidR="00D30B00" w:rsidRPr="00D30B00" w:rsidRDefault="00D30B00" w:rsidP="00CB149C">
            <w:pPr>
              <w:jc w:val="center"/>
              <w:rPr>
                <w:sz w:val="24"/>
                <w:szCs w:val="24"/>
              </w:rPr>
            </w:pPr>
            <w:r w:rsidRPr="00D30B00">
              <w:rPr>
                <w:b/>
                <w:bCs/>
                <w:sz w:val="24"/>
                <w:szCs w:val="24"/>
              </w:rPr>
              <w:t>Construct / Facet</w:t>
            </w:r>
          </w:p>
        </w:tc>
        <w:tc>
          <w:tcPr>
            <w:tcW w:w="8100" w:type="dxa"/>
            <w:vAlign w:val="center"/>
          </w:tcPr>
          <w:p w:rsidR="00D30B00" w:rsidRPr="00D30B00" w:rsidRDefault="00D30B00">
            <w:pPr>
              <w:jc w:val="center"/>
              <w:rPr>
                <w:b/>
                <w:bCs/>
                <w:sz w:val="24"/>
                <w:szCs w:val="24"/>
              </w:rPr>
            </w:pPr>
            <w:r w:rsidRPr="00D30B00">
              <w:rPr>
                <w:b/>
                <w:bCs/>
                <w:sz w:val="24"/>
                <w:szCs w:val="24"/>
              </w:rPr>
              <w:t>Definition</w:t>
            </w:r>
          </w:p>
        </w:tc>
      </w:tr>
      <w:tr w:rsidR="00D30B00" w:rsidTr="00D30B00">
        <w:tc>
          <w:tcPr>
            <w:tcW w:w="2088" w:type="dxa"/>
            <w:shd w:val="clear" w:color="auto" w:fill="E7E6E6" w:themeFill="background2"/>
            <w:vAlign w:val="center"/>
          </w:tcPr>
          <w:p w:rsidR="00D30B00" w:rsidRPr="00D30B00" w:rsidRDefault="00D30B00" w:rsidP="002F1EF8">
            <w:pPr>
              <w:spacing w:after="160" w:line="259" w:lineRule="auto"/>
              <w:rPr>
                <w:i/>
                <w:sz w:val="24"/>
                <w:szCs w:val="24"/>
              </w:rPr>
            </w:pPr>
            <w:r w:rsidRPr="00D30B00">
              <w:rPr>
                <w:i/>
                <w:sz w:val="24"/>
                <w:szCs w:val="24"/>
              </w:rPr>
              <w:t>N/A</w:t>
            </w:r>
          </w:p>
        </w:tc>
        <w:tc>
          <w:tcPr>
            <w:tcW w:w="2880" w:type="dxa"/>
            <w:shd w:val="clear" w:color="auto" w:fill="E7E6E6" w:themeFill="background2"/>
            <w:vAlign w:val="center"/>
          </w:tcPr>
          <w:p w:rsidR="00D30B00" w:rsidRPr="00D30B00" w:rsidRDefault="00D30B00" w:rsidP="00CB149C">
            <w:pPr>
              <w:rPr>
                <w:sz w:val="24"/>
                <w:szCs w:val="24"/>
              </w:rPr>
            </w:pPr>
            <w:r w:rsidRPr="00D30B00">
              <w:rPr>
                <w:b/>
                <w:bCs/>
                <w:sz w:val="24"/>
                <w:szCs w:val="24"/>
              </w:rPr>
              <w:t>CONSCIENTIOUSNESS</w:t>
            </w:r>
          </w:p>
        </w:tc>
        <w:tc>
          <w:tcPr>
            <w:tcW w:w="8100" w:type="dxa"/>
            <w:shd w:val="clear" w:color="auto" w:fill="E7E6E6" w:themeFill="background2"/>
            <w:vAlign w:val="center"/>
          </w:tcPr>
          <w:p w:rsidR="00D30B00" w:rsidRPr="00D30B00" w:rsidRDefault="00D30B00" w:rsidP="002F1EF8">
            <w:pPr>
              <w:autoSpaceDE w:val="0"/>
              <w:autoSpaceDN w:val="0"/>
              <w:adjustRightInd w:val="0"/>
              <w:rPr>
                <w:rFonts w:cs="TimesNewRomanPSMT"/>
                <w:sz w:val="24"/>
                <w:szCs w:val="24"/>
              </w:rPr>
            </w:pPr>
            <w:r w:rsidRPr="00D30B00">
              <w:rPr>
                <w:rFonts w:cs="TimesNewRomanPSMT"/>
                <w:sz w:val="24"/>
                <w:szCs w:val="24"/>
              </w:rPr>
              <w:t>Scores on this dimension are a function of personal goal setting, trying to succeed at those goals, and striving to be competent in school work (and related) activities.  Scores also reflect dependability, commitment to doing school work (and related activities) correctly and carefully, and being attentive to details.</w:t>
            </w:r>
          </w:p>
        </w:tc>
      </w:tr>
      <w:tr w:rsidR="00D30B00" w:rsidTr="00D30B00">
        <w:tc>
          <w:tcPr>
            <w:tcW w:w="2088" w:type="dxa"/>
            <w:vAlign w:val="center"/>
          </w:tcPr>
          <w:p w:rsidR="00D30B00" w:rsidRPr="00D30B00" w:rsidRDefault="00D30B00" w:rsidP="002F1EF8">
            <w:pPr>
              <w:spacing w:after="160" w:line="259" w:lineRule="auto"/>
              <w:rPr>
                <w:i/>
                <w:sz w:val="24"/>
                <w:szCs w:val="24"/>
              </w:rPr>
            </w:pPr>
            <w:r w:rsidRPr="00D30B00">
              <w:rPr>
                <w:i/>
                <w:sz w:val="24"/>
                <w:szCs w:val="24"/>
              </w:rPr>
              <w:t>Organization</w:t>
            </w:r>
            <w:r>
              <w:rPr>
                <w:i/>
                <w:sz w:val="24"/>
                <w:szCs w:val="24"/>
              </w:rPr>
              <w:t xml:space="preserve"> </w:t>
            </w:r>
            <w:r w:rsidRPr="00D30B00">
              <w:rPr>
                <w:i/>
                <w:sz w:val="24"/>
                <w:szCs w:val="24"/>
              </w:rPr>
              <w:t>/</w:t>
            </w:r>
            <w:r>
              <w:rPr>
                <w:i/>
                <w:sz w:val="24"/>
                <w:szCs w:val="24"/>
              </w:rPr>
              <w:t xml:space="preserve"> </w:t>
            </w:r>
            <w:r w:rsidRPr="00D30B00">
              <w:rPr>
                <w:i/>
                <w:sz w:val="24"/>
                <w:szCs w:val="24"/>
              </w:rPr>
              <w:t>Responsibility</w:t>
            </w:r>
          </w:p>
        </w:tc>
        <w:tc>
          <w:tcPr>
            <w:tcW w:w="2880" w:type="dxa"/>
            <w:vAlign w:val="center"/>
          </w:tcPr>
          <w:p w:rsidR="00D30B00" w:rsidRPr="00D30B00" w:rsidRDefault="00D30B00" w:rsidP="00CB149C">
            <w:pPr>
              <w:ind w:left="339"/>
              <w:rPr>
                <w:sz w:val="24"/>
                <w:szCs w:val="24"/>
              </w:rPr>
            </w:pPr>
            <w:r w:rsidRPr="00D30B00">
              <w:rPr>
                <w:b/>
                <w:bCs/>
                <w:sz w:val="24"/>
                <w:szCs w:val="24"/>
              </w:rPr>
              <w:t>Dependability</w:t>
            </w:r>
            <w:r>
              <w:rPr>
                <w:b/>
                <w:bCs/>
                <w:sz w:val="24"/>
                <w:szCs w:val="24"/>
              </w:rPr>
              <w:t xml:space="preserve"> </w:t>
            </w:r>
            <w:r w:rsidRPr="00D30B00">
              <w:rPr>
                <w:b/>
                <w:bCs/>
                <w:sz w:val="24"/>
                <w:szCs w:val="24"/>
              </w:rPr>
              <w:t>/</w:t>
            </w:r>
            <w:r>
              <w:rPr>
                <w:b/>
                <w:bCs/>
                <w:sz w:val="24"/>
                <w:szCs w:val="24"/>
              </w:rPr>
              <w:t xml:space="preserve"> </w:t>
            </w:r>
            <w:r w:rsidRPr="00D30B00">
              <w:rPr>
                <w:b/>
                <w:bCs/>
                <w:sz w:val="24"/>
                <w:szCs w:val="24"/>
              </w:rPr>
              <w:t>Attention to Detail</w:t>
            </w:r>
          </w:p>
        </w:tc>
        <w:tc>
          <w:tcPr>
            <w:tcW w:w="8100" w:type="dxa"/>
            <w:vAlign w:val="center"/>
          </w:tcPr>
          <w:p w:rsidR="00D30B00" w:rsidRPr="00D30B00" w:rsidRDefault="00D30B00" w:rsidP="002F1EF8">
            <w:pPr>
              <w:autoSpaceDE w:val="0"/>
              <w:autoSpaceDN w:val="0"/>
              <w:adjustRightInd w:val="0"/>
              <w:rPr>
                <w:rFonts w:cs="TimesNewRomanPSMT"/>
                <w:sz w:val="24"/>
                <w:szCs w:val="24"/>
              </w:rPr>
            </w:pPr>
            <w:r w:rsidRPr="00D30B00">
              <w:rPr>
                <w:rFonts w:cs="TimesNewRomanPSMT"/>
                <w:sz w:val="24"/>
                <w:szCs w:val="24"/>
              </w:rPr>
              <w:t>Individual difference reflecting the extent that a student is reliable, responsible, and dependable, pays attention to detail, and fulfills school (and related) obligations.</w:t>
            </w:r>
          </w:p>
        </w:tc>
      </w:tr>
      <w:tr w:rsidR="00D30B00" w:rsidTr="00D30B00">
        <w:tc>
          <w:tcPr>
            <w:tcW w:w="2088" w:type="dxa"/>
            <w:shd w:val="clear" w:color="auto" w:fill="E7E6E6" w:themeFill="background2"/>
            <w:vAlign w:val="center"/>
          </w:tcPr>
          <w:p w:rsidR="00D30B00" w:rsidRPr="00D30B00" w:rsidRDefault="00D30B00" w:rsidP="002F1EF8">
            <w:pPr>
              <w:spacing w:after="160" w:line="259" w:lineRule="auto"/>
              <w:rPr>
                <w:i/>
                <w:sz w:val="24"/>
                <w:szCs w:val="24"/>
              </w:rPr>
            </w:pPr>
            <w:r w:rsidRPr="00D30B00">
              <w:rPr>
                <w:i/>
                <w:sz w:val="24"/>
                <w:szCs w:val="24"/>
              </w:rPr>
              <w:t>Drive</w:t>
            </w:r>
            <w:r>
              <w:rPr>
                <w:i/>
                <w:sz w:val="24"/>
                <w:szCs w:val="24"/>
              </w:rPr>
              <w:t xml:space="preserve"> </w:t>
            </w:r>
            <w:r w:rsidRPr="00D30B00">
              <w:rPr>
                <w:i/>
                <w:sz w:val="24"/>
                <w:szCs w:val="24"/>
              </w:rPr>
              <w:t xml:space="preserve"> /</w:t>
            </w:r>
            <w:r>
              <w:rPr>
                <w:i/>
                <w:sz w:val="24"/>
                <w:szCs w:val="24"/>
              </w:rPr>
              <w:t xml:space="preserve"> </w:t>
            </w:r>
            <w:r w:rsidRPr="00D30B00">
              <w:rPr>
                <w:i/>
                <w:sz w:val="24"/>
                <w:szCs w:val="24"/>
              </w:rPr>
              <w:t>Grit</w:t>
            </w:r>
          </w:p>
        </w:tc>
        <w:tc>
          <w:tcPr>
            <w:tcW w:w="2880" w:type="dxa"/>
            <w:shd w:val="clear" w:color="auto" w:fill="E7E6E6" w:themeFill="background2"/>
            <w:vAlign w:val="center"/>
          </w:tcPr>
          <w:p w:rsidR="00D30B00" w:rsidRPr="00D30B00" w:rsidRDefault="00D30B00" w:rsidP="00CB149C">
            <w:pPr>
              <w:ind w:left="339"/>
              <w:rPr>
                <w:sz w:val="24"/>
                <w:szCs w:val="24"/>
              </w:rPr>
            </w:pPr>
            <w:r w:rsidRPr="00D30B00">
              <w:rPr>
                <w:b/>
                <w:bCs/>
                <w:sz w:val="24"/>
                <w:szCs w:val="24"/>
              </w:rPr>
              <w:t>Achievement-Effort</w:t>
            </w:r>
            <w:r>
              <w:rPr>
                <w:b/>
                <w:bCs/>
                <w:sz w:val="24"/>
                <w:szCs w:val="24"/>
              </w:rPr>
              <w:t xml:space="preserve"> </w:t>
            </w:r>
            <w:r w:rsidRPr="00D30B00">
              <w:rPr>
                <w:b/>
                <w:bCs/>
                <w:sz w:val="24"/>
                <w:szCs w:val="24"/>
              </w:rPr>
              <w:t>/</w:t>
            </w:r>
            <w:r>
              <w:rPr>
                <w:b/>
                <w:bCs/>
                <w:sz w:val="24"/>
                <w:szCs w:val="24"/>
              </w:rPr>
              <w:t xml:space="preserve"> </w:t>
            </w:r>
            <w:r w:rsidRPr="00D30B00">
              <w:rPr>
                <w:b/>
                <w:bCs/>
                <w:sz w:val="24"/>
                <w:szCs w:val="24"/>
              </w:rPr>
              <w:t>Persistence</w:t>
            </w:r>
          </w:p>
        </w:tc>
        <w:tc>
          <w:tcPr>
            <w:tcW w:w="8100" w:type="dxa"/>
            <w:shd w:val="clear" w:color="auto" w:fill="E7E6E6" w:themeFill="background2"/>
            <w:vAlign w:val="center"/>
          </w:tcPr>
          <w:p w:rsidR="00D30B00" w:rsidRPr="00D30B00" w:rsidRDefault="00D30B00" w:rsidP="002F1EF8">
            <w:pPr>
              <w:autoSpaceDE w:val="0"/>
              <w:autoSpaceDN w:val="0"/>
              <w:adjustRightInd w:val="0"/>
              <w:rPr>
                <w:rFonts w:cs="TimesNewRomanPSMT"/>
                <w:sz w:val="24"/>
                <w:szCs w:val="24"/>
              </w:rPr>
            </w:pPr>
            <w:r w:rsidRPr="00D30B00">
              <w:rPr>
                <w:rFonts w:cs="TimesNewRomanPSMT"/>
                <w:sz w:val="24"/>
                <w:szCs w:val="24"/>
              </w:rPr>
              <w:t xml:space="preserve">Individual difference reflecting the extent that a student expends effort, and establishes and maintains personally challenging achievement goals, in the process exerting effort towards task mastery in different subject domains. </w:t>
            </w:r>
          </w:p>
        </w:tc>
      </w:tr>
      <w:tr w:rsidR="00D30B00" w:rsidTr="00D30B00">
        <w:tc>
          <w:tcPr>
            <w:tcW w:w="2088" w:type="dxa"/>
            <w:vAlign w:val="center"/>
          </w:tcPr>
          <w:p w:rsidR="00D30B00" w:rsidRPr="00D30B00" w:rsidRDefault="00D30B00" w:rsidP="002F1EF8">
            <w:pPr>
              <w:spacing w:after="160" w:line="259" w:lineRule="auto"/>
              <w:rPr>
                <w:i/>
                <w:sz w:val="24"/>
                <w:szCs w:val="24"/>
              </w:rPr>
            </w:pPr>
            <w:r w:rsidRPr="00D30B00">
              <w:rPr>
                <w:i/>
                <w:sz w:val="24"/>
                <w:szCs w:val="24"/>
              </w:rPr>
              <w:t>Teamwork</w:t>
            </w:r>
            <w:r>
              <w:rPr>
                <w:i/>
                <w:sz w:val="24"/>
                <w:szCs w:val="24"/>
              </w:rPr>
              <w:t xml:space="preserve"> </w:t>
            </w:r>
            <w:r w:rsidRPr="00D30B00">
              <w:rPr>
                <w:i/>
                <w:sz w:val="24"/>
                <w:szCs w:val="24"/>
              </w:rPr>
              <w:t>/</w:t>
            </w:r>
            <w:r>
              <w:rPr>
                <w:i/>
                <w:sz w:val="24"/>
                <w:szCs w:val="24"/>
              </w:rPr>
              <w:t xml:space="preserve"> </w:t>
            </w:r>
            <w:r w:rsidRPr="00D30B00">
              <w:rPr>
                <w:i/>
                <w:sz w:val="24"/>
                <w:szCs w:val="24"/>
              </w:rPr>
              <w:t>Cooperation</w:t>
            </w:r>
          </w:p>
        </w:tc>
        <w:tc>
          <w:tcPr>
            <w:tcW w:w="2880" w:type="dxa"/>
            <w:vAlign w:val="center"/>
          </w:tcPr>
          <w:p w:rsidR="00D30B00" w:rsidRPr="00D30B00" w:rsidRDefault="00D30B00" w:rsidP="00CB149C">
            <w:pPr>
              <w:rPr>
                <w:sz w:val="24"/>
                <w:szCs w:val="24"/>
              </w:rPr>
            </w:pPr>
            <w:r w:rsidRPr="00D30B00">
              <w:rPr>
                <w:b/>
                <w:bCs/>
                <w:sz w:val="24"/>
                <w:szCs w:val="24"/>
              </w:rPr>
              <w:t>AGREEABLENESS</w:t>
            </w:r>
          </w:p>
        </w:tc>
        <w:tc>
          <w:tcPr>
            <w:tcW w:w="8100" w:type="dxa"/>
            <w:vAlign w:val="center"/>
          </w:tcPr>
          <w:p w:rsidR="00D30B00" w:rsidRPr="00D30B00" w:rsidRDefault="00D30B00" w:rsidP="002F1EF8">
            <w:pPr>
              <w:rPr>
                <w:b/>
                <w:bCs/>
                <w:sz w:val="24"/>
                <w:szCs w:val="24"/>
              </w:rPr>
            </w:pPr>
            <w:r w:rsidRPr="00D30B00">
              <w:rPr>
                <w:rFonts w:cs="TimesNewRomanPSMT"/>
                <w:sz w:val="24"/>
                <w:szCs w:val="24"/>
              </w:rPr>
              <w:t>Scores on this dimension are a function of a student being pleasant, cooperative, sensitive to others, easy to get along with, and having a preference for associating with other members of the school community, broadly writ.</w:t>
            </w:r>
          </w:p>
        </w:tc>
      </w:tr>
      <w:tr w:rsidR="00D30B00" w:rsidTr="00D30B00">
        <w:tc>
          <w:tcPr>
            <w:tcW w:w="2088" w:type="dxa"/>
            <w:shd w:val="clear" w:color="auto" w:fill="E7E6E6" w:themeFill="background2"/>
            <w:vAlign w:val="center"/>
          </w:tcPr>
          <w:p w:rsidR="00D30B00" w:rsidRPr="00D30B00" w:rsidRDefault="00D30B00" w:rsidP="002F1EF8">
            <w:pPr>
              <w:spacing w:after="160" w:line="259" w:lineRule="auto"/>
              <w:rPr>
                <w:i/>
                <w:sz w:val="24"/>
                <w:szCs w:val="24"/>
              </w:rPr>
            </w:pPr>
            <w:r w:rsidRPr="00D30B00">
              <w:rPr>
                <w:i/>
                <w:sz w:val="24"/>
                <w:szCs w:val="24"/>
              </w:rPr>
              <w:t>Composure</w:t>
            </w:r>
            <w:r>
              <w:rPr>
                <w:i/>
                <w:sz w:val="24"/>
                <w:szCs w:val="24"/>
              </w:rPr>
              <w:t xml:space="preserve"> </w:t>
            </w:r>
            <w:r w:rsidRPr="00D30B00">
              <w:rPr>
                <w:i/>
                <w:sz w:val="24"/>
                <w:szCs w:val="24"/>
              </w:rPr>
              <w:t>/</w:t>
            </w:r>
            <w:r>
              <w:rPr>
                <w:i/>
                <w:sz w:val="24"/>
                <w:szCs w:val="24"/>
              </w:rPr>
              <w:t xml:space="preserve"> </w:t>
            </w:r>
            <w:r w:rsidRPr="00D30B00">
              <w:rPr>
                <w:i/>
                <w:sz w:val="24"/>
                <w:szCs w:val="24"/>
              </w:rPr>
              <w:t>Resilience</w:t>
            </w:r>
          </w:p>
        </w:tc>
        <w:tc>
          <w:tcPr>
            <w:tcW w:w="2880" w:type="dxa"/>
            <w:shd w:val="clear" w:color="auto" w:fill="E7E6E6" w:themeFill="background2"/>
            <w:vAlign w:val="center"/>
          </w:tcPr>
          <w:p w:rsidR="00D30B00" w:rsidRPr="00D30B00" w:rsidRDefault="00D30B00" w:rsidP="00CB149C">
            <w:pPr>
              <w:rPr>
                <w:sz w:val="24"/>
                <w:szCs w:val="24"/>
              </w:rPr>
            </w:pPr>
            <w:r w:rsidRPr="00D30B00">
              <w:rPr>
                <w:b/>
                <w:bCs/>
                <w:sz w:val="24"/>
                <w:szCs w:val="24"/>
              </w:rPr>
              <w:t>EMOTIONAL STABILITY</w:t>
            </w:r>
          </w:p>
        </w:tc>
        <w:tc>
          <w:tcPr>
            <w:tcW w:w="8100" w:type="dxa"/>
            <w:shd w:val="clear" w:color="auto" w:fill="E7E6E6" w:themeFill="background2"/>
            <w:vAlign w:val="center"/>
          </w:tcPr>
          <w:p w:rsidR="00D30B00" w:rsidRPr="00D30B00" w:rsidRDefault="00D30B00" w:rsidP="00E77ADB">
            <w:pPr>
              <w:rPr>
                <w:b/>
                <w:bCs/>
                <w:sz w:val="24"/>
                <w:szCs w:val="24"/>
              </w:rPr>
            </w:pPr>
            <w:r w:rsidRPr="00D30B00">
              <w:rPr>
                <w:rFonts w:cs="TimesNewRomanPSMT"/>
                <w:sz w:val="24"/>
                <w:szCs w:val="24"/>
              </w:rPr>
              <w:t>Scores on this dimension are a function of a student's poise, flexibility, and able to cope with pressure, stress, criticism, setbacks, personal and school-related problems.</w:t>
            </w:r>
          </w:p>
        </w:tc>
      </w:tr>
      <w:tr w:rsidR="00D30B00" w:rsidTr="00D30B00">
        <w:trPr>
          <w:trHeight w:val="890"/>
        </w:trPr>
        <w:tc>
          <w:tcPr>
            <w:tcW w:w="2088" w:type="dxa"/>
            <w:vAlign w:val="center"/>
          </w:tcPr>
          <w:p w:rsidR="00D30B00" w:rsidRPr="00D30B00" w:rsidRDefault="00D30B00" w:rsidP="002F1EF8">
            <w:pPr>
              <w:spacing w:after="160" w:line="259" w:lineRule="auto"/>
              <w:rPr>
                <w:i/>
                <w:sz w:val="24"/>
                <w:szCs w:val="24"/>
              </w:rPr>
            </w:pPr>
            <w:r w:rsidRPr="00D30B00">
              <w:rPr>
                <w:i/>
                <w:sz w:val="24"/>
                <w:szCs w:val="24"/>
              </w:rPr>
              <w:t>Curiosity</w:t>
            </w:r>
            <w:r>
              <w:rPr>
                <w:i/>
                <w:sz w:val="24"/>
                <w:szCs w:val="24"/>
              </w:rPr>
              <w:t xml:space="preserve"> </w:t>
            </w:r>
            <w:r w:rsidRPr="00D30B00">
              <w:rPr>
                <w:i/>
                <w:sz w:val="24"/>
                <w:szCs w:val="24"/>
              </w:rPr>
              <w:t>/</w:t>
            </w:r>
            <w:r>
              <w:rPr>
                <w:i/>
                <w:sz w:val="24"/>
                <w:szCs w:val="24"/>
              </w:rPr>
              <w:t xml:space="preserve"> </w:t>
            </w:r>
            <w:r w:rsidRPr="00D30B00">
              <w:rPr>
                <w:i/>
                <w:sz w:val="24"/>
                <w:szCs w:val="24"/>
              </w:rPr>
              <w:t>Ingenuity</w:t>
            </w:r>
          </w:p>
        </w:tc>
        <w:tc>
          <w:tcPr>
            <w:tcW w:w="2880" w:type="dxa"/>
            <w:vAlign w:val="center"/>
          </w:tcPr>
          <w:p w:rsidR="00D30B00" w:rsidRPr="00D30B00" w:rsidRDefault="00D30B00" w:rsidP="00CB149C">
            <w:pPr>
              <w:rPr>
                <w:sz w:val="24"/>
                <w:szCs w:val="24"/>
              </w:rPr>
            </w:pPr>
            <w:r w:rsidRPr="00D30B00">
              <w:rPr>
                <w:b/>
                <w:bCs/>
                <w:sz w:val="24"/>
                <w:szCs w:val="24"/>
              </w:rPr>
              <w:t>OPENNESS</w:t>
            </w:r>
          </w:p>
        </w:tc>
        <w:tc>
          <w:tcPr>
            <w:tcW w:w="8100" w:type="dxa"/>
            <w:vAlign w:val="center"/>
          </w:tcPr>
          <w:p w:rsidR="00D30B00" w:rsidRPr="00D30B00" w:rsidRDefault="00D30B00" w:rsidP="002F1EF8">
            <w:pPr>
              <w:rPr>
                <w:b/>
                <w:bCs/>
                <w:sz w:val="24"/>
                <w:szCs w:val="24"/>
              </w:rPr>
            </w:pPr>
            <w:r w:rsidRPr="00D30B00">
              <w:rPr>
                <w:rFonts w:cs="TimesNewRomanPSMT"/>
                <w:sz w:val="24"/>
                <w:szCs w:val="24"/>
              </w:rPr>
              <w:t>Scores on this dimension are a function of being open-minded, thoughtful, enjoying the process of thinking about and solving school problems, interested in different types of students and their points of view, accepting of differences in fellow students, and being innovative and creative in one’s school (and extra-curricular) work.</w:t>
            </w:r>
          </w:p>
        </w:tc>
      </w:tr>
      <w:tr w:rsidR="00D30B00" w:rsidTr="00D30B00">
        <w:tc>
          <w:tcPr>
            <w:tcW w:w="2088" w:type="dxa"/>
            <w:shd w:val="clear" w:color="auto" w:fill="E7E6E6" w:themeFill="background2"/>
            <w:vAlign w:val="center"/>
          </w:tcPr>
          <w:p w:rsidR="00D30B00" w:rsidRPr="00D30B00" w:rsidRDefault="00D30B00" w:rsidP="002F1EF8">
            <w:pPr>
              <w:spacing w:after="160" w:line="259" w:lineRule="auto"/>
              <w:rPr>
                <w:i/>
                <w:sz w:val="24"/>
                <w:szCs w:val="24"/>
              </w:rPr>
            </w:pPr>
            <w:r w:rsidRPr="00D30B00">
              <w:rPr>
                <w:i/>
                <w:sz w:val="24"/>
                <w:szCs w:val="24"/>
              </w:rPr>
              <w:t>Leadership</w:t>
            </w:r>
            <w:r>
              <w:rPr>
                <w:i/>
                <w:sz w:val="24"/>
                <w:szCs w:val="24"/>
              </w:rPr>
              <w:t xml:space="preserve"> </w:t>
            </w:r>
            <w:r w:rsidRPr="00D30B00">
              <w:rPr>
                <w:i/>
                <w:sz w:val="24"/>
                <w:szCs w:val="24"/>
              </w:rPr>
              <w:t>/</w:t>
            </w:r>
            <w:r>
              <w:rPr>
                <w:i/>
                <w:sz w:val="24"/>
                <w:szCs w:val="24"/>
              </w:rPr>
              <w:t xml:space="preserve"> </w:t>
            </w:r>
            <w:r w:rsidRPr="00D30B00">
              <w:rPr>
                <w:i/>
                <w:sz w:val="24"/>
                <w:szCs w:val="24"/>
              </w:rPr>
              <w:t>Communication Style</w:t>
            </w:r>
          </w:p>
        </w:tc>
        <w:tc>
          <w:tcPr>
            <w:tcW w:w="2880" w:type="dxa"/>
            <w:shd w:val="clear" w:color="auto" w:fill="E7E6E6" w:themeFill="background2"/>
            <w:vAlign w:val="center"/>
          </w:tcPr>
          <w:p w:rsidR="00D30B00" w:rsidRPr="00D30B00" w:rsidRDefault="00D30B00" w:rsidP="00CB149C">
            <w:pPr>
              <w:rPr>
                <w:sz w:val="24"/>
                <w:szCs w:val="24"/>
              </w:rPr>
            </w:pPr>
            <w:r w:rsidRPr="00D30B00">
              <w:rPr>
                <w:b/>
                <w:bCs/>
                <w:sz w:val="24"/>
                <w:szCs w:val="24"/>
              </w:rPr>
              <w:t>EXTRAVERSION</w:t>
            </w:r>
          </w:p>
        </w:tc>
        <w:tc>
          <w:tcPr>
            <w:tcW w:w="8100" w:type="dxa"/>
            <w:shd w:val="clear" w:color="auto" w:fill="E7E6E6" w:themeFill="background2"/>
            <w:vAlign w:val="center"/>
          </w:tcPr>
          <w:p w:rsidR="00D30B00" w:rsidRPr="00D30B00" w:rsidRDefault="00D30B00" w:rsidP="002F1EF8">
            <w:pPr>
              <w:rPr>
                <w:b/>
                <w:bCs/>
                <w:sz w:val="24"/>
                <w:szCs w:val="24"/>
              </w:rPr>
            </w:pPr>
            <w:r w:rsidRPr="00D30B00">
              <w:rPr>
                <w:rFonts w:cs="TimesNewRomanPSMT"/>
                <w:sz w:val="24"/>
                <w:szCs w:val="24"/>
              </w:rPr>
              <w:t>Scores on this dimension are a function of being assertive, persuasive, enthusiastic, and independent. To an extent they also reflect a student’s level of sociability.</w:t>
            </w:r>
          </w:p>
        </w:tc>
      </w:tr>
    </w:tbl>
    <w:p w:rsidR="00287664" w:rsidRPr="00252C57" w:rsidRDefault="00287664" w:rsidP="00252C57">
      <w:pPr>
        <w:spacing w:after="0" w:line="240" w:lineRule="auto"/>
      </w:pPr>
    </w:p>
    <w:p w:rsidR="009F3ABA" w:rsidRDefault="009F3ABA" w:rsidP="00252C57">
      <w:pPr>
        <w:spacing w:after="0" w:line="240" w:lineRule="auto"/>
        <w:rPr>
          <w:b/>
        </w:rPr>
        <w:sectPr w:rsidR="009F3ABA" w:rsidSect="009F3ABA">
          <w:pgSz w:w="15840" w:h="12240" w:orient="landscape"/>
          <w:pgMar w:top="1440" w:right="1440" w:bottom="1440" w:left="1440" w:header="720" w:footer="720" w:gutter="0"/>
          <w:cols w:space="720"/>
          <w:docGrid w:linePitch="360"/>
        </w:sectPr>
      </w:pPr>
    </w:p>
    <w:p w:rsidR="00CE6C06" w:rsidRDefault="00D30B00" w:rsidP="00EF43B7">
      <w:pPr>
        <w:pStyle w:val="BodyText3"/>
        <w:tabs>
          <w:tab w:val="clear" w:pos="180"/>
        </w:tabs>
        <w:rPr>
          <w:rFonts w:asciiTheme="minorHAnsi" w:hAnsiTheme="minorHAnsi"/>
          <w:b w:val="0"/>
          <w:bCs w:val="0"/>
          <w:sz w:val="24"/>
        </w:rPr>
      </w:pPr>
      <w:r w:rsidRPr="00D30B00">
        <w:rPr>
          <w:rFonts w:asciiTheme="minorHAnsi" w:hAnsiTheme="minorHAnsi"/>
          <w:b w:val="0"/>
          <w:bCs w:val="0"/>
          <w:sz w:val="24"/>
        </w:rPr>
        <w:lastRenderedPageBreak/>
        <w:t xml:space="preserve">The assessments are designed to be taken online. </w:t>
      </w:r>
      <w:r w:rsidR="00EF43B7">
        <w:rPr>
          <w:rFonts w:asciiTheme="minorHAnsi" w:hAnsiTheme="minorHAnsi"/>
          <w:b w:val="0"/>
          <w:bCs w:val="0"/>
          <w:sz w:val="24"/>
        </w:rPr>
        <w:t xml:space="preserve">Currently, two forms of assessment feedback are provided. </w:t>
      </w:r>
    </w:p>
    <w:p w:rsidR="00CE6C06" w:rsidRDefault="00CE6C06" w:rsidP="00EF43B7">
      <w:pPr>
        <w:pStyle w:val="BodyText3"/>
        <w:tabs>
          <w:tab w:val="clear" w:pos="180"/>
        </w:tabs>
        <w:rPr>
          <w:rFonts w:asciiTheme="minorHAnsi" w:hAnsiTheme="minorHAnsi"/>
          <w:b w:val="0"/>
          <w:bCs w:val="0"/>
          <w:sz w:val="24"/>
        </w:rPr>
      </w:pPr>
    </w:p>
    <w:p w:rsidR="00CE6C06" w:rsidRDefault="00EF43B7" w:rsidP="00A66727">
      <w:pPr>
        <w:pStyle w:val="BodyText3"/>
        <w:numPr>
          <w:ilvl w:val="0"/>
          <w:numId w:val="6"/>
        </w:numPr>
        <w:tabs>
          <w:tab w:val="clear" w:pos="180"/>
        </w:tabs>
        <w:rPr>
          <w:rFonts w:asciiTheme="minorHAnsi" w:hAnsiTheme="minorHAnsi"/>
          <w:b w:val="0"/>
          <w:bCs w:val="0"/>
          <w:sz w:val="24"/>
        </w:rPr>
      </w:pPr>
      <w:r>
        <w:rPr>
          <w:rFonts w:asciiTheme="minorHAnsi" w:hAnsiTheme="minorHAnsi"/>
          <w:b w:val="0"/>
          <w:bCs w:val="0"/>
          <w:sz w:val="24"/>
        </w:rPr>
        <w:t xml:space="preserve">First, an institutional report is generated which provides schools with aggregated data. These are useful in allowing schools to compare their results with those of other schools, in comparing subgroup results within schools (e.g., males vs. females), and </w:t>
      </w:r>
      <w:r w:rsidR="00684FFC">
        <w:rPr>
          <w:rFonts w:asciiTheme="minorHAnsi" w:hAnsiTheme="minorHAnsi"/>
          <w:b w:val="0"/>
          <w:bCs w:val="0"/>
          <w:sz w:val="24"/>
        </w:rPr>
        <w:t xml:space="preserve">in </w:t>
      </w:r>
      <w:r>
        <w:rPr>
          <w:rFonts w:asciiTheme="minorHAnsi" w:hAnsiTheme="minorHAnsi"/>
          <w:b w:val="0"/>
          <w:bCs w:val="0"/>
          <w:sz w:val="24"/>
        </w:rPr>
        <w:t xml:space="preserve">tracking a school’s overall assessment performance over time. </w:t>
      </w:r>
    </w:p>
    <w:p w:rsidR="004A69B0" w:rsidRDefault="004A69B0" w:rsidP="00A66727">
      <w:pPr>
        <w:pStyle w:val="BodyText3"/>
        <w:tabs>
          <w:tab w:val="clear" w:pos="180"/>
        </w:tabs>
        <w:ind w:left="720"/>
        <w:rPr>
          <w:rFonts w:asciiTheme="minorHAnsi" w:hAnsiTheme="minorHAnsi"/>
          <w:b w:val="0"/>
          <w:bCs w:val="0"/>
          <w:sz w:val="24"/>
        </w:rPr>
      </w:pPr>
    </w:p>
    <w:p w:rsidR="004A69B0" w:rsidRDefault="00EF43B7" w:rsidP="00A66727">
      <w:pPr>
        <w:pStyle w:val="BodyText3"/>
        <w:numPr>
          <w:ilvl w:val="0"/>
          <w:numId w:val="6"/>
        </w:numPr>
        <w:tabs>
          <w:tab w:val="clear" w:pos="180"/>
        </w:tabs>
        <w:rPr>
          <w:rFonts w:asciiTheme="minorHAnsi" w:hAnsiTheme="minorHAnsi"/>
          <w:b w:val="0"/>
          <w:bCs w:val="0"/>
          <w:sz w:val="24"/>
        </w:rPr>
      </w:pPr>
      <w:r>
        <w:rPr>
          <w:rFonts w:asciiTheme="minorHAnsi" w:hAnsiTheme="minorHAnsi"/>
          <w:b w:val="0"/>
          <w:bCs w:val="0"/>
          <w:sz w:val="24"/>
        </w:rPr>
        <w:t xml:space="preserve">Second, students receive a personalized feedback report. This report can be viewed by the student, teachers, and parents. </w:t>
      </w:r>
      <w:r w:rsidRPr="00D30B00">
        <w:rPr>
          <w:rFonts w:asciiTheme="minorHAnsi" w:hAnsiTheme="minorHAnsi"/>
          <w:b w:val="0"/>
          <w:bCs w:val="0"/>
          <w:sz w:val="24"/>
        </w:rPr>
        <w:t xml:space="preserve">Feedback </w:t>
      </w:r>
      <w:r>
        <w:rPr>
          <w:rFonts w:asciiTheme="minorHAnsi" w:hAnsiTheme="minorHAnsi"/>
          <w:b w:val="0"/>
          <w:bCs w:val="0"/>
          <w:sz w:val="24"/>
        </w:rPr>
        <w:t>is</w:t>
      </w:r>
      <w:r w:rsidRPr="00D30B00">
        <w:rPr>
          <w:rFonts w:asciiTheme="minorHAnsi" w:hAnsiTheme="minorHAnsi"/>
          <w:b w:val="0"/>
          <w:bCs w:val="0"/>
          <w:sz w:val="24"/>
        </w:rPr>
        <w:t xml:space="preserve"> provided at the level of the behavior. For example, “You scored lower than most of your peers on attention to detail. This is something that might be reflected in you not studying in an environment that is conducive to studying or in ...".</w:t>
      </w:r>
    </w:p>
    <w:p w:rsidR="004A69B0" w:rsidRDefault="004A69B0" w:rsidP="004A69B0">
      <w:pPr>
        <w:pStyle w:val="BodyText3"/>
        <w:tabs>
          <w:tab w:val="clear" w:pos="180"/>
        </w:tabs>
        <w:rPr>
          <w:rFonts w:asciiTheme="minorHAnsi" w:hAnsiTheme="minorHAnsi"/>
          <w:b w:val="0"/>
          <w:bCs w:val="0"/>
          <w:sz w:val="24"/>
        </w:rPr>
      </w:pPr>
    </w:p>
    <w:p w:rsidR="00EF43B7" w:rsidRPr="004A69B0" w:rsidRDefault="00EF43B7" w:rsidP="00A66727">
      <w:pPr>
        <w:pStyle w:val="BodyText3"/>
        <w:tabs>
          <w:tab w:val="clear" w:pos="180"/>
        </w:tabs>
        <w:ind w:left="360"/>
        <w:rPr>
          <w:rFonts w:asciiTheme="minorHAnsi" w:hAnsiTheme="minorHAnsi"/>
          <w:b w:val="0"/>
          <w:bCs w:val="0"/>
          <w:sz w:val="24"/>
        </w:rPr>
      </w:pPr>
      <w:r w:rsidRPr="004A69B0">
        <w:rPr>
          <w:rFonts w:asciiTheme="minorHAnsi" w:hAnsiTheme="minorHAnsi"/>
          <w:b w:val="0"/>
          <w:bCs w:val="0"/>
          <w:sz w:val="24"/>
        </w:rPr>
        <w:t xml:space="preserve">This feedback can also be used to inform interventions that will ultimately improve students’ noncognitive skills, thereby leading to improved outcomes, as outlined in the theory of action below (see Figure 1).  </w:t>
      </w:r>
      <w:r w:rsidR="00CE6C06" w:rsidRPr="004A69B0">
        <w:rPr>
          <w:rFonts w:asciiTheme="minorHAnsi" w:hAnsiTheme="minorHAnsi"/>
          <w:b w:val="0"/>
          <w:bCs w:val="0"/>
          <w:sz w:val="24"/>
        </w:rPr>
        <w:t xml:space="preserve">Later versions of the assessment system will also include a unique teacher report and </w:t>
      </w:r>
      <w:r w:rsidR="004A69B0">
        <w:rPr>
          <w:rFonts w:asciiTheme="minorHAnsi" w:hAnsiTheme="minorHAnsi"/>
          <w:b w:val="0"/>
          <w:bCs w:val="0"/>
          <w:sz w:val="24"/>
        </w:rPr>
        <w:t xml:space="preserve">a unique parent report. </w:t>
      </w:r>
    </w:p>
    <w:p w:rsidR="00D30B00" w:rsidRDefault="00D30B00" w:rsidP="00252C57">
      <w:pPr>
        <w:spacing w:after="0" w:line="240" w:lineRule="auto"/>
        <w:rPr>
          <w:b/>
        </w:rPr>
      </w:pPr>
    </w:p>
    <w:p w:rsidR="00D30B00" w:rsidRDefault="00D30B00" w:rsidP="00252C57">
      <w:pPr>
        <w:spacing w:after="0" w:line="240" w:lineRule="auto"/>
        <w:rPr>
          <w:b/>
        </w:rPr>
      </w:pPr>
    </w:p>
    <w:p w:rsidR="00287D15" w:rsidRPr="00D30B00" w:rsidRDefault="00287D15" w:rsidP="00252C57">
      <w:pPr>
        <w:spacing w:after="0" w:line="240" w:lineRule="auto"/>
        <w:rPr>
          <w:b/>
          <w:sz w:val="24"/>
          <w:szCs w:val="24"/>
        </w:rPr>
      </w:pPr>
      <w:r w:rsidRPr="00D30B00">
        <w:rPr>
          <w:b/>
          <w:sz w:val="24"/>
          <w:szCs w:val="24"/>
        </w:rPr>
        <w:t>Methods</w:t>
      </w:r>
    </w:p>
    <w:p w:rsidR="009D0C6A" w:rsidRPr="00D30B00" w:rsidRDefault="009D0C6A" w:rsidP="00252C57">
      <w:pPr>
        <w:spacing w:after="0" w:line="240" w:lineRule="auto"/>
        <w:rPr>
          <w:sz w:val="24"/>
          <w:szCs w:val="24"/>
        </w:rPr>
      </w:pPr>
      <w:r w:rsidRPr="00D30B00">
        <w:rPr>
          <w:sz w:val="24"/>
          <w:szCs w:val="24"/>
        </w:rPr>
        <w:t xml:space="preserve">Each </w:t>
      </w:r>
      <w:r w:rsidR="00506E25" w:rsidRPr="00D30B00">
        <w:rPr>
          <w:sz w:val="24"/>
          <w:szCs w:val="24"/>
        </w:rPr>
        <w:t xml:space="preserve">facet </w:t>
      </w:r>
      <w:r w:rsidRPr="00D30B00">
        <w:rPr>
          <w:sz w:val="24"/>
          <w:szCs w:val="24"/>
        </w:rPr>
        <w:t>will be measured with three methods:</w:t>
      </w:r>
    </w:p>
    <w:p w:rsidR="009D0C6A" w:rsidRPr="00D30B00" w:rsidRDefault="009D0C6A" w:rsidP="00252C57">
      <w:pPr>
        <w:spacing w:after="0" w:line="240" w:lineRule="auto"/>
        <w:rPr>
          <w:sz w:val="24"/>
          <w:szCs w:val="24"/>
        </w:rPr>
      </w:pPr>
    </w:p>
    <w:p w:rsidR="009D0C6A" w:rsidRPr="00D30B00" w:rsidRDefault="009D0C6A" w:rsidP="00252C57">
      <w:pPr>
        <w:pStyle w:val="ListParagraph"/>
        <w:numPr>
          <w:ilvl w:val="0"/>
          <w:numId w:val="1"/>
        </w:numPr>
        <w:autoSpaceDE w:val="0"/>
        <w:autoSpaceDN w:val="0"/>
        <w:adjustRightInd w:val="0"/>
        <w:spacing w:after="0" w:line="240" w:lineRule="auto"/>
        <w:rPr>
          <w:rFonts w:cs="TimesNewRomanPSMT"/>
          <w:sz w:val="24"/>
          <w:szCs w:val="24"/>
        </w:rPr>
      </w:pPr>
      <w:r w:rsidRPr="00D30B00">
        <w:rPr>
          <w:rFonts w:cs="TimesNewRomanPSMT"/>
          <w:sz w:val="24"/>
          <w:szCs w:val="24"/>
        </w:rPr>
        <w:t>Self-report items, which will be answered on Likert-type rating scales,</w:t>
      </w:r>
      <w:r w:rsidR="00232F07" w:rsidRPr="00D30B00">
        <w:rPr>
          <w:rFonts w:cs="TimesNewRomanPSMT"/>
          <w:sz w:val="24"/>
          <w:szCs w:val="24"/>
        </w:rPr>
        <w:t xml:space="preserve"> typically</w:t>
      </w:r>
      <w:r w:rsidRPr="00D30B00">
        <w:rPr>
          <w:rFonts w:cs="TimesNewRomanPSMT"/>
          <w:sz w:val="24"/>
          <w:szCs w:val="24"/>
        </w:rPr>
        <w:t xml:space="preserve"> from "Strongly Disagree" to "Strongly Agree".</w:t>
      </w:r>
    </w:p>
    <w:p w:rsidR="00CC4A36" w:rsidRPr="00D30B00" w:rsidRDefault="00CC4A36" w:rsidP="00CC4A36">
      <w:pPr>
        <w:pStyle w:val="ListParagraph"/>
        <w:autoSpaceDE w:val="0"/>
        <w:autoSpaceDN w:val="0"/>
        <w:adjustRightInd w:val="0"/>
        <w:spacing w:after="0" w:line="240" w:lineRule="auto"/>
        <w:ind w:left="360"/>
        <w:rPr>
          <w:rFonts w:cs="TimesNewRomanPSMT"/>
          <w:sz w:val="24"/>
          <w:szCs w:val="24"/>
        </w:rPr>
      </w:pPr>
    </w:p>
    <w:p w:rsidR="009D0C6A" w:rsidRPr="00D30B00" w:rsidRDefault="009D0C6A" w:rsidP="00252C57">
      <w:pPr>
        <w:pStyle w:val="ListParagraph"/>
        <w:numPr>
          <w:ilvl w:val="0"/>
          <w:numId w:val="1"/>
        </w:numPr>
        <w:spacing w:after="0" w:line="240" w:lineRule="auto"/>
        <w:rPr>
          <w:rFonts w:cs="TimesNewRomanPSMT"/>
          <w:sz w:val="24"/>
          <w:szCs w:val="24"/>
        </w:rPr>
      </w:pPr>
      <w:r w:rsidRPr="00D30B00">
        <w:rPr>
          <w:rFonts w:cs="TimesNewRomanPSMT"/>
          <w:sz w:val="24"/>
          <w:szCs w:val="24"/>
        </w:rPr>
        <w:t>Situational judgment items</w:t>
      </w:r>
      <w:r w:rsidR="007E36A8" w:rsidRPr="00D30B00">
        <w:rPr>
          <w:rFonts w:cs="TimesNewRomanPSMT"/>
          <w:sz w:val="24"/>
          <w:szCs w:val="24"/>
        </w:rPr>
        <w:t xml:space="preserve"> that are text-based, perhaps with limited use of simple graphics</w:t>
      </w:r>
      <w:r w:rsidRPr="00D30B00">
        <w:rPr>
          <w:rFonts w:cs="TimesNewRomanPSMT"/>
          <w:sz w:val="24"/>
          <w:szCs w:val="24"/>
        </w:rPr>
        <w:t xml:space="preserve">, will involve presenting students with scenarios and </w:t>
      </w:r>
      <w:r w:rsidR="007E36A8" w:rsidRPr="00D30B00">
        <w:rPr>
          <w:rFonts w:cs="TimesNewRomanPSMT"/>
          <w:sz w:val="24"/>
          <w:szCs w:val="24"/>
        </w:rPr>
        <w:t xml:space="preserve">five </w:t>
      </w:r>
      <w:r w:rsidRPr="00D30B00">
        <w:rPr>
          <w:rFonts w:cs="TimesNewRomanPSMT"/>
          <w:sz w:val="24"/>
          <w:szCs w:val="24"/>
        </w:rPr>
        <w:t>possible responses to those scenarios. Ratings of effectiveness for</w:t>
      </w:r>
      <w:r w:rsidR="007E36A8" w:rsidRPr="00D30B00">
        <w:rPr>
          <w:rFonts w:cs="TimesNewRomanPSMT"/>
          <w:sz w:val="24"/>
          <w:szCs w:val="24"/>
        </w:rPr>
        <w:t xml:space="preserve"> the</w:t>
      </w:r>
      <w:r w:rsidRPr="00D30B00">
        <w:rPr>
          <w:rFonts w:cs="TimesNewRomanPSMT"/>
          <w:sz w:val="24"/>
          <w:szCs w:val="24"/>
        </w:rPr>
        <w:t xml:space="preserve"> five response optio</w:t>
      </w:r>
      <w:r w:rsidR="007E36A8" w:rsidRPr="00D30B00">
        <w:rPr>
          <w:rFonts w:cs="TimesNewRomanPSMT"/>
          <w:sz w:val="24"/>
          <w:szCs w:val="24"/>
        </w:rPr>
        <w:t>ns will range</w:t>
      </w:r>
      <w:r w:rsidRPr="00D30B00">
        <w:rPr>
          <w:rFonts w:cs="TimesNewRomanPSMT"/>
          <w:sz w:val="24"/>
          <w:szCs w:val="24"/>
        </w:rPr>
        <w:t xml:space="preserve"> from "Very Ineffective" (1)</w:t>
      </w:r>
      <w:r w:rsidR="007E36A8" w:rsidRPr="00D30B00">
        <w:rPr>
          <w:rFonts w:cs="TimesNewRomanPSMT"/>
          <w:sz w:val="24"/>
          <w:szCs w:val="24"/>
        </w:rPr>
        <w:t xml:space="preserve"> to "Very Effective" (5). </w:t>
      </w:r>
    </w:p>
    <w:p w:rsidR="00CC4A36" w:rsidRPr="00D30B00" w:rsidRDefault="00CC4A36" w:rsidP="00CC4A36">
      <w:pPr>
        <w:pStyle w:val="ListParagraph"/>
        <w:spacing w:after="0" w:line="240" w:lineRule="auto"/>
        <w:ind w:left="360"/>
        <w:rPr>
          <w:rFonts w:cs="TimesNewRomanPSMT"/>
          <w:sz w:val="24"/>
          <w:szCs w:val="24"/>
        </w:rPr>
      </w:pPr>
    </w:p>
    <w:p w:rsidR="009D0C6A" w:rsidRPr="00D30B00" w:rsidRDefault="009D0C6A" w:rsidP="00F62676">
      <w:pPr>
        <w:pStyle w:val="ListParagraph"/>
        <w:numPr>
          <w:ilvl w:val="0"/>
          <w:numId w:val="1"/>
        </w:numPr>
        <w:spacing w:after="0" w:line="240" w:lineRule="auto"/>
        <w:rPr>
          <w:rFonts w:cs="TimesNewRomanPSMT"/>
          <w:sz w:val="24"/>
          <w:szCs w:val="24"/>
        </w:rPr>
      </w:pPr>
      <w:r w:rsidRPr="00D30B00">
        <w:rPr>
          <w:rFonts w:cs="TimesNewRomanPSMT"/>
          <w:sz w:val="24"/>
          <w:szCs w:val="24"/>
        </w:rPr>
        <w:t>The forced-choice item</w:t>
      </w:r>
      <w:r w:rsidR="007E36A8" w:rsidRPr="00D30B00">
        <w:rPr>
          <w:rFonts w:cs="TimesNewRomanPSMT"/>
          <w:sz w:val="24"/>
          <w:szCs w:val="24"/>
        </w:rPr>
        <w:t>s</w:t>
      </w:r>
      <w:r w:rsidR="00F62676" w:rsidRPr="00D30B00">
        <w:rPr>
          <w:rFonts w:cs="TimesNewRomanPSMT"/>
          <w:sz w:val="24"/>
          <w:szCs w:val="24"/>
        </w:rPr>
        <w:t xml:space="preserve"> (e.g., Brown &amp; Maydeu-Olivares, 2011; Stark, Chernyshenko, &amp; Drasgow, 2011)</w:t>
      </w:r>
      <w:r w:rsidR="00252C57" w:rsidRPr="00D30B00">
        <w:rPr>
          <w:rFonts w:cs="TimesNewRomanPSMT"/>
          <w:sz w:val="24"/>
          <w:szCs w:val="24"/>
        </w:rPr>
        <w:t xml:space="preserve">, which </w:t>
      </w:r>
      <w:r w:rsidRPr="00D30B00">
        <w:rPr>
          <w:rFonts w:cs="TimesNewRomanPSMT"/>
          <w:sz w:val="24"/>
          <w:szCs w:val="24"/>
        </w:rPr>
        <w:t>involve</w:t>
      </w:r>
      <w:r w:rsidR="00252C57" w:rsidRPr="00D30B00">
        <w:rPr>
          <w:rFonts w:cs="TimesNewRomanPSMT"/>
          <w:sz w:val="24"/>
          <w:szCs w:val="24"/>
        </w:rPr>
        <w:t>s</w:t>
      </w:r>
      <w:r w:rsidRPr="00D30B00">
        <w:rPr>
          <w:rFonts w:cs="TimesNewRomanPSMT"/>
          <w:sz w:val="24"/>
          <w:szCs w:val="24"/>
        </w:rPr>
        <w:t xml:space="preserve"> selecting </w:t>
      </w:r>
      <w:r w:rsidR="00BD41B5" w:rsidRPr="00D30B00">
        <w:rPr>
          <w:rFonts w:cs="TimesNewRomanPSMT"/>
          <w:sz w:val="24"/>
          <w:szCs w:val="24"/>
        </w:rPr>
        <w:t xml:space="preserve">one </w:t>
      </w:r>
      <w:r w:rsidRPr="00D30B00">
        <w:rPr>
          <w:rFonts w:cs="TimesNewRomanPSMT"/>
          <w:sz w:val="24"/>
          <w:szCs w:val="24"/>
        </w:rPr>
        <w:t xml:space="preserve">self-report item from </w:t>
      </w:r>
      <w:r w:rsidR="007E36A8" w:rsidRPr="00D30B00">
        <w:rPr>
          <w:rFonts w:cs="TimesNewRomanPSMT"/>
          <w:sz w:val="24"/>
          <w:szCs w:val="24"/>
        </w:rPr>
        <w:t>three of the Big Five</w:t>
      </w:r>
      <w:r w:rsidRPr="00D30B00">
        <w:rPr>
          <w:rFonts w:cs="TimesNewRomanPSMT"/>
          <w:sz w:val="24"/>
          <w:szCs w:val="24"/>
        </w:rPr>
        <w:t xml:space="preserve"> domains (broadly writ) and forming triplets</w:t>
      </w:r>
      <w:r w:rsidR="00BD41B5" w:rsidRPr="00D30B00">
        <w:rPr>
          <w:rFonts w:cs="TimesNewRomanPSMT"/>
          <w:sz w:val="24"/>
          <w:szCs w:val="24"/>
        </w:rPr>
        <w:t>,</w:t>
      </w:r>
      <w:r w:rsidRPr="00D30B00">
        <w:rPr>
          <w:rFonts w:cs="TimesNewRomanPSMT"/>
          <w:sz w:val="24"/>
          <w:szCs w:val="24"/>
        </w:rPr>
        <w:t xml:space="preserve"> </w:t>
      </w:r>
      <w:r w:rsidR="00BD41B5" w:rsidRPr="00D30B00">
        <w:rPr>
          <w:rFonts w:cs="TimesNewRomanPSMT"/>
          <w:sz w:val="24"/>
          <w:szCs w:val="24"/>
        </w:rPr>
        <w:t>a</w:t>
      </w:r>
      <w:r w:rsidRPr="00D30B00">
        <w:rPr>
          <w:rFonts w:cs="TimesNewRomanPSMT"/>
          <w:sz w:val="24"/>
          <w:szCs w:val="24"/>
        </w:rPr>
        <w:t>s shown below:</w:t>
      </w:r>
    </w:p>
    <w:p w:rsidR="00CC4A36" w:rsidRPr="00D30B00" w:rsidRDefault="00CC4A36" w:rsidP="00CC4A36">
      <w:pPr>
        <w:pStyle w:val="ListParagraph"/>
        <w:spacing w:after="0" w:line="240" w:lineRule="auto"/>
        <w:ind w:left="360"/>
        <w:rPr>
          <w:rFonts w:cs="TimesNewRomanPSMT"/>
          <w:sz w:val="24"/>
          <w:szCs w:val="24"/>
        </w:rPr>
      </w:pPr>
    </w:p>
    <w:tbl>
      <w:tblPr>
        <w:tblStyle w:val="LightList1"/>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459"/>
        <w:gridCol w:w="1759"/>
        <w:gridCol w:w="2070"/>
      </w:tblGrid>
      <w:tr w:rsidR="009D0C6A" w:rsidRPr="00D30B00" w:rsidTr="00B54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9" w:type="dxa"/>
          </w:tcPr>
          <w:p w:rsidR="009D0C6A" w:rsidRPr="00D30B00" w:rsidRDefault="009D0C6A" w:rsidP="008A4ED3">
            <w:pPr>
              <w:rPr>
                <w:rFonts w:asciiTheme="minorHAnsi" w:hAnsiTheme="minorHAnsi"/>
                <w:sz w:val="24"/>
                <w:szCs w:val="24"/>
              </w:rPr>
            </w:pPr>
            <w:r w:rsidRPr="00D30B00">
              <w:rPr>
                <w:rFonts w:asciiTheme="minorHAnsi" w:hAnsiTheme="minorHAnsi"/>
                <w:sz w:val="24"/>
                <w:szCs w:val="24"/>
              </w:rPr>
              <w:t xml:space="preserve">Item </w:t>
            </w:r>
          </w:p>
        </w:tc>
        <w:tc>
          <w:tcPr>
            <w:tcW w:w="1759" w:type="dxa"/>
          </w:tcPr>
          <w:p w:rsidR="009D0C6A" w:rsidRPr="00D30B00" w:rsidRDefault="009D0C6A" w:rsidP="00252C5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D30B00">
              <w:rPr>
                <w:rFonts w:asciiTheme="minorHAnsi" w:hAnsiTheme="minorHAnsi"/>
                <w:sz w:val="24"/>
                <w:szCs w:val="24"/>
              </w:rPr>
              <w:t>Most Like Me</w:t>
            </w:r>
          </w:p>
        </w:tc>
        <w:tc>
          <w:tcPr>
            <w:tcW w:w="2070" w:type="dxa"/>
          </w:tcPr>
          <w:p w:rsidR="009D0C6A" w:rsidRPr="00D30B00" w:rsidRDefault="009D0C6A" w:rsidP="00252C5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D30B00">
              <w:rPr>
                <w:rFonts w:asciiTheme="minorHAnsi" w:hAnsiTheme="minorHAnsi"/>
                <w:sz w:val="24"/>
                <w:szCs w:val="24"/>
              </w:rPr>
              <w:t>Least Like Me</w:t>
            </w:r>
          </w:p>
        </w:tc>
      </w:tr>
      <w:tr w:rsidR="009D0C6A" w:rsidRPr="00D30B00" w:rsidTr="00B54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9" w:type="dxa"/>
            <w:tcBorders>
              <w:top w:val="none" w:sz="0" w:space="0" w:color="auto"/>
              <w:left w:val="none" w:sz="0" w:space="0" w:color="auto"/>
              <w:bottom w:val="none" w:sz="0" w:space="0" w:color="auto"/>
            </w:tcBorders>
          </w:tcPr>
          <w:p w:rsidR="009D0C6A" w:rsidRPr="00D30B00" w:rsidRDefault="009D0C6A" w:rsidP="008A4ED3">
            <w:pPr>
              <w:rPr>
                <w:rFonts w:asciiTheme="minorHAnsi" w:hAnsiTheme="minorHAnsi"/>
                <w:b w:val="0"/>
                <w:color w:val="000000"/>
                <w:sz w:val="24"/>
                <w:szCs w:val="24"/>
              </w:rPr>
            </w:pPr>
            <w:r w:rsidRPr="00D30B00">
              <w:rPr>
                <w:rFonts w:asciiTheme="minorHAnsi" w:hAnsiTheme="minorHAnsi"/>
                <w:b w:val="0"/>
                <w:i/>
                <w:color w:val="000000"/>
                <w:sz w:val="24"/>
                <w:szCs w:val="24"/>
              </w:rPr>
              <w:t>I do more than what my teachers expect of me.</w:t>
            </w:r>
            <w:r w:rsidRPr="00D30B00">
              <w:rPr>
                <w:rFonts w:asciiTheme="minorHAnsi" w:hAnsiTheme="minorHAnsi"/>
                <w:b w:val="0"/>
                <w:color w:val="000000"/>
                <w:sz w:val="24"/>
                <w:szCs w:val="24"/>
              </w:rPr>
              <w:br/>
            </w:r>
          </w:p>
        </w:tc>
        <w:tc>
          <w:tcPr>
            <w:tcW w:w="1759" w:type="dxa"/>
            <w:tcBorders>
              <w:top w:val="none" w:sz="0" w:space="0" w:color="auto"/>
              <w:bottom w:val="none" w:sz="0" w:space="0" w:color="auto"/>
            </w:tcBorders>
          </w:tcPr>
          <w:p w:rsidR="009D0C6A" w:rsidRPr="00D30B00" w:rsidRDefault="009D0C6A" w:rsidP="00252C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rPr>
            </w:pPr>
          </w:p>
        </w:tc>
        <w:tc>
          <w:tcPr>
            <w:tcW w:w="2070" w:type="dxa"/>
            <w:tcBorders>
              <w:top w:val="none" w:sz="0" w:space="0" w:color="auto"/>
              <w:bottom w:val="none" w:sz="0" w:space="0" w:color="auto"/>
              <w:right w:val="none" w:sz="0" w:space="0" w:color="auto"/>
            </w:tcBorders>
          </w:tcPr>
          <w:p w:rsidR="009D0C6A" w:rsidRPr="00D30B00" w:rsidRDefault="009D0C6A" w:rsidP="00252C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rPr>
            </w:pPr>
          </w:p>
        </w:tc>
      </w:tr>
      <w:tr w:rsidR="009D0C6A" w:rsidRPr="00D30B00" w:rsidTr="00B546F5">
        <w:tc>
          <w:tcPr>
            <w:cnfStyle w:val="001000000000" w:firstRow="0" w:lastRow="0" w:firstColumn="1" w:lastColumn="0" w:oddVBand="0" w:evenVBand="0" w:oddHBand="0" w:evenHBand="0" w:firstRowFirstColumn="0" w:firstRowLastColumn="0" w:lastRowFirstColumn="0" w:lastRowLastColumn="0"/>
            <w:tcW w:w="5459" w:type="dxa"/>
          </w:tcPr>
          <w:p w:rsidR="009D0C6A" w:rsidRPr="00D30B00" w:rsidRDefault="009D0C6A" w:rsidP="008A4ED3">
            <w:pPr>
              <w:rPr>
                <w:rFonts w:asciiTheme="minorHAnsi" w:hAnsiTheme="minorHAnsi"/>
                <w:b w:val="0"/>
                <w:color w:val="000000"/>
                <w:sz w:val="24"/>
                <w:szCs w:val="24"/>
              </w:rPr>
            </w:pPr>
            <w:r w:rsidRPr="00D30B00">
              <w:rPr>
                <w:rFonts w:asciiTheme="minorHAnsi" w:hAnsiTheme="minorHAnsi"/>
                <w:b w:val="0"/>
                <w:i/>
                <w:color w:val="000000"/>
                <w:sz w:val="24"/>
                <w:szCs w:val="24"/>
              </w:rPr>
              <w:t>I am concerned about my fellow students</w:t>
            </w:r>
            <w:r w:rsidR="00287664" w:rsidRPr="00D30B00">
              <w:rPr>
                <w:rFonts w:asciiTheme="minorHAnsi" w:hAnsiTheme="minorHAnsi"/>
                <w:b w:val="0"/>
                <w:i/>
                <w:color w:val="000000"/>
                <w:sz w:val="24"/>
                <w:szCs w:val="24"/>
              </w:rPr>
              <w:t>’</w:t>
            </w:r>
            <w:r w:rsidRPr="00D30B00">
              <w:rPr>
                <w:rFonts w:asciiTheme="minorHAnsi" w:hAnsiTheme="minorHAnsi"/>
                <w:b w:val="0"/>
                <w:i/>
                <w:color w:val="000000"/>
                <w:sz w:val="24"/>
                <w:szCs w:val="24"/>
              </w:rPr>
              <w:t xml:space="preserve"> welfare.</w:t>
            </w:r>
            <w:r w:rsidRPr="00D30B00">
              <w:rPr>
                <w:rFonts w:asciiTheme="minorHAnsi" w:hAnsiTheme="minorHAnsi"/>
                <w:b w:val="0"/>
                <w:color w:val="000000"/>
                <w:sz w:val="24"/>
                <w:szCs w:val="24"/>
              </w:rPr>
              <w:t xml:space="preserve"> </w:t>
            </w:r>
            <w:r w:rsidRPr="00D30B00">
              <w:rPr>
                <w:rFonts w:asciiTheme="minorHAnsi" w:hAnsiTheme="minorHAnsi"/>
                <w:b w:val="0"/>
                <w:color w:val="000000"/>
                <w:sz w:val="24"/>
                <w:szCs w:val="24"/>
              </w:rPr>
              <w:br/>
            </w:r>
          </w:p>
        </w:tc>
        <w:tc>
          <w:tcPr>
            <w:tcW w:w="1759" w:type="dxa"/>
          </w:tcPr>
          <w:p w:rsidR="009D0C6A" w:rsidRPr="00D30B00" w:rsidRDefault="009D0C6A" w:rsidP="00252C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rPr>
            </w:pPr>
          </w:p>
        </w:tc>
        <w:tc>
          <w:tcPr>
            <w:tcW w:w="2070" w:type="dxa"/>
          </w:tcPr>
          <w:p w:rsidR="009D0C6A" w:rsidRPr="00D30B00" w:rsidRDefault="009D0C6A" w:rsidP="00252C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4"/>
                <w:szCs w:val="24"/>
              </w:rPr>
            </w:pPr>
          </w:p>
        </w:tc>
      </w:tr>
      <w:tr w:rsidR="009D0C6A" w:rsidRPr="00D30B00" w:rsidTr="00B54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9" w:type="dxa"/>
            <w:tcBorders>
              <w:top w:val="none" w:sz="0" w:space="0" w:color="auto"/>
              <w:left w:val="none" w:sz="0" w:space="0" w:color="auto"/>
              <w:bottom w:val="none" w:sz="0" w:space="0" w:color="auto"/>
            </w:tcBorders>
          </w:tcPr>
          <w:p w:rsidR="009D0C6A" w:rsidRPr="00D30B00" w:rsidRDefault="009D0C6A" w:rsidP="008A4ED3">
            <w:pPr>
              <w:rPr>
                <w:rFonts w:asciiTheme="minorHAnsi" w:hAnsiTheme="minorHAnsi"/>
                <w:b w:val="0"/>
                <w:color w:val="000000"/>
                <w:sz w:val="24"/>
                <w:szCs w:val="24"/>
              </w:rPr>
            </w:pPr>
            <w:r w:rsidRPr="00D30B00">
              <w:rPr>
                <w:rFonts w:asciiTheme="minorHAnsi" w:hAnsiTheme="minorHAnsi"/>
                <w:b w:val="0"/>
                <w:i/>
                <w:color w:val="000000"/>
                <w:sz w:val="24"/>
                <w:szCs w:val="24"/>
              </w:rPr>
              <w:t>I cope well with tough assignments.</w:t>
            </w:r>
            <w:r w:rsidRPr="00D30B00">
              <w:rPr>
                <w:rFonts w:asciiTheme="minorHAnsi" w:hAnsiTheme="minorHAnsi"/>
                <w:b w:val="0"/>
                <w:color w:val="000000"/>
                <w:sz w:val="24"/>
                <w:szCs w:val="24"/>
              </w:rPr>
              <w:t xml:space="preserve"> </w:t>
            </w:r>
            <w:r w:rsidRPr="00D30B00">
              <w:rPr>
                <w:rFonts w:asciiTheme="minorHAnsi" w:hAnsiTheme="minorHAnsi"/>
                <w:b w:val="0"/>
                <w:color w:val="000000"/>
                <w:sz w:val="24"/>
                <w:szCs w:val="24"/>
              </w:rPr>
              <w:br/>
            </w:r>
          </w:p>
        </w:tc>
        <w:tc>
          <w:tcPr>
            <w:tcW w:w="1759" w:type="dxa"/>
            <w:tcBorders>
              <w:top w:val="none" w:sz="0" w:space="0" w:color="auto"/>
              <w:bottom w:val="none" w:sz="0" w:space="0" w:color="auto"/>
            </w:tcBorders>
          </w:tcPr>
          <w:p w:rsidR="009D0C6A" w:rsidRPr="00D30B00" w:rsidRDefault="009D0C6A" w:rsidP="00252C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rPr>
            </w:pPr>
          </w:p>
        </w:tc>
        <w:tc>
          <w:tcPr>
            <w:tcW w:w="2070" w:type="dxa"/>
            <w:tcBorders>
              <w:top w:val="none" w:sz="0" w:space="0" w:color="auto"/>
              <w:bottom w:val="none" w:sz="0" w:space="0" w:color="auto"/>
              <w:right w:val="none" w:sz="0" w:space="0" w:color="auto"/>
            </w:tcBorders>
          </w:tcPr>
          <w:p w:rsidR="009D0C6A" w:rsidRPr="00D30B00" w:rsidRDefault="009D0C6A" w:rsidP="00252C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4"/>
                <w:szCs w:val="24"/>
              </w:rPr>
            </w:pPr>
          </w:p>
        </w:tc>
      </w:tr>
    </w:tbl>
    <w:p w:rsidR="00CA4DE0" w:rsidRPr="00D30B00" w:rsidRDefault="00CA4DE0" w:rsidP="00CA4DE0">
      <w:pPr>
        <w:spacing w:after="0" w:line="240" w:lineRule="auto"/>
        <w:rPr>
          <w:sz w:val="24"/>
          <w:szCs w:val="24"/>
        </w:rPr>
      </w:pPr>
    </w:p>
    <w:p w:rsidR="003369A1" w:rsidRPr="00D30B00" w:rsidRDefault="00287D15" w:rsidP="00287D15">
      <w:pPr>
        <w:pStyle w:val="BodyText3"/>
        <w:tabs>
          <w:tab w:val="clear" w:pos="180"/>
        </w:tabs>
        <w:rPr>
          <w:rFonts w:asciiTheme="minorHAnsi" w:hAnsiTheme="minorHAnsi"/>
          <w:sz w:val="24"/>
        </w:rPr>
      </w:pPr>
      <w:r w:rsidRPr="00D30B00">
        <w:rPr>
          <w:rFonts w:asciiTheme="minorHAnsi" w:hAnsiTheme="minorHAnsi"/>
          <w:sz w:val="24"/>
        </w:rPr>
        <w:lastRenderedPageBreak/>
        <w:t>Theory of Action</w:t>
      </w:r>
    </w:p>
    <w:p w:rsidR="00287D15" w:rsidRDefault="00287D15" w:rsidP="00287D15">
      <w:pPr>
        <w:spacing w:after="0" w:line="240" w:lineRule="auto"/>
        <w:rPr>
          <w:sz w:val="24"/>
          <w:szCs w:val="24"/>
        </w:rPr>
      </w:pPr>
      <w:r w:rsidRPr="00D30B00">
        <w:rPr>
          <w:sz w:val="24"/>
          <w:szCs w:val="24"/>
        </w:rPr>
        <w:t xml:space="preserve">Our theory of action for the assessment is in Figure 1 below. The assessment components are listed in the table on the far left of the figure. The claims we are making are contained in the curved rectangular boxes. The process by which the use of the assessment leads to the claims is denoted by arrows. In Figure 1, these are labeled by the numbered circles. Empirical evidence and logical arguments supporting the claims are outlined below. </w:t>
      </w:r>
    </w:p>
    <w:p w:rsidR="004A69B0" w:rsidRDefault="004A69B0" w:rsidP="00287D15">
      <w:pPr>
        <w:spacing w:after="0" w:line="240" w:lineRule="auto"/>
        <w:rPr>
          <w:sz w:val="24"/>
          <w:szCs w:val="24"/>
        </w:rPr>
      </w:pPr>
    </w:p>
    <w:p w:rsidR="004A69B0" w:rsidRPr="00D30B00" w:rsidRDefault="004A69B0" w:rsidP="00287D15">
      <w:pPr>
        <w:spacing w:after="0" w:line="240" w:lineRule="auto"/>
        <w:rPr>
          <w:sz w:val="24"/>
          <w:szCs w:val="24"/>
        </w:rPr>
      </w:pPr>
      <w:r>
        <w:rPr>
          <w:sz w:val="24"/>
          <w:szCs w:val="24"/>
        </w:rPr>
        <w:t xml:space="preserve">In summary, this </w:t>
      </w:r>
      <w:r w:rsidRPr="004A69B0">
        <w:rPr>
          <w:sz w:val="24"/>
          <w:szCs w:val="24"/>
        </w:rPr>
        <w:t xml:space="preserve">comprehensive theory of action demonstrates that the </w:t>
      </w:r>
      <w:r w:rsidRPr="00A66727">
        <w:rPr>
          <w:sz w:val="24"/>
          <w:szCs w:val="24"/>
        </w:rPr>
        <w:t>Tessera</w:t>
      </w:r>
      <w:r w:rsidRPr="00A66727">
        <w:rPr>
          <w:sz w:val="24"/>
          <w:szCs w:val="24"/>
          <w:vertAlign w:val="superscript"/>
        </w:rPr>
        <w:t>TM</w:t>
      </w:r>
      <w:r w:rsidRPr="00A66727">
        <w:rPr>
          <w:sz w:val="24"/>
          <w:szCs w:val="24"/>
        </w:rPr>
        <w:t xml:space="preserve"> Noncognitive Assessment System</w:t>
      </w:r>
      <w:r>
        <w:rPr>
          <w:sz w:val="24"/>
          <w:szCs w:val="24"/>
        </w:rPr>
        <w:t xml:space="preserve"> provides students and schools with actionable insight</w:t>
      </w:r>
      <w:r w:rsidR="00BD49EE">
        <w:rPr>
          <w:sz w:val="24"/>
          <w:szCs w:val="24"/>
        </w:rPr>
        <w:t>s</w:t>
      </w:r>
      <w:r>
        <w:rPr>
          <w:sz w:val="24"/>
          <w:szCs w:val="24"/>
        </w:rPr>
        <w:t xml:space="preserve"> by reliably and validly measuring six important noncognitive skills and providing clear feedback on these skills. It also demonstrates that these skills are sensitive to intervention and that developing these skills has important down-stream consequences, including improved performance in high school and college, increased retention</w:t>
      </w:r>
      <w:r w:rsidR="008D481C">
        <w:rPr>
          <w:sz w:val="24"/>
          <w:szCs w:val="24"/>
        </w:rPr>
        <w:t xml:space="preserve"> in high school and college</w:t>
      </w:r>
      <w:r>
        <w:rPr>
          <w:sz w:val="24"/>
          <w:szCs w:val="24"/>
        </w:rPr>
        <w:t xml:space="preserve">, increased career success, and increased well-being. </w:t>
      </w:r>
      <w:r w:rsidR="00BD49EE">
        <w:rPr>
          <w:sz w:val="24"/>
          <w:szCs w:val="24"/>
        </w:rPr>
        <w:t xml:space="preserve">As such, the potential value and utility of the </w:t>
      </w:r>
      <w:r w:rsidR="00BD49EE" w:rsidRPr="00A66727">
        <w:rPr>
          <w:sz w:val="24"/>
          <w:szCs w:val="24"/>
        </w:rPr>
        <w:t>Tessera</w:t>
      </w:r>
      <w:r w:rsidR="00BD49EE" w:rsidRPr="00A66727">
        <w:rPr>
          <w:sz w:val="24"/>
          <w:szCs w:val="24"/>
          <w:vertAlign w:val="superscript"/>
        </w:rPr>
        <w:t>TM</w:t>
      </w:r>
      <w:r w:rsidR="00BD49EE" w:rsidRPr="00A66727">
        <w:rPr>
          <w:sz w:val="24"/>
          <w:szCs w:val="24"/>
        </w:rPr>
        <w:t xml:space="preserve"> Noncognitive Assessment System</w:t>
      </w:r>
      <w:r w:rsidR="00BD49EE" w:rsidRPr="00BD49EE">
        <w:rPr>
          <w:sz w:val="24"/>
          <w:szCs w:val="24"/>
        </w:rPr>
        <w:t xml:space="preserve"> is</w:t>
      </w:r>
      <w:r w:rsidR="00BD49EE">
        <w:rPr>
          <w:sz w:val="24"/>
          <w:szCs w:val="24"/>
        </w:rPr>
        <w:t xml:space="preserve"> difficult to overstate.  </w:t>
      </w:r>
    </w:p>
    <w:p w:rsidR="00287D15" w:rsidRDefault="00287D15" w:rsidP="00287D15">
      <w:pPr>
        <w:pStyle w:val="BodyText3"/>
        <w:tabs>
          <w:tab w:val="clear" w:pos="180"/>
        </w:tabs>
        <w:rPr>
          <w:rFonts w:asciiTheme="minorHAnsi" w:hAnsiTheme="minorHAnsi"/>
          <w:sz w:val="24"/>
        </w:rPr>
      </w:pPr>
    </w:p>
    <w:p w:rsidR="00A66727" w:rsidRDefault="00A66727" w:rsidP="000F40A7">
      <w:pPr>
        <w:spacing w:after="0" w:line="240" w:lineRule="auto"/>
        <w:jc w:val="center"/>
        <w:rPr>
          <w:rFonts w:eastAsia="Times New Roman" w:cs="Times New Roman"/>
          <w:b/>
          <w:bCs/>
        </w:rPr>
        <w:sectPr w:rsidR="00A66727" w:rsidSect="00A66727">
          <w:pgSz w:w="12240" w:h="15840"/>
          <w:pgMar w:top="1440" w:right="1440" w:bottom="1440" w:left="1440" w:header="720" w:footer="720" w:gutter="0"/>
          <w:cols w:space="720"/>
          <w:docGrid w:linePitch="360"/>
        </w:sectPr>
      </w:pPr>
    </w:p>
    <w:p w:rsidR="00115A9E" w:rsidRDefault="000F40A7" w:rsidP="000F40A7">
      <w:pPr>
        <w:spacing w:after="0" w:line="240" w:lineRule="auto"/>
        <w:jc w:val="center"/>
        <w:rPr>
          <w:b/>
        </w:rPr>
      </w:pPr>
      <w:r w:rsidRPr="000F40A7">
        <w:rPr>
          <w:rFonts w:eastAsia="Times New Roman" w:cs="Times New Roman"/>
          <w:b/>
          <w:bCs/>
        </w:rPr>
        <w:lastRenderedPageBreak/>
        <w:t xml:space="preserve">Figure 1. Theory of action for the </w:t>
      </w:r>
      <w:r w:rsidR="00C94AB7" w:rsidRPr="00C94AB7">
        <w:rPr>
          <w:rFonts w:eastAsia="Times New Roman" w:cs="Times New Roman"/>
          <w:b/>
          <w:bCs/>
        </w:rPr>
        <w:t>Tessera</w:t>
      </w:r>
      <w:r w:rsidR="009646F0" w:rsidRPr="00A66727">
        <w:rPr>
          <w:rFonts w:eastAsia="Times New Roman" w:cs="Times New Roman"/>
          <w:b/>
          <w:bCs/>
          <w:vertAlign w:val="superscript"/>
        </w:rPr>
        <w:t>TM</w:t>
      </w:r>
      <w:r w:rsidR="00C94AB7" w:rsidRPr="00C94AB7">
        <w:rPr>
          <w:rFonts w:eastAsia="Times New Roman" w:cs="Times New Roman"/>
          <w:b/>
          <w:bCs/>
        </w:rPr>
        <w:t xml:space="preserve"> Noncognitive Assessment System</w:t>
      </w:r>
    </w:p>
    <w:p w:rsidR="00CC4A36" w:rsidRDefault="00CC4A36" w:rsidP="00CC4A36">
      <w:pPr>
        <w:spacing w:after="0" w:line="240" w:lineRule="auto"/>
        <w:jc w:val="center"/>
        <w:rPr>
          <w:b/>
        </w:rPr>
      </w:pPr>
    </w:p>
    <w:p w:rsidR="007E36A8" w:rsidRPr="00252C57" w:rsidRDefault="007E36A8" w:rsidP="00CC4A36">
      <w:pPr>
        <w:spacing w:after="0" w:line="240" w:lineRule="auto"/>
        <w:jc w:val="center"/>
        <w:rPr>
          <w:b/>
        </w:rPr>
      </w:pPr>
    </w:p>
    <w:p w:rsidR="007E36A8" w:rsidRDefault="00D23AB3" w:rsidP="00252C57">
      <w:pPr>
        <w:spacing w:after="0" w:line="240" w:lineRule="auto"/>
        <w:rPr>
          <w:b/>
        </w:rPr>
      </w:pPr>
      <w:r>
        <w:rPr>
          <w:noProof/>
        </w:rPr>
        <w:drawing>
          <wp:inline distT="0" distB="0" distL="0" distR="0">
            <wp:extent cx="8229600" cy="426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260850"/>
                    </a:xfrm>
                    <a:prstGeom prst="rect">
                      <a:avLst/>
                    </a:prstGeom>
                  </pic:spPr>
                </pic:pic>
              </a:graphicData>
            </a:graphic>
          </wp:inline>
        </w:drawing>
      </w:r>
    </w:p>
    <w:p w:rsidR="002F45A7" w:rsidRPr="00252C57" w:rsidRDefault="002F45A7" w:rsidP="00252C57">
      <w:pPr>
        <w:spacing w:after="0" w:line="240" w:lineRule="auto"/>
        <w:rPr>
          <w:b/>
        </w:rPr>
      </w:pPr>
    </w:p>
    <w:p w:rsidR="007E36A8" w:rsidRPr="00252C57" w:rsidRDefault="007E36A8" w:rsidP="00252C57">
      <w:pPr>
        <w:spacing w:after="0" w:line="240" w:lineRule="auto"/>
        <w:rPr>
          <w:b/>
        </w:rPr>
      </w:pPr>
    </w:p>
    <w:p w:rsidR="007E36A8" w:rsidRPr="00252C57" w:rsidRDefault="007E36A8" w:rsidP="00252C57">
      <w:pPr>
        <w:spacing w:after="0" w:line="240" w:lineRule="auto"/>
        <w:rPr>
          <w:b/>
        </w:rPr>
      </w:pPr>
    </w:p>
    <w:p w:rsidR="007E36A8" w:rsidRPr="00252C57" w:rsidRDefault="007E36A8" w:rsidP="00252C57">
      <w:pPr>
        <w:spacing w:after="0" w:line="240" w:lineRule="auto"/>
        <w:rPr>
          <w:b/>
        </w:rPr>
      </w:pPr>
    </w:p>
    <w:p w:rsidR="007E36A8" w:rsidRPr="00252C57" w:rsidRDefault="007E36A8" w:rsidP="00252C57">
      <w:pPr>
        <w:spacing w:after="0" w:line="240" w:lineRule="auto"/>
        <w:rPr>
          <w:b/>
        </w:rPr>
        <w:sectPr w:rsidR="007E36A8" w:rsidRPr="00252C57" w:rsidSect="00A66727">
          <w:pgSz w:w="15840" w:h="12240" w:orient="landscape"/>
          <w:pgMar w:top="1440" w:right="1440" w:bottom="1440" w:left="1440" w:header="720" w:footer="720" w:gutter="0"/>
          <w:cols w:space="720"/>
          <w:docGrid w:linePitch="360"/>
        </w:sectPr>
      </w:pPr>
    </w:p>
    <w:p w:rsidR="00252C57" w:rsidRPr="00CB149C" w:rsidRDefault="00252C57" w:rsidP="00252C57">
      <w:pPr>
        <w:spacing w:after="0" w:line="240" w:lineRule="auto"/>
        <w:jc w:val="center"/>
        <w:rPr>
          <w:b/>
          <w:sz w:val="24"/>
          <w:szCs w:val="24"/>
        </w:rPr>
      </w:pPr>
      <w:r w:rsidRPr="00CB149C">
        <w:rPr>
          <w:b/>
          <w:sz w:val="24"/>
          <w:szCs w:val="24"/>
        </w:rPr>
        <w:lastRenderedPageBreak/>
        <w:t>Description of Empirical and Logical Foundation</w:t>
      </w:r>
    </w:p>
    <w:p w:rsidR="007E36A8" w:rsidRPr="00CB149C" w:rsidRDefault="007E36A8" w:rsidP="00252C57">
      <w:pPr>
        <w:spacing w:after="0" w:line="240" w:lineRule="auto"/>
        <w:rPr>
          <w:b/>
          <w:sz w:val="24"/>
          <w:szCs w:val="24"/>
        </w:rPr>
      </w:pPr>
    </w:p>
    <w:p w:rsidR="00252C57" w:rsidRPr="00CB149C" w:rsidRDefault="00252C57" w:rsidP="00252C57">
      <w:pPr>
        <w:pStyle w:val="BlockQuote"/>
        <w:tabs>
          <w:tab w:val="left" w:pos="9360"/>
          <w:tab w:val="left" w:pos="9540"/>
        </w:tabs>
        <w:spacing w:after="0"/>
        <w:ind w:left="0" w:right="90"/>
        <w:rPr>
          <w:rFonts w:asciiTheme="minorHAnsi" w:hAnsiTheme="minorHAnsi" w:cs="Arial"/>
          <w:szCs w:val="24"/>
        </w:rPr>
      </w:pPr>
      <w:r w:rsidRPr="00CB149C">
        <w:rPr>
          <w:rFonts w:asciiTheme="minorHAnsi" w:hAnsiTheme="minorHAnsi" w:cs="Arial"/>
          <w:szCs w:val="24"/>
        </w:rPr>
        <w:t xml:space="preserve">Below are the empirical and logical arguments that support each claim in Figure 1. Each argument box contains three pieces of information:  (1) </w:t>
      </w:r>
      <w:r w:rsidR="00CB149C">
        <w:rPr>
          <w:rFonts w:asciiTheme="minorHAnsi" w:hAnsiTheme="minorHAnsi" w:cs="Arial"/>
          <w:szCs w:val="24"/>
        </w:rPr>
        <w:t>S</w:t>
      </w:r>
      <w:r w:rsidR="00CB149C" w:rsidRPr="00CB149C">
        <w:rPr>
          <w:rFonts w:asciiTheme="minorHAnsi" w:hAnsiTheme="minorHAnsi" w:cs="Arial"/>
          <w:szCs w:val="24"/>
        </w:rPr>
        <w:t xml:space="preserve">pecific </w:t>
      </w:r>
      <w:r w:rsidRPr="00CB149C">
        <w:rPr>
          <w:rFonts w:asciiTheme="minorHAnsi" w:hAnsiTheme="minorHAnsi" w:cs="Arial"/>
          <w:szCs w:val="24"/>
        </w:rPr>
        <w:t>research evidence or logical arguments that supports how the assessment may lead to the identified claim; (2) a general statement about associated challenges in today’s schools and workplaces, and (3) how the assessment helps address both the research and the challenges.</w:t>
      </w:r>
    </w:p>
    <w:p w:rsidR="0057292B" w:rsidRPr="00CB149C" w:rsidRDefault="0057292B" w:rsidP="00252C57">
      <w:pPr>
        <w:spacing w:after="0" w:line="240" w:lineRule="auto"/>
        <w:rPr>
          <w:sz w:val="24"/>
          <w:szCs w:val="24"/>
        </w:rPr>
      </w:pPr>
    </w:p>
    <w:tbl>
      <w:tblPr>
        <w:tblStyle w:val="TableGrid"/>
        <w:tblW w:w="9535" w:type="dxa"/>
        <w:tblLook w:val="04A0" w:firstRow="1" w:lastRow="0" w:firstColumn="1" w:lastColumn="0" w:noHBand="0" w:noVBand="1"/>
      </w:tblPr>
      <w:tblGrid>
        <w:gridCol w:w="500"/>
        <w:gridCol w:w="9035"/>
      </w:tblGrid>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t>1</w:t>
            </w:r>
          </w:p>
        </w:tc>
        <w:tc>
          <w:tcPr>
            <w:tcW w:w="9035" w:type="dxa"/>
          </w:tcPr>
          <w:p w:rsidR="0057292B" w:rsidRPr="00CB149C" w:rsidRDefault="0057292B" w:rsidP="00AD15BA">
            <w:pPr>
              <w:spacing w:line="259" w:lineRule="auto"/>
              <w:jc w:val="center"/>
              <w:rPr>
                <w:b/>
                <w:sz w:val="24"/>
                <w:szCs w:val="24"/>
              </w:rPr>
            </w:pPr>
            <w:r w:rsidRPr="00CB149C">
              <w:rPr>
                <w:b/>
                <w:sz w:val="24"/>
                <w:szCs w:val="24"/>
              </w:rPr>
              <w:t>When students take the assessment, they provide honest responses to the assessment</w:t>
            </w:r>
          </w:p>
          <w:p w:rsidR="00AD15BA" w:rsidRPr="00CB149C" w:rsidRDefault="00AD15BA" w:rsidP="00AD15BA">
            <w:pPr>
              <w:spacing w:line="259" w:lineRule="auto"/>
              <w:rPr>
                <w:b/>
                <w:sz w:val="24"/>
                <w:szCs w:val="24"/>
              </w:rPr>
            </w:pPr>
          </w:p>
          <w:p w:rsidR="000F40A7" w:rsidRPr="00CB149C" w:rsidRDefault="000F40A7" w:rsidP="00AD15BA">
            <w:pPr>
              <w:rPr>
                <w:b/>
                <w:sz w:val="24"/>
                <w:szCs w:val="24"/>
              </w:rPr>
            </w:pPr>
            <w:r w:rsidRPr="00CB149C">
              <w:rPr>
                <w:b/>
                <w:sz w:val="24"/>
                <w:szCs w:val="24"/>
              </w:rPr>
              <w:t>Research/Logic Argument</w:t>
            </w:r>
          </w:p>
          <w:p w:rsidR="005F2F77" w:rsidRPr="00CB149C" w:rsidRDefault="00600054" w:rsidP="00400FB6">
            <w:pPr>
              <w:rPr>
                <w:sz w:val="24"/>
                <w:szCs w:val="24"/>
              </w:rPr>
            </w:pPr>
            <w:r w:rsidRPr="00CB149C">
              <w:rPr>
                <w:sz w:val="24"/>
                <w:szCs w:val="24"/>
              </w:rPr>
              <w:t xml:space="preserve">We </w:t>
            </w:r>
            <w:r w:rsidR="00CF4DFA" w:rsidRPr="00CB149C">
              <w:rPr>
                <w:sz w:val="24"/>
                <w:szCs w:val="24"/>
              </w:rPr>
              <w:t xml:space="preserve">apply both </w:t>
            </w:r>
            <w:r w:rsidRPr="00CB149C">
              <w:rPr>
                <w:sz w:val="24"/>
                <w:szCs w:val="24"/>
              </w:rPr>
              <w:t>logic</w:t>
            </w:r>
            <w:r w:rsidR="00CF4DFA" w:rsidRPr="00CB149C">
              <w:rPr>
                <w:sz w:val="24"/>
                <w:szCs w:val="24"/>
              </w:rPr>
              <w:t>-</w:t>
            </w:r>
            <w:r w:rsidRPr="00CB149C">
              <w:rPr>
                <w:sz w:val="24"/>
                <w:szCs w:val="24"/>
              </w:rPr>
              <w:t xml:space="preserve"> and research</w:t>
            </w:r>
            <w:r w:rsidR="00CF4DFA" w:rsidRPr="00CB149C">
              <w:rPr>
                <w:sz w:val="24"/>
                <w:szCs w:val="24"/>
              </w:rPr>
              <w:t>-based</w:t>
            </w:r>
            <w:r w:rsidRPr="00CB149C">
              <w:rPr>
                <w:sz w:val="24"/>
                <w:szCs w:val="24"/>
              </w:rPr>
              <w:t xml:space="preserve"> argument</w:t>
            </w:r>
            <w:r w:rsidR="00CF4DFA" w:rsidRPr="00CB149C">
              <w:rPr>
                <w:sz w:val="24"/>
                <w:szCs w:val="24"/>
              </w:rPr>
              <w:t>s</w:t>
            </w:r>
            <w:r w:rsidRPr="00CB149C">
              <w:rPr>
                <w:sz w:val="24"/>
                <w:szCs w:val="24"/>
              </w:rPr>
              <w:t xml:space="preserve"> to this claim. </w:t>
            </w:r>
            <w:r w:rsidR="00400FB6" w:rsidRPr="00CB149C">
              <w:rPr>
                <w:sz w:val="24"/>
                <w:szCs w:val="24"/>
              </w:rPr>
              <w:t xml:space="preserve">First, the assessment is a low-stakes assessment. That is, no decisions will be made based on the assessment results. Rather, the assessment will be used for development purposes. Thus, students should not be motivated to “fake” their assessment results. Faking to receive uninformative feedback would clearly be to the detriment of the student. </w:t>
            </w:r>
          </w:p>
          <w:p w:rsidR="005F2F77" w:rsidRPr="00CB149C" w:rsidRDefault="005F2F77" w:rsidP="00400FB6">
            <w:pPr>
              <w:rPr>
                <w:sz w:val="24"/>
                <w:szCs w:val="24"/>
              </w:rPr>
            </w:pPr>
          </w:p>
          <w:p w:rsidR="00400FB6" w:rsidRPr="00CB149C" w:rsidRDefault="005F2F77" w:rsidP="00474D43">
            <w:pPr>
              <w:rPr>
                <w:sz w:val="24"/>
                <w:szCs w:val="24"/>
              </w:rPr>
            </w:pPr>
            <w:r w:rsidRPr="00CB149C">
              <w:rPr>
                <w:rFonts w:cstheme="minorHAnsi"/>
                <w:sz w:val="24"/>
                <w:szCs w:val="24"/>
              </w:rPr>
              <w:t>If students do for some reason decide to fake their responses,</w:t>
            </w:r>
            <w:r w:rsidR="00400FB6" w:rsidRPr="00CB149C">
              <w:rPr>
                <w:rFonts w:cstheme="minorHAnsi"/>
                <w:sz w:val="24"/>
                <w:szCs w:val="24"/>
              </w:rPr>
              <w:t xml:space="preserve"> the three assessment methodologies are clearly differentially sensitive to the effects of faking (and in the same order): Self-assessments, followed by situational judgment tests</w:t>
            </w:r>
            <w:r w:rsidR="00474D43" w:rsidRPr="00CB149C">
              <w:rPr>
                <w:rFonts w:cstheme="minorHAnsi"/>
                <w:sz w:val="24"/>
                <w:szCs w:val="24"/>
              </w:rPr>
              <w:t xml:space="preserve"> (SJTs)</w:t>
            </w:r>
            <w:r w:rsidR="00400FB6" w:rsidRPr="00CB149C">
              <w:rPr>
                <w:rFonts w:cstheme="minorHAnsi"/>
                <w:sz w:val="24"/>
                <w:szCs w:val="24"/>
              </w:rPr>
              <w:t xml:space="preserve">, then forced-choice assessments. </w:t>
            </w:r>
            <w:r w:rsidRPr="00CB149C">
              <w:rPr>
                <w:sz w:val="24"/>
                <w:szCs w:val="24"/>
              </w:rPr>
              <w:t xml:space="preserve">Self-assessments are clearly easy to fake and much research has demonstrated that people do indeed fake self-report assessments in high-stakes situations (Ziegler, MacCann, &amp; Roberts, 2011). While they are still suspect to faking, </w:t>
            </w:r>
            <w:r w:rsidR="00474D43" w:rsidRPr="00CB149C">
              <w:rPr>
                <w:sz w:val="24"/>
                <w:szCs w:val="24"/>
              </w:rPr>
              <w:t>SJTs</w:t>
            </w:r>
            <w:r w:rsidRPr="00CB149C">
              <w:rPr>
                <w:sz w:val="24"/>
                <w:szCs w:val="24"/>
              </w:rPr>
              <w:t xml:space="preserve"> are more difficult to fak</w:t>
            </w:r>
            <w:r w:rsidR="00474D43" w:rsidRPr="00CB149C">
              <w:rPr>
                <w:sz w:val="24"/>
                <w:szCs w:val="24"/>
              </w:rPr>
              <w:t>e than self-report assessments. Hooper, Cullen</w:t>
            </w:r>
            <w:r w:rsidR="00CB149C">
              <w:rPr>
                <w:sz w:val="24"/>
                <w:szCs w:val="24"/>
              </w:rPr>
              <w:t>,</w:t>
            </w:r>
            <w:r w:rsidR="00474D43" w:rsidRPr="00CB149C">
              <w:rPr>
                <w:sz w:val="24"/>
                <w:szCs w:val="24"/>
              </w:rPr>
              <w:t xml:space="preserve"> and Sackett (2006) reviewed evidence that SJTs are less prone to faking than self-report assessments, pointing to the promise of SJTs as a method of addressing faking issue</w:t>
            </w:r>
            <w:r w:rsidR="00B80AA0" w:rsidRPr="00CB149C">
              <w:rPr>
                <w:sz w:val="24"/>
                <w:szCs w:val="24"/>
              </w:rPr>
              <w:t>s in education. Finally, forced-</w:t>
            </w:r>
            <w:r w:rsidR="00474D43" w:rsidRPr="00CB149C">
              <w:rPr>
                <w:sz w:val="24"/>
                <w:szCs w:val="24"/>
              </w:rPr>
              <w:t>choice assessments are very difficult to fake because the options are matched on social desirability</w:t>
            </w:r>
            <w:r w:rsidR="0065464E" w:rsidRPr="00CB149C">
              <w:rPr>
                <w:sz w:val="24"/>
                <w:szCs w:val="24"/>
              </w:rPr>
              <w:t>, making it difficult to discern which of the options is “best”</w:t>
            </w:r>
            <w:r w:rsidR="00474D43" w:rsidRPr="00CB149C">
              <w:rPr>
                <w:sz w:val="24"/>
                <w:szCs w:val="24"/>
              </w:rPr>
              <w:t xml:space="preserve"> (e.g., Stark,</w:t>
            </w:r>
            <w:r w:rsidR="00B80AA0" w:rsidRPr="00CB149C">
              <w:rPr>
                <w:sz w:val="24"/>
                <w:szCs w:val="24"/>
              </w:rPr>
              <w:t xml:space="preserve"> Chernyshenko, &amp; Drasgow, 2005)</w:t>
            </w:r>
            <w:r w:rsidR="00214C94" w:rsidRPr="00CB149C">
              <w:rPr>
                <w:sz w:val="24"/>
                <w:szCs w:val="24"/>
              </w:rPr>
              <w:t>.</w:t>
            </w:r>
          </w:p>
          <w:p w:rsidR="003258FC" w:rsidRPr="00CB149C" w:rsidRDefault="003258FC" w:rsidP="00474D43">
            <w:pPr>
              <w:rPr>
                <w:sz w:val="24"/>
                <w:szCs w:val="24"/>
              </w:rPr>
            </w:pPr>
          </w:p>
          <w:p w:rsidR="003258FC" w:rsidRPr="00CB149C" w:rsidRDefault="003258FC" w:rsidP="00474D43">
            <w:pPr>
              <w:rPr>
                <w:sz w:val="24"/>
                <w:szCs w:val="24"/>
              </w:rPr>
            </w:pPr>
            <w:r w:rsidRPr="00CB149C">
              <w:rPr>
                <w:sz w:val="24"/>
                <w:szCs w:val="24"/>
              </w:rPr>
              <w:t>A tangential issue that is important is the possibility that student responses will be inaccurate because of self-deception. They may feel that they are more skilled than they truly are.  Note, however, that the claim is that students provide honest responses. Students can provide honest responses that are self-deceptive. Furthermore, we see evidence of self-deception as an important opportunity for intervention, as an intervention can target these inaccurate self-beliefs. Self-deception is likely a greater issue for self-report and forced-choice items than it is for SJT items because SJT items are likely more behaviorally based. Thus, larger than average discrepancies between SJT responses and self-report/forced-choice respons</w:t>
            </w:r>
            <w:r w:rsidR="003C30A5" w:rsidRPr="00CB149C">
              <w:rPr>
                <w:sz w:val="24"/>
                <w:szCs w:val="24"/>
              </w:rPr>
              <w:t xml:space="preserve">es may indicate self-deception. Pilot testing may thus indicate that SJT responses should be considered the “most valid” of the assessment methodologies employed. </w:t>
            </w:r>
          </w:p>
          <w:p w:rsidR="0057292B" w:rsidRPr="00CB149C" w:rsidRDefault="0057292B" w:rsidP="0057292B">
            <w:pPr>
              <w:pStyle w:val="ListParagraph"/>
              <w:spacing w:after="0" w:line="240" w:lineRule="auto"/>
              <w:ind w:left="0"/>
              <w:rPr>
                <w:sz w:val="24"/>
                <w:szCs w:val="24"/>
              </w:rPr>
            </w:pPr>
          </w:p>
          <w:p w:rsidR="007B05D0" w:rsidRPr="00CB149C" w:rsidRDefault="007B05D0" w:rsidP="007B05D0">
            <w:pPr>
              <w:rPr>
                <w:b/>
                <w:sz w:val="24"/>
                <w:szCs w:val="24"/>
              </w:rPr>
            </w:pPr>
            <w:r w:rsidRPr="00CB149C">
              <w:rPr>
                <w:b/>
                <w:sz w:val="24"/>
                <w:szCs w:val="24"/>
              </w:rPr>
              <w:t>The Current Challenge</w:t>
            </w:r>
          </w:p>
          <w:p w:rsidR="007B05D0" w:rsidRPr="00CB149C" w:rsidRDefault="007B05D0" w:rsidP="007B05D0">
            <w:pPr>
              <w:rPr>
                <w:sz w:val="24"/>
                <w:szCs w:val="24"/>
              </w:rPr>
            </w:pPr>
            <w:r w:rsidRPr="00CB149C">
              <w:rPr>
                <w:sz w:val="24"/>
                <w:szCs w:val="24"/>
              </w:rPr>
              <w:lastRenderedPageBreak/>
              <w:t xml:space="preserve">Students can fake their responses to self-report items if they so desire. To a lesser extent they might also be </w:t>
            </w:r>
            <w:r w:rsidR="00791FBE" w:rsidRPr="00CB149C">
              <w:rPr>
                <w:sz w:val="24"/>
                <w:szCs w:val="24"/>
              </w:rPr>
              <w:t xml:space="preserve">able to </w:t>
            </w:r>
            <w:r w:rsidRPr="00CB149C">
              <w:rPr>
                <w:sz w:val="24"/>
                <w:szCs w:val="24"/>
              </w:rPr>
              <w:t xml:space="preserve">fake their responses to SJTs. It is highly unlikely that they will be able to fake their responses to forced-choice assessments. To the extent that students fake their responses, the assessment’s validity can be called into question.  </w:t>
            </w:r>
          </w:p>
          <w:p w:rsidR="007B05D0" w:rsidRPr="00CB149C" w:rsidRDefault="007B05D0" w:rsidP="007B05D0">
            <w:pPr>
              <w:rPr>
                <w:sz w:val="24"/>
                <w:szCs w:val="24"/>
              </w:rPr>
            </w:pPr>
          </w:p>
          <w:p w:rsidR="007B05D0" w:rsidRPr="00CB149C" w:rsidRDefault="007B05D0" w:rsidP="007B05D0">
            <w:pPr>
              <w:rPr>
                <w:b/>
                <w:sz w:val="24"/>
                <w:szCs w:val="24"/>
              </w:rPr>
            </w:pPr>
            <w:r w:rsidRPr="00CB149C">
              <w:rPr>
                <w:b/>
                <w:sz w:val="24"/>
                <w:szCs w:val="24"/>
              </w:rPr>
              <w:t>The Solution</w:t>
            </w:r>
          </w:p>
          <w:p w:rsidR="0057292B" w:rsidRPr="00CB149C" w:rsidRDefault="007B05D0" w:rsidP="007B05D0">
            <w:pPr>
              <w:rPr>
                <w:sz w:val="24"/>
                <w:szCs w:val="24"/>
              </w:rPr>
            </w:pPr>
            <w:r w:rsidRPr="00CB149C">
              <w:rPr>
                <w:sz w:val="24"/>
                <w:szCs w:val="24"/>
              </w:rPr>
              <w:t xml:space="preserve">It is unlikely that students will fake responses to the </w:t>
            </w:r>
            <w:r w:rsidR="00C94AB7" w:rsidRPr="00CB149C">
              <w:rPr>
                <w:sz w:val="24"/>
                <w:szCs w:val="24"/>
              </w:rPr>
              <w:t>Tessera</w:t>
            </w:r>
            <w:r w:rsidR="009646F0" w:rsidRPr="00A66727">
              <w:rPr>
                <w:sz w:val="24"/>
                <w:szCs w:val="24"/>
                <w:vertAlign w:val="superscript"/>
              </w:rPr>
              <w:t>TM</w:t>
            </w:r>
            <w:r w:rsidR="00C94AB7" w:rsidRPr="00CB149C">
              <w:rPr>
                <w:sz w:val="24"/>
                <w:szCs w:val="24"/>
              </w:rPr>
              <w:t xml:space="preserve"> Noncognitive Assessment System </w:t>
            </w:r>
            <w:r w:rsidRPr="00CB149C">
              <w:rPr>
                <w:sz w:val="24"/>
                <w:szCs w:val="24"/>
              </w:rPr>
              <w:t>because the</w:t>
            </w:r>
            <w:r w:rsidR="00CB149C">
              <w:rPr>
                <w:sz w:val="24"/>
                <w:szCs w:val="24"/>
              </w:rPr>
              <w:t xml:space="preserve"> intended purpose of the</w:t>
            </w:r>
            <w:r w:rsidRPr="00CB149C">
              <w:rPr>
                <w:sz w:val="24"/>
                <w:szCs w:val="24"/>
              </w:rPr>
              <w:t xml:space="preserve"> assessment is </w:t>
            </w:r>
            <w:r w:rsidR="00CB149C">
              <w:rPr>
                <w:sz w:val="24"/>
                <w:szCs w:val="24"/>
              </w:rPr>
              <w:t xml:space="preserve">relatively </w:t>
            </w:r>
            <w:r w:rsidRPr="00CB149C">
              <w:rPr>
                <w:sz w:val="24"/>
                <w:szCs w:val="24"/>
              </w:rPr>
              <w:t xml:space="preserve">low-stakes. In the unlikely event that they do attempt to fake, they will have difficulty faking the SJT portion of the assessment, and </w:t>
            </w:r>
            <w:r w:rsidR="00791FBE" w:rsidRPr="00CB149C">
              <w:rPr>
                <w:sz w:val="24"/>
                <w:szCs w:val="24"/>
              </w:rPr>
              <w:t xml:space="preserve">they </w:t>
            </w:r>
            <w:r w:rsidRPr="00CB149C">
              <w:rPr>
                <w:sz w:val="24"/>
                <w:szCs w:val="24"/>
              </w:rPr>
              <w:t xml:space="preserve">should find it </w:t>
            </w:r>
            <w:r w:rsidR="00CB149C">
              <w:rPr>
                <w:sz w:val="24"/>
                <w:szCs w:val="24"/>
              </w:rPr>
              <w:t>extremely difficult</w:t>
            </w:r>
            <w:r w:rsidRPr="00CB149C">
              <w:rPr>
                <w:sz w:val="24"/>
                <w:szCs w:val="24"/>
              </w:rPr>
              <w:t xml:space="preserve"> to fake the forced-choice portion. </w:t>
            </w:r>
          </w:p>
          <w:p w:rsidR="00203C15" w:rsidRPr="00CB149C" w:rsidRDefault="00203C15" w:rsidP="007B05D0">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2</w:t>
            </w:r>
          </w:p>
        </w:tc>
        <w:tc>
          <w:tcPr>
            <w:tcW w:w="9035" w:type="dxa"/>
          </w:tcPr>
          <w:p w:rsidR="0057292B" w:rsidRPr="00CB149C" w:rsidRDefault="0057292B" w:rsidP="00AD15BA">
            <w:pPr>
              <w:spacing w:line="259" w:lineRule="auto"/>
              <w:jc w:val="center"/>
              <w:rPr>
                <w:b/>
                <w:sz w:val="24"/>
                <w:szCs w:val="24"/>
              </w:rPr>
            </w:pPr>
            <w:r w:rsidRPr="00CB149C">
              <w:rPr>
                <w:b/>
                <w:sz w:val="24"/>
                <w:szCs w:val="24"/>
              </w:rPr>
              <w:t>Honest responses allow us to provide users with information and feedback about these skills</w:t>
            </w:r>
          </w:p>
          <w:p w:rsidR="00AD15BA" w:rsidRPr="00CB149C" w:rsidRDefault="00AD15BA" w:rsidP="00AD15BA">
            <w:pPr>
              <w:spacing w:line="259" w:lineRule="auto"/>
              <w:rPr>
                <w:b/>
                <w:sz w:val="24"/>
                <w:szCs w:val="24"/>
              </w:rPr>
            </w:pPr>
          </w:p>
          <w:p w:rsidR="00074DB9" w:rsidRPr="00CB149C" w:rsidRDefault="00074DB9" w:rsidP="00AD15BA">
            <w:pPr>
              <w:rPr>
                <w:sz w:val="24"/>
                <w:szCs w:val="24"/>
              </w:rPr>
            </w:pPr>
            <w:r w:rsidRPr="00CB149C">
              <w:rPr>
                <w:b/>
                <w:sz w:val="24"/>
                <w:szCs w:val="24"/>
              </w:rPr>
              <w:t xml:space="preserve">Research/Logic </w:t>
            </w:r>
            <w:r w:rsidR="000F40A7" w:rsidRPr="00CB149C">
              <w:rPr>
                <w:b/>
                <w:sz w:val="24"/>
                <w:szCs w:val="24"/>
              </w:rPr>
              <w:t>A</w:t>
            </w:r>
            <w:r w:rsidRPr="00CB149C">
              <w:rPr>
                <w:b/>
                <w:sz w:val="24"/>
                <w:szCs w:val="24"/>
              </w:rPr>
              <w:t>rgument</w:t>
            </w:r>
          </w:p>
          <w:p w:rsidR="0057292B" w:rsidRPr="00CB149C" w:rsidRDefault="003F7D6E" w:rsidP="00AD15BA">
            <w:pPr>
              <w:spacing w:line="259" w:lineRule="auto"/>
              <w:rPr>
                <w:sz w:val="24"/>
                <w:szCs w:val="24"/>
              </w:rPr>
            </w:pPr>
            <w:r w:rsidRPr="00CB149C">
              <w:rPr>
                <w:sz w:val="24"/>
                <w:szCs w:val="24"/>
              </w:rPr>
              <w:t xml:space="preserve">The ability to provide accurate information and feedback about these skills hinges on the ability to measure them reliably and validly. Honest </w:t>
            </w:r>
            <w:r w:rsidR="00791FBE" w:rsidRPr="00CB149C">
              <w:rPr>
                <w:sz w:val="24"/>
                <w:szCs w:val="24"/>
              </w:rPr>
              <w:t xml:space="preserve">responses </w:t>
            </w:r>
            <w:r w:rsidRPr="00CB149C">
              <w:rPr>
                <w:sz w:val="24"/>
                <w:szCs w:val="24"/>
              </w:rPr>
              <w:t>mean that the validity of the assessment will not be compromised by faking. Beyond that, several decades of research in the assessment of noncognitive skills, and specifically in the assessment of personality, has demonstrated that personality can indeed be measured reliably and validly (see Boyle, Matthews, &amp; Sokolfsky, 2008</w:t>
            </w:r>
            <w:r w:rsidR="00027CC1" w:rsidRPr="00CB149C">
              <w:rPr>
                <w:sz w:val="24"/>
                <w:szCs w:val="24"/>
              </w:rPr>
              <w:t xml:space="preserve"> for an extensive review). </w:t>
            </w:r>
            <w:r w:rsidR="00432AB7" w:rsidRPr="00CB149C">
              <w:rPr>
                <w:sz w:val="24"/>
                <w:szCs w:val="24"/>
              </w:rPr>
              <w:t xml:space="preserve">In fact, the decades of psychometric work on measures of the Big Five factors provide increased certainty that the </w:t>
            </w:r>
            <w:r w:rsidR="00CB149C">
              <w:rPr>
                <w:sz w:val="24"/>
                <w:szCs w:val="24"/>
              </w:rPr>
              <w:t xml:space="preserve">various components of the </w:t>
            </w:r>
            <w:r w:rsidR="00C94AB7" w:rsidRPr="00CB149C">
              <w:rPr>
                <w:sz w:val="24"/>
                <w:szCs w:val="24"/>
              </w:rPr>
              <w:t>Tessera</w:t>
            </w:r>
            <w:r w:rsidR="009646F0" w:rsidRPr="00A66727">
              <w:rPr>
                <w:sz w:val="24"/>
                <w:szCs w:val="24"/>
                <w:vertAlign w:val="superscript"/>
              </w:rPr>
              <w:t>TM</w:t>
            </w:r>
            <w:r w:rsidR="00C94AB7" w:rsidRPr="00CB149C">
              <w:rPr>
                <w:sz w:val="24"/>
                <w:szCs w:val="24"/>
              </w:rPr>
              <w:t xml:space="preserve"> Noncognitive Assessment System </w:t>
            </w:r>
            <w:r w:rsidR="00432AB7" w:rsidRPr="00CB149C">
              <w:rPr>
                <w:sz w:val="24"/>
                <w:szCs w:val="24"/>
              </w:rPr>
              <w:t xml:space="preserve">will be reliable and valid, something that cannot be said for several scales that are often used in education (see Thomas, Kuncel, &amp; Crede, 2007 for one example). </w:t>
            </w:r>
            <w:r w:rsidR="00074DB9" w:rsidRPr="00CB149C">
              <w:rPr>
                <w:sz w:val="24"/>
                <w:szCs w:val="24"/>
              </w:rPr>
              <w:t xml:space="preserve">Further, several organizations have been </w:t>
            </w:r>
            <w:r w:rsidR="00830717" w:rsidRPr="00CB149C">
              <w:rPr>
                <w:sz w:val="24"/>
                <w:szCs w:val="24"/>
              </w:rPr>
              <w:t>in the practice of providing</w:t>
            </w:r>
            <w:r w:rsidR="00074DB9" w:rsidRPr="00CB149C">
              <w:rPr>
                <w:sz w:val="24"/>
                <w:szCs w:val="24"/>
              </w:rPr>
              <w:t xml:space="preserve"> information and feedback to users on their noncognitive skills for many years. See </w:t>
            </w:r>
            <w:hyperlink r:id="rId10" w:history="1">
              <w:r w:rsidR="00074DB9" w:rsidRPr="00CB149C">
                <w:rPr>
                  <w:rStyle w:val="Hyperlink"/>
                  <w:sz w:val="24"/>
                  <w:szCs w:val="24"/>
                </w:rPr>
                <w:t>https://www.act.org/workkeys/assess/pdf/TalentScoreReport.pdf</w:t>
              </w:r>
            </w:hyperlink>
            <w:r w:rsidR="00074DB9" w:rsidRPr="00CB149C">
              <w:rPr>
                <w:sz w:val="24"/>
                <w:szCs w:val="24"/>
              </w:rPr>
              <w:t xml:space="preserve"> and </w:t>
            </w:r>
            <w:hyperlink r:id="rId11" w:history="1">
              <w:r w:rsidR="00074DB9" w:rsidRPr="00CB149C">
                <w:rPr>
                  <w:rStyle w:val="Hyperlink"/>
                  <w:sz w:val="24"/>
                  <w:szCs w:val="24"/>
                </w:rPr>
                <w:t>http://www.hoganassessments.com/sites/default/files/Basis%20-%20US%20English.pdf</w:t>
              </w:r>
            </w:hyperlink>
            <w:r w:rsidR="00074DB9" w:rsidRPr="00CB149C">
              <w:rPr>
                <w:sz w:val="24"/>
                <w:szCs w:val="24"/>
              </w:rPr>
              <w:t xml:space="preserve"> for just two examples. </w:t>
            </w:r>
          </w:p>
          <w:p w:rsidR="00AD15BA" w:rsidRPr="00CB149C" w:rsidRDefault="00AD15BA" w:rsidP="00AD15BA">
            <w:pPr>
              <w:spacing w:line="259" w:lineRule="auto"/>
              <w:rPr>
                <w:sz w:val="24"/>
                <w:szCs w:val="24"/>
              </w:rPr>
            </w:pPr>
          </w:p>
          <w:p w:rsidR="00B070D9" w:rsidRPr="00CB149C" w:rsidRDefault="00B070D9" w:rsidP="00AD15BA">
            <w:pPr>
              <w:rPr>
                <w:b/>
                <w:sz w:val="24"/>
                <w:szCs w:val="24"/>
              </w:rPr>
            </w:pPr>
            <w:r w:rsidRPr="00CB149C">
              <w:rPr>
                <w:b/>
                <w:sz w:val="24"/>
                <w:szCs w:val="24"/>
              </w:rPr>
              <w:t>The Current Challenge</w:t>
            </w:r>
          </w:p>
          <w:p w:rsidR="00B070D9" w:rsidRPr="00CB149C" w:rsidRDefault="00074DB9" w:rsidP="00AD15BA">
            <w:pPr>
              <w:rPr>
                <w:sz w:val="24"/>
                <w:szCs w:val="24"/>
              </w:rPr>
            </w:pPr>
            <w:r w:rsidRPr="00CB149C">
              <w:rPr>
                <w:sz w:val="24"/>
                <w:szCs w:val="24"/>
              </w:rPr>
              <w:t xml:space="preserve">The ability to provide accurate information and feedback on noncognitive skills hinges on the ability to reliably and validly assess these skills and to provide reports of these skills. </w:t>
            </w:r>
          </w:p>
          <w:p w:rsidR="00B070D9" w:rsidRPr="00CB149C" w:rsidRDefault="00B070D9" w:rsidP="00AD15BA">
            <w:pPr>
              <w:rPr>
                <w:sz w:val="24"/>
                <w:szCs w:val="24"/>
              </w:rPr>
            </w:pPr>
          </w:p>
          <w:p w:rsidR="00B070D9" w:rsidRPr="00CB149C" w:rsidRDefault="00B070D9" w:rsidP="00B070D9">
            <w:pPr>
              <w:rPr>
                <w:b/>
                <w:sz w:val="24"/>
                <w:szCs w:val="24"/>
              </w:rPr>
            </w:pPr>
            <w:r w:rsidRPr="00CB149C">
              <w:rPr>
                <w:b/>
                <w:sz w:val="24"/>
                <w:szCs w:val="24"/>
              </w:rPr>
              <w:t>The Solution</w:t>
            </w:r>
          </w:p>
          <w:p w:rsidR="00203C15" w:rsidRPr="00CB149C" w:rsidRDefault="00074DB9" w:rsidP="00B070D9">
            <w:pPr>
              <w:rPr>
                <w:sz w:val="24"/>
                <w:szCs w:val="24"/>
              </w:rPr>
            </w:pPr>
            <w:r w:rsidRPr="00CB149C">
              <w:rPr>
                <w:sz w:val="24"/>
                <w:szCs w:val="24"/>
              </w:rPr>
              <w:t xml:space="preserve">Several decades of research has demonstrated that noncognitive skills can indeed be reliably and validly assessed. The previous discussion in Point 1 also demonstrates that faking is not a large concern for the </w:t>
            </w:r>
            <w:r w:rsidR="00C94AB7" w:rsidRPr="00CB149C">
              <w:rPr>
                <w:sz w:val="24"/>
                <w:szCs w:val="24"/>
              </w:rPr>
              <w:t>Tessera</w:t>
            </w:r>
            <w:r w:rsidR="00CB149C" w:rsidRPr="00CB149C">
              <w:rPr>
                <w:sz w:val="24"/>
                <w:szCs w:val="24"/>
                <w:vertAlign w:val="superscript"/>
              </w:rPr>
              <w:t>TM</w:t>
            </w:r>
            <w:r w:rsidR="00C94AB7" w:rsidRPr="00CB149C">
              <w:rPr>
                <w:sz w:val="24"/>
                <w:szCs w:val="24"/>
              </w:rPr>
              <w:t xml:space="preserve"> Noncognitive Assessment System</w:t>
            </w:r>
            <w:r w:rsidRPr="00CB149C">
              <w:rPr>
                <w:sz w:val="24"/>
                <w:szCs w:val="24"/>
              </w:rPr>
              <w:t>. Finally, several proofs-of-concept are available that provide examples of how information and feedback can be tailored</w:t>
            </w:r>
            <w:r w:rsidR="00B070D9" w:rsidRPr="00CB149C">
              <w:rPr>
                <w:sz w:val="24"/>
                <w:szCs w:val="24"/>
              </w:rPr>
              <w:t>.</w:t>
            </w:r>
          </w:p>
          <w:p w:rsidR="0057292B" w:rsidRPr="00CB149C" w:rsidRDefault="00B070D9" w:rsidP="00B070D9">
            <w:pPr>
              <w:rPr>
                <w:sz w:val="24"/>
                <w:szCs w:val="24"/>
              </w:rPr>
            </w:pPr>
            <w:r w:rsidRPr="00CB149C">
              <w:rPr>
                <w:sz w:val="24"/>
                <w:szCs w:val="24"/>
              </w:rPr>
              <w:lastRenderedPageBreak/>
              <w:t xml:space="preserve"> </w:t>
            </w: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3</w:t>
            </w:r>
          </w:p>
        </w:tc>
        <w:tc>
          <w:tcPr>
            <w:tcW w:w="9035" w:type="dxa"/>
          </w:tcPr>
          <w:p w:rsidR="0057292B" w:rsidRPr="00CB149C" w:rsidRDefault="0057292B" w:rsidP="00AD15BA">
            <w:pPr>
              <w:spacing w:line="259" w:lineRule="auto"/>
              <w:jc w:val="center"/>
              <w:rPr>
                <w:b/>
                <w:sz w:val="24"/>
                <w:szCs w:val="24"/>
              </w:rPr>
            </w:pPr>
            <w:r w:rsidRPr="00CB149C">
              <w:rPr>
                <w:b/>
                <w:sz w:val="24"/>
                <w:szCs w:val="24"/>
              </w:rPr>
              <w:t>Assessment feedback will inform interventions and these skills are sensitive to intervention</w:t>
            </w:r>
          </w:p>
          <w:p w:rsidR="00AD15BA" w:rsidRPr="00CB149C" w:rsidRDefault="00AD15BA" w:rsidP="00AD15BA">
            <w:pPr>
              <w:rPr>
                <w:b/>
                <w:sz w:val="24"/>
                <w:szCs w:val="24"/>
              </w:rPr>
            </w:pPr>
          </w:p>
          <w:p w:rsidR="0057292B" w:rsidRPr="00CB149C" w:rsidRDefault="0057292B" w:rsidP="00AD15BA">
            <w:pPr>
              <w:rPr>
                <w:sz w:val="24"/>
                <w:szCs w:val="24"/>
              </w:rPr>
            </w:pPr>
            <w:r w:rsidRPr="00CB149C">
              <w:rPr>
                <w:b/>
                <w:sz w:val="24"/>
                <w:szCs w:val="24"/>
              </w:rPr>
              <w:t xml:space="preserve">Research/Logic </w:t>
            </w:r>
            <w:r w:rsidR="000F40A7" w:rsidRPr="00CB149C">
              <w:rPr>
                <w:b/>
                <w:sz w:val="24"/>
                <w:szCs w:val="24"/>
              </w:rPr>
              <w:t>A</w:t>
            </w:r>
            <w:r w:rsidRPr="00CB149C">
              <w:rPr>
                <w:b/>
                <w:sz w:val="24"/>
                <w:szCs w:val="24"/>
              </w:rPr>
              <w:t>rgument</w:t>
            </w:r>
          </w:p>
          <w:p w:rsidR="009429A1" w:rsidRPr="00CB149C" w:rsidRDefault="009429A1" w:rsidP="0057292B">
            <w:pPr>
              <w:pStyle w:val="ListParagraph"/>
              <w:spacing w:after="0" w:line="240" w:lineRule="auto"/>
              <w:ind w:left="0"/>
              <w:rPr>
                <w:sz w:val="24"/>
                <w:szCs w:val="24"/>
              </w:rPr>
            </w:pPr>
            <w:r w:rsidRPr="00CB149C">
              <w:rPr>
                <w:sz w:val="24"/>
                <w:szCs w:val="24"/>
              </w:rPr>
              <w:t xml:space="preserve">This claim has two statements. The first statement, “assessment feedback </w:t>
            </w:r>
            <w:r w:rsidR="0075585E" w:rsidRPr="00CB149C">
              <w:rPr>
                <w:sz w:val="24"/>
                <w:szCs w:val="24"/>
              </w:rPr>
              <w:t>will inform interventions” requires a logical argument. Simply put, parents and teachers can only know where to target interventions if th</w:t>
            </w:r>
            <w:r w:rsidR="00D8612B" w:rsidRPr="00CB149C">
              <w:rPr>
                <w:sz w:val="24"/>
                <w:szCs w:val="24"/>
              </w:rPr>
              <w:t xml:space="preserve">ey have accurate information of where their </w:t>
            </w:r>
            <w:r w:rsidR="0075585E" w:rsidRPr="00CB149C">
              <w:rPr>
                <w:sz w:val="24"/>
                <w:szCs w:val="24"/>
              </w:rPr>
              <w:t>student</w:t>
            </w:r>
            <w:r w:rsidR="00D8612B" w:rsidRPr="00CB149C">
              <w:rPr>
                <w:sz w:val="24"/>
                <w:szCs w:val="24"/>
              </w:rPr>
              <w:t>s stand</w:t>
            </w:r>
            <w:r w:rsidR="0075585E" w:rsidRPr="00CB149C">
              <w:rPr>
                <w:sz w:val="24"/>
                <w:szCs w:val="24"/>
              </w:rPr>
              <w:t xml:space="preserve"> on </w:t>
            </w:r>
            <w:r w:rsidR="00EA59B5" w:rsidRPr="00CB149C">
              <w:rPr>
                <w:sz w:val="24"/>
                <w:szCs w:val="24"/>
              </w:rPr>
              <w:t xml:space="preserve">specific </w:t>
            </w:r>
            <w:r w:rsidR="0075585E" w:rsidRPr="00CB149C">
              <w:rPr>
                <w:sz w:val="24"/>
                <w:szCs w:val="24"/>
              </w:rPr>
              <w:t>noncognitive skills. Assessment feedback that is developed using reliable and valid measurement will provide an accurate pic</w:t>
            </w:r>
            <w:r w:rsidR="00D8612B" w:rsidRPr="00CB149C">
              <w:rPr>
                <w:sz w:val="24"/>
                <w:szCs w:val="24"/>
              </w:rPr>
              <w:t>ture of these skills</w:t>
            </w:r>
            <w:r w:rsidR="0075585E" w:rsidRPr="00CB149C">
              <w:rPr>
                <w:sz w:val="24"/>
                <w:szCs w:val="24"/>
              </w:rPr>
              <w:t xml:space="preserve">. </w:t>
            </w:r>
            <w:r w:rsidR="00D8612B" w:rsidRPr="00CB149C">
              <w:rPr>
                <w:sz w:val="24"/>
                <w:szCs w:val="24"/>
              </w:rPr>
              <w:t>As stated in Point 2, personality assessment has a long history of reliable and valid measurement and providing feedback around these measures</w:t>
            </w:r>
            <w:r w:rsidR="00787F72" w:rsidRPr="00CB149C">
              <w:rPr>
                <w:sz w:val="24"/>
                <w:szCs w:val="24"/>
              </w:rPr>
              <w:t xml:space="preserve"> is commonly done by several organizations</w:t>
            </w:r>
            <w:r w:rsidR="00D8612B" w:rsidRPr="00CB149C">
              <w:rPr>
                <w:sz w:val="24"/>
                <w:szCs w:val="24"/>
              </w:rPr>
              <w:t>.</w:t>
            </w:r>
          </w:p>
          <w:p w:rsidR="0075585E" w:rsidRPr="00CB149C" w:rsidRDefault="0075585E" w:rsidP="0057292B">
            <w:pPr>
              <w:pStyle w:val="ListParagraph"/>
              <w:spacing w:after="0" w:line="240" w:lineRule="auto"/>
              <w:ind w:left="0"/>
              <w:rPr>
                <w:sz w:val="24"/>
                <w:szCs w:val="24"/>
              </w:rPr>
            </w:pPr>
          </w:p>
          <w:p w:rsidR="00D34B4C" w:rsidRPr="00CB149C" w:rsidRDefault="00990A3C" w:rsidP="0057292B">
            <w:pPr>
              <w:pStyle w:val="ListParagraph"/>
              <w:spacing w:after="0" w:line="240" w:lineRule="auto"/>
              <w:ind w:left="0"/>
              <w:rPr>
                <w:sz w:val="24"/>
                <w:szCs w:val="24"/>
              </w:rPr>
            </w:pPr>
            <w:r w:rsidRPr="00CB149C">
              <w:rPr>
                <w:sz w:val="24"/>
                <w:szCs w:val="24"/>
              </w:rPr>
              <w:t xml:space="preserve">Research evidence suggests that noncognitive skills are </w:t>
            </w:r>
            <w:r w:rsidR="009429A1" w:rsidRPr="00CB149C">
              <w:rPr>
                <w:sz w:val="24"/>
                <w:szCs w:val="24"/>
              </w:rPr>
              <w:t>sensitive</w:t>
            </w:r>
            <w:r w:rsidRPr="00CB149C">
              <w:rPr>
                <w:sz w:val="24"/>
                <w:szCs w:val="24"/>
              </w:rPr>
              <w:t xml:space="preserve"> to intervention. </w:t>
            </w:r>
            <w:r w:rsidR="00D34B4C" w:rsidRPr="00CB149C">
              <w:rPr>
                <w:sz w:val="24"/>
                <w:szCs w:val="24"/>
              </w:rPr>
              <w:t xml:space="preserve">It is important to note that </w:t>
            </w:r>
            <w:r w:rsidR="007F792B" w:rsidRPr="00CB149C">
              <w:rPr>
                <w:sz w:val="24"/>
                <w:szCs w:val="24"/>
              </w:rPr>
              <w:t xml:space="preserve">the </w:t>
            </w:r>
            <w:r w:rsidR="00D34B4C" w:rsidRPr="00CB149C">
              <w:rPr>
                <w:sz w:val="24"/>
                <w:szCs w:val="24"/>
              </w:rPr>
              <w:t xml:space="preserve">interventions that follow the </w:t>
            </w:r>
            <w:r w:rsidR="00C94AB7" w:rsidRPr="00CB149C">
              <w:rPr>
                <w:sz w:val="24"/>
                <w:szCs w:val="24"/>
              </w:rPr>
              <w:t>Tessera</w:t>
            </w:r>
            <w:r w:rsidR="00CB149C" w:rsidRPr="00CB149C">
              <w:rPr>
                <w:sz w:val="24"/>
                <w:szCs w:val="24"/>
                <w:vertAlign w:val="superscript"/>
              </w:rPr>
              <w:t>TM</w:t>
            </w:r>
            <w:r w:rsidR="00C94AB7" w:rsidRPr="00CB149C">
              <w:rPr>
                <w:sz w:val="24"/>
                <w:szCs w:val="24"/>
              </w:rPr>
              <w:t xml:space="preserve"> Noncognitive Assessment System </w:t>
            </w:r>
            <w:r w:rsidR="00D34B4C" w:rsidRPr="00CB149C">
              <w:rPr>
                <w:sz w:val="24"/>
                <w:szCs w:val="24"/>
              </w:rPr>
              <w:t>assessments will target behavioral manifestations of personality traits rather</w:t>
            </w:r>
            <w:r w:rsidR="00CB149C">
              <w:rPr>
                <w:sz w:val="24"/>
                <w:szCs w:val="24"/>
              </w:rPr>
              <w:t xml:space="preserve"> than the traits per se</w:t>
            </w:r>
            <w:r w:rsidR="00D34B4C" w:rsidRPr="00CB149C">
              <w:rPr>
                <w:sz w:val="24"/>
                <w:szCs w:val="24"/>
              </w:rPr>
              <w:t xml:space="preserve">. Our view is similar to one outlined recently by Sackett and Walmsley (2014): </w:t>
            </w:r>
          </w:p>
          <w:p w:rsidR="000F40A7" w:rsidRPr="00CB149C" w:rsidRDefault="000F40A7" w:rsidP="0057292B">
            <w:pPr>
              <w:pStyle w:val="ListParagraph"/>
              <w:spacing w:after="0" w:line="240" w:lineRule="auto"/>
              <w:ind w:left="0"/>
              <w:rPr>
                <w:sz w:val="24"/>
                <w:szCs w:val="24"/>
              </w:rPr>
            </w:pPr>
          </w:p>
          <w:p w:rsidR="00D34B4C" w:rsidRPr="00CB149C" w:rsidRDefault="00D34B4C" w:rsidP="00D34B4C">
            <w:pPr>
              <w:autoSpaceDE w:val="0"/>
              <w:autoSpaceDN w:val="0"/>
              <w:adjustRightInd w:val="0"/>
              <w:ind w:left="737"/>
              <w:rPr>
                <w:rFonts w:cs="Plantin"/>
                <w:sz w:val="24"/>
                <w:szCs w:val="24"/>
              </w:rPr>
            </w:pPr>
            <w:r w:rsidRPr="00CB149C">
              <w:rPr>
                <w:rFonts w:cs="Plantin"/>
                <w:sz w:val="24"/>
                <w:szCs w:val="24"/>
              </w:rPr>
              <w:t>[V]arious lines of evidence support the notion that even if underlying dispositions prove quite fixed, patterns of behavior reflecting an attribute are indeed changeable. Some people may find it dispositionally quite easy to keep track of multiple work tasks and projects, whereas others may realize that they are not dispositionally detail oriented. Nonetheless, if persuaded that workplace success requires organization and order, they may learn to make use of day planners, checklists, and various other aids to behave in counter dispositional, yet effective, ways in the workplace. Thus, we do not view fixed dispositions as an impediment to making use of findings that particular attributes are important at work as the basis for interventions (p. 541).</w:t>
            </w:r>
          </w:p>
          <w:p w:rsidR="00D34B4C" w:rsidRPr="00CB149C" w:rsidRDefault="00D34B4C" w:rsidP="00D34B4C">
            <w:pPr>
              <w:autoSpaceDE w:val="0"/>
              <w:autoSpaceDN w:val="0"/>
              <w:adjustRightInd w:val="0"/>
              <w:ind w:left="737"/>
              <w:rPr>
                <w:rFonts w:cs="Plantin"/>
                <w:sz w:val="24"/>
                <w:szCs w:val="24"/>
              </w:rPr>
            </w:pPr>
          </w:p>
          <w:p w:rsidR="0057292B" w:rsidRPr="00CB149C" w:rsidRDefault="0075585E" w:rsidP="0057292B">
            <w:pPr>
              <w:pStyle w:val="ListParagraph"/>
              <w:spacing w:after="0" w:line="240" w:lineRule="auto"/>
              <w:ind w:left="0"/>
              <w:rPr>
                <w:sz w:val="24"/>
                <w:szCs w:val="24"/>
              </w:rPr>
            </w:pPr>
            <w:r w:rsidRPr="00CB149C">
              <w:rPr>
                <w:sz w:val="24"/>
                <w:szCs w:val="24"/>
              </w:rPr>
              <w:t>T</w:t>
            </w:r>
            <w:r w:rsidR="00F534BF" w:rsidRPr="00CB149C">
              <w:rPr>
                <w:sz w:val="24"/>
                <w:szCs w:val="24"/>
              </w:rPr>
              <w:t xml:space="preserve">he </w:t>
            </w:r>
            <w:r w:rsidRPr="00CB149C">
              <w:rPr>
                <w:sz w:val="24"/>
                <w:szCs w:val="24"/>
              </w:rPr>
              <w:t>prerequisite</w:t>
            </w:r>
            <w:r w:rsidR="00F534BF" w:rsidRPr="00CB149C">
              <w:rPr>
                <w:sz w:val="24"/>
                <w:szCs w:val="24"/>
              </w:rPr>
              <w:t xml:space="preserve"> to demonstrating sensitivity to intervention is to demonstrate the </w:t>
            </w:r>
            <w:r w:rsidRPr="00CB149C">
              <w:rPr>
                <w:sz w:val="24"/>
                <w:szCs w:val="24"/>
              </w:rPr>
              <w:t xml:space="preserve">potential of </w:t>
            </w:r>
            <w:r w:rsidR="00F534BF" w:rsidRPr="00CB149C">
              <w:rPr>
                <w:sz w:val="24"/>
                <w:szCs w:val="24"/>
              </w:rPr>
              <w:t>malleability. In their meta-analysis of mean level personality change through the lifespan</w:t>
            </w:r>
            <w:r w:rsidR="00791FBE" w:rsidRPr="00CB149C">
              <w:rPr>
                <w:sz w:val="24"/>
                <w:szCs w:val="24"/>
              </w:rPr>
              <w:t>,</w:t>
            </w:r>
            <w:r w:rsidR="00F534BF" w:rsidRPr="00CB149C">
              <w:rPr>
                <w:sz w:val="24"/>
                <w:szCs w:val="24"/>
              </w:rPr>
              <w:t xml:space="preserve"> Roberts, Walton, and Viechtbauer (2006) found that personality is not fixed, rather, people become more </w:t>
            </w:r>
            <w:r w:rsidR="005100A0" w:rsidRPr="00CB149C">
              <w:rPr>
                <w:sz w:val="24"/>
                <w:szCs w:val="24"/>
              </w:rPr>
              <w:t>A</w:t>
            </w:r>
            <w:r w:rsidR="00F534BF" w:rsidRPr="00CB149C">
              <w:rPr>
                <w:sz w:val="24"/>
                <w:szCs w:val="24"/>
              </w:rPr>
              <w:t xml:space="preserve">greeable, </w:t>
            </w:r>
            <w:r w:rsidR="005100A0" w:rsidRPr="00CB149C">
              <w:rPr>
                <w:sz w:val="24"/>
                <w:szCs w:val="24"/>
              </w:rPr>
              <w:t>C</w:t>
            </w:r>
            <w:r w:rsidR="00F534BF" w:rsidRPr="00CB149C">
              <w:rPr>
                <w:sz w:val="24"/>
                <w:szCs w:val="24"/>
              </w:rPr>
              <w:t xml:space="preserve">onscientious, </w:t>
            </w:r>
            <w:r w:rsidR="005100A0" w:rsidRPr="00CB149C">
              <w:rPr>
                <w:sz w:val="24"/>
                <w:szCs w:val="24"/>
              </w:rPr>
              <w:t>E</w:t>
            </w:r>
            <w:r w:rsidR="00F534BF" w:rsidRPr="00CB149C">
              <w:rPr>
                <w:sz w:val="24"/>
                <w:szCs w:val="24"/>
              </w:rPr>
              <w:t xml:space="preserve">motionally </w:t>
            </w:r>
            <w:r w:rsidR="005100A0" w:rsidRPr="00CB149C">
              <w:rPr>
                <w:sz w:val="24"/>
                <w:szCs w:val="24"/>
              </w:rPr>
              <w:t>S</w:t>
            </w:r>
            <w:r w:rsidR="00F534BF" w:rsidRPr="00CB149C">
              <w:rPr>
                <w:sz w:val="24"/>
                <w:szCs w:val="24"/>
              </w:rPr>
              <w:t xml:space="preserve">table, </w:t>
            </w:r>
            <w:r w:rsidR="005100A0" w:rsidRPr="00CB149C">
              <w:rPr>
                <w:sz w:val="24"/>
                <w:szCs w:val="24"/>
              </w:rPr>
              <w:t>O</w:t>
            </w:r>
            <w:r w:rsidR="00F534BF" w:rsidRPr="00CB149C">
              <w:rPr>
                <w:sz w:val="24"/>
                <w:szCs w:val="24"/>
              </w:rPr>
              <w:t xml:space="preserve">pen to </w:t>
            </w:r>
            <w:r w:rsidR="005100A0" w:rsidRPr="00CB149C">
              <w:rPr>
                <w:sz w:val="24"/>
                <w:szCs w:val="24"/>
              </w:rPr>
              <w:t>E</w:t>
            </w:r>
            <w:r w:rsidR="00F534BF" w:rsidRPr="00CB149C">
              <w:rPr>
                <w:sz w:val="24"/>
                <w:szCs w:val="24"/>
              </w:rPr>
              <w:t xml:space="preserve">xperience, and socially dominant as they age. They also demonstrate lower social vitality. Individual studies of children and </w:t>
            </w:r>
            <w:r w:rsidR="00C9309F" w:rsidRPr="00CB149C">
              <w:rPr>
                <w:sz w:val="24"/>
                <w:szCs w:val="24"/>
              </w:rPr>
              <w:t xml:space="preserve">adolescents </w:t>
            </w:r>
            <w:r w:rsidR="00F534BF" w:rsidRPr="00CB149C">
              <w:rPr>
                <w:sz w:val="24"/>
                <w:szCs w:val="24"/>
              </w:rPr>
              <w:t xml:space="preserve">have also demonstrated some personality change at young ages. For example, a 3-year longitudinal study of 6-9 year old children </w:t>
            </w:r>
            <w:r w:rsidR="00791FBE" w:rsidRPr="00CB149C">
              <w:rPr>
                <w:sz w:val="24"/>
                <w:szCs w:val="24"/>
              </w:rPr>
              <w:t xml:space="preserve">showed </w:t>
            </w:r>
            <w:r w:rsidR="00F534BF" w:rsidRPr="00CB149C">
              <w:rPr>
                <w:sz w:val="24"/>
                <w:szCs w:val="24"/>
              </w:rPr>
              <w:t xml:space="preserve">decreases in </w:t>
            </w:r>
            <w:r w:rsidR="005100A0" w:rsidRPr="00CB149C">
              <w:rPr>
                <w:sz w:val="24"/>
                <w:szCs w:val="24"/>
              </w:rPr>
              <w:t>E</w:t>
            </w:r>
            <w:r w:rsidR="00F534BF" w:rsidRPr="00CB149C">
              <w:rPr>
                <w:sz w:val="24"/>
                <w:szCs w:val="24"/>
              </w:rPr>
              <w:t xml:space="preserve">xtraversion and </w:t>
            </w:r>
            <w:r w:rsidR="005100A0" w:rsidRPr="00CB149C">
              <w:rPr>
                <w:sz w:val="24"/>
                <w:szCs w:val="24"/>
              </w:rPr>
              <w:t>O</w:t>
            </w:r>
            <w:r w:rsidR="00F534BF" w:rsidRPr="00CB149C">
              <w:rPr>
                <w:sz w:val="24"/>
                <w:szCs w:val="24"/>
              </w:rPr>
              <w:t xml:space="preserve">penness, and an increase in </w:t>
            </w:r>
            <w:r w:rsidR="005100A0" w:rsidRPr="00CB149C">
              <w:rPr>
                <w:sz w:val="24"/>
                <w:szCs w:val="24"/>
              </w:rPr>
              <w:t>A</w:t>
            </w:r>
            <w:r w:rsidR="00F534BF" w:rsidRPr="00CB149C">
              <w:rPr>
                <w:sz w:val="24"/>
                <w:szCs w:val="24"/>
              </w:rPr>
              <w:t>greeableness</w:t>
            </w:r>
            <w:r w:rsidR="00F534BF" w:rsidRPr="00CB149C">
              <w:rPr>
                <w:color w:val="000000"/>
                <w:sz w:val="24"/>
                <w:szCs w:val="24"/>
              </w:rPr>
              <w:t xml:space="preserve"> (Prinzie &amp; Deković, 2008)</w:t>
            </w:r>
            <w:r w:rsidR="00F534BF" w:rsidRPr="00CB149C">
              <w:rPr>
                <w:sz w:val="24"/>
                <w:szCs w:val="24"/>
              </w:rPr>
              <w:t xml:space="preserve">. A </w:t>
            </w:r>
            <w:r w:rsidR="00A31CEE" w:rsidRPr="00CB149C">
              <w:rPr>
                <w:sz w:val="24"/>
                <w:szCs w:val="24"/>
              </w:rPr>
              <w:t xml:space="preserve">nationally representative </w:t>
            </w:r>
            <w:r w:rsidR="00F534BF" w:rsidRPr="00CB149C">
              <w:rPr>
                <w:sz w:val="24"/>
                <w:szCs w:val="24"/>
              </w:rPr>
              <w:t xml:space="preserve">study of </w:t>
            </w:r>
            <w:r w:rsidR="00A31CEE" w:rsidRPr="00CB149C">
              <w:rPr>
                <w:sz w:val="24"/>
                <w:szCs w:val="24"/>
              </w:rPr>
              <w:t xml:space="preserve">Estonian school children uncovered some interesting 2-year developmental trends: 12-14 year olds increased in </w:t>
            </w:r>
            <w:r w:rsidR="005100A0" w:rsidRPr="00CB149C">
              <w:rPr>
                <w:sz w:val="24"/>
                <w:szCs w:val="24"/>
              </w:rPr>
              <w:t>E</w:t>
            </w:r>
            <w:r w:rsidR="00A31CEE" w:rsidRPr="00CB149C">
              <w:rPr>
                <w:sz w:val="24"/>
                <w:szCs w:val="24"/>
              </w:rPr>
              <w:t xml:space="preserve">motional </w:t>
            </w:r>
            <w:r w:rsidR="005100A0" w:rsidRPr="00CB149C">
              <w:rPr>
                <w:sz w:val="24"/>
                <w:szCs w:val="24"/>
              </w:rPr>
              <w:t>Stability and Extraversion but decreased in A</w:t>
            </w:r>
            <w:r w:rsidR="00A31CEE" w:rsidRPr="00CB149C">
              <w:rPr>
                <w:sz w:val="24"/>
                <w:szCs w:val="24"/>
              </w:rPr>
              <w:t>greeableness, 14-16 year o</w:t>
            </w:r>
            <w:r w:rsidR="005100A0" w:rsidRPr="00CB149C">
              <w:rPr>
                <w:sz w:val="24"/>
                <w:szCs w:val="24"/>
              </w:rPr>
              <w:t xml:space="preserve">lds </w:t>
            </w:r>
            <w:r w:rsidR="005100A0" w:rsidRPr="00CB149C">
              <w:rPr>
                <w:sz w:val="24"/>
                <w:szCs w:val="24"/>
              </w:rPr>
              <w:lastRenderedPageBreak/>
              <w:t>increased in Emotional Stability, Extraversion, and O</w:t>
            </w:r>
            <w:r w:rsidR="00A31CEE" w:rsidRPr="00CB149C">
              <w:rPr>
                <w:sz w:val="24"/>
                <w:szCs w:val="24"/>
              </w:rPr>
              <w:t>penness, an</w:t>
            </w:r>
            <w:r w:rsidR="005100A0" w:rsidRPr="00CB149C">
              <w:rPr>
                <w:sz w:val="24"/>
                <w:szCs w:val="24"/>
              </w:rPr>
              <w:t>d 16-18 year olds increased in O</w:t>
            </w:r>
            <w:r w:rsidR="00A31CEE" w:rsidRPr="00CB149C">
              <w:rPr>
                <w:sz w:val="24"/>
                <w:szCs w:val="24"/>
              </w:rPr>
              <w:t>penness (Pullmann, Raudsepp, &amp; Allik, 2006).</w:t>
            </w:r>
          </w:p>
          <w:p w:rsidR="0070628C" w:rsidRPr="00CB149C" w:rsidRDefault="0070628C" w:rsidP="0057292B">
            <w:pPr>
              <w:pStyle w:val="ListParagraph"/>
              <w:spacing w:after="0" w:line="240" w:lineRule="auto"/>
              <w:ind w:left="0"/>
              <w:rPr>
                <w:sz w:val="24"/>
                <w:szCs w:val="24"/>
              </w:rPr>
            </w:pPr>
          </w:p>
          <w:p w:rsidR="0070628C" w:rsidRPr="00CB149C" w:rsidRDefault="0070628C" w:rsidP="0070628C">
            <w:pPr>
              <w:rPr>
                <w:sz w:val="24"/>
                <w:szCs w:val="24"/>
              </w:rPr>
            </w:pPr>
            <w:r w:rsidRPr="00CB149C">
              <w:rPr>
                <w:sz w:val="24"/>
                <w:szCs w:val="24"/>
              </w:rPr>
              <w:t xml:space="preserve">Some cross-sectional research has found that there are indeed age differences in facets of personality (Soto, John, Gosling, &amp; Potter, 2011). Although ideally this research would have a longitudinal design, it does provide some evidence that personality also changes at the facet level. More specifically, in general older individuals are higher than younger people in: the </w:t>
            </w:r>
            <w:r w:rsidR="005100A0" w:rsidRPr="00CB149C">
              <w:rPr>
                <w:sz w:val="24"/>
                <w:szCs w:val="24"/>
              </w:rPr>
              <w:t>C</w:t>
            </w:r>
            <w:r w:rsidRPr="00CB149C">
              <w:rPr>
                <w:sz w:val="24"/>
                <w:szCs w:val="24"/>
              </w:rPr>
              <w:t xml:space="preserve">onscientiousness facets of </w:t>
            </w:r>
            <w:r w:rsidR="005100A0" w:rsidRPr="00CB149C">
              <w:rPr>
                <w:sz w:val="24"/>
                <w:szCs w:val="24"/>
              </w:rPr>
              <w:t>self-discipline and order, the A</w:t>
            </w:r>
            <w:r w:rsidRPr="00CB149C">
              <w:rPr>
                <w:sz w:val="24"/>
                <w:szCs w:val="24"/>
              </w:rPr>
              <w:t>greeableness facets of al</w:t>
            </w:r>
            <w:r w:rsidR="005100A0" w:rsidRPr="00CB149C">
              <w:rPr>
                <w:sz w:val="24"/>
                <w:szCs w:val="24"/>
              </w:rPr>
              <w:t>truism and compliance, and the O</w:t>
            </w:r>
            <w:r w:rsidRPr="00CB149C">
              <w:rPr>
                <w:sz w:val="24"/>
                <w:szCs w:val="24"/>
              </w:rPr>
              <w:t>penness facets of ideas and aesthetics. Conversely, older individuals are lo</w:t>
            </w:r>
            <w:r w:rsidR="005100A0" w:rsidRPr="00CB149C">
              <w:rPr>
                <w:sz w:val="24"/>
                <w:szCs w:val="24"/>
              </w:rPr>
              <w:t>wer than younger people in the Emotional S</w:t>
            </w:r>
            <w:r w:rsidRPr="00CB149C">
              <w:rPr>
                <w:sz w:val="24"/>
                <w:szCs w:val="24"/>
              </w:rPr>
              <w:t>tability facets of a</w:t>
            </w:r>
            <w:r w:rsidR="005100A0" w:rsidRPr="00CB149C">
              <w:rPr>
                <w:sz w:val="24"/>
                <w:szCs w:val="24"/>
              </w:rPr>
              <w:t>nxiety and depression, and the E</w:t>
            </w:r>
            <w:r w:rsidRPr="00CB149C">
              <w:rPr>
                <w:sz w:val="24"/>
                <w:szCs w:val="24"/>
              </w:rPr>
              <w:t xml:space="preserve">xtraversion facets of assertiveness and activity. It is important to note </w:t>
            </w:r>
            <w:r w:rsidR="00630C2D" w:rsidRPr="00CB149C">
              <w:rPr>
                <w:sz w:val="24"/>
                <w:szCs w:val="24"/>
              </w:rPr>
              <w:t>that</w:t>
            </w:r>
            <w:r w:rsidRPr="00CB149C">
              <w:rPr>
                <w:sz w:val="24"/>
                <w:szCs w:val="24"/>
              </w:rPr>
              <w:t xml:space="preserve"> a noticeable dip occurs between the ages of 10 and 15 </w:t>
            </w:r>
            <w:r w:rsidR="008A1540" w:rsidRPr="00CB149C">
              <w:rPr>
                <w:sz w:val="24"/>
                <w:szCs w:val="24"/>
              </w:rPr>
              <w:t xml:space="preserve">years </w:t>
            </w:r>
            <w:r w:rsidRPr="00CB149C">
              <w:rPr>
                <w:sz w:val="24"/>
                <w:szCs w:val="24"/>
              </w:rPr>
              <w:t xml:space="preserve">such that people become less conscientious, less agreeable, less extraverted, less open, and less emotionally stable. If this dip is found to be associated with problems in school, this may prove to be a crucial period of time in which to intervene </w:t>
            </w:r>
            <w:r w:rsidR="00791FBE" w:rsidRPr="00CB149C">
              <w:rPr>
                <w:sz w:val="24"/>
                <w:szCs w:val="24"/>
              </w:rPr>
              <w:t xml:space="preserve">with </w:t>
            </w:r>
            <w:r w:rsidRPr="00CB149C">
              <w:rPr>
                <w:sz w:val="24"/>
                <w:szCs w:val="24"/>
              </w:rPr>
              <w:t>students.</w:t>
            </w:r>
          </w:p>
          <w:p w:rsidR="009429A1" w:rsidRPr="00CB149C" w:rsidRDefault="009429A1" w:rsidP="0057292B">
            <w:pPr>
              <w:pStyle w:val="ListParagraph"/>
              <w:spacing w:after="0" w:line="240" w:lineRule="auto"/>
              <w:ind w:left="0"/>
              <w:rPr>
                <w:sz w:val="24"/>
                <w:szCs w:val="24"/>
              </w:rPr>
            </w:pPr>
          </w:p>
          <w:p w:rsidR="00D8612B" w:rsidRPr="00CB149C" w:rsidRDefault="00D8612B" w:rsidP="00D8612B">
            <w:pPr>
              <w:rPr>
                <w:b/>
                <w:sz w:val="24"/>
                <w:szCs w:val="24"/>
              </w:rPr>
            </w:pPr>
            <w:r w:rsidRPr="00CB149C">
              <w:rPr>
                <w:b/>
                <w:sz w:val="24"/>
                <w:szCs w:val="24"/>
              </w:rPr>
              <w:t>The Current Challenge</w:t>
            </w:r>
          </w:p>
          <w:p w:rsidR="00D8612B" w:rsidRPr="00CB149C" w:rsidRDefault="00D8612B" w:rsidP="00D8612B">
            <w:pPr>
              <w:rPr>
                <w:sz w:val="24"/>
                <w:szCs w:val="24"/>
              </w:rPr>
            </w:pPr>
            <w:r w:rsidRPr="00CB149C">
              <w:rPr>
                <w:sz w:val="24"/>
                <w:szCs w:val="24"/>
              </w:rPr>
              <w:t xml:space="preserve">Assessment feedback can only inform interventions if it is based on reliable and valid </w:t>
            </w:r>
            <w:r w:rsidR="00CB149C">
              <w:rPr>
                <w:sz w:val="24"/>
                <w:szCs w:val="24"/>
              </w:rPr>
              <w:t xml:space="preserve">scores derived from our </w:t>
            </w:r>
            <w:r w:rsidR="00CB149C" w:rsidRPr="00CB149C">
              <w:rPr>
                <w:sz w:val="24"/>
                <w:szCs w:val="24"/>
              </w:rPr>
              <w:t>measure</w:t>
            </w:r>
            <w:r w:rsidR="00CB149C">
              <w:rPr>
                <w:sz w:val="24"/>
                <w:szCs w:val="24"/>
              </w:rPr>
              <w:t>s</w:t>
            </w:r>
            <w:r w:rsidRPr="00CB149C">
              <w:rPr>
                <w:sz w:val="24"/>
                <w:szCs w:val="24"/>
              </w:rPr>
              <w:t xml:space="preserve">. Noncognitive skills must have the potential to be malleable if they are to be sensitive to intervention. </w:t>
            </w:r>
          </w:p>
          <w:p w:rsidR="00D8612B" w:rsidRPr="00CB149C" w:rsidRDefault="00D8612B" w:rsidP="00D8612B">
            <w:pPr>
              <w:rPr>
                <w:sz w:val="24"/>
                <w:szCs w:val="24"/>
              </w:rPr>
            </w:pPr>
          </w:p>
          <w:p w:rsidR="00D8612B" w:rsidRPr="00CB149C" w:rsidRDefault="00D8612B" w:rsidP="00D8612B">
            <w:pPr>
              <w:rPr>
                <w:b/>
                <w:sz w:val="24"/>
                <w:szCs w:val="24"/>
              </w:rPr>
            </w:pPr>
            <w:r w:rsidRPr="00CB149C">
              <w:rPr>
                <w:b/>
                <w:sz w:val="24"/>
                <w:szCs w:val="24"/>
              </w:rPr>
              <w:t>The Solution</w:t>
            </w:r>
          </w:p>
          <w:p w:rsidR="0057292B" w:rsidRPr="00CB149C" w:rsidRDefault="00C94AB7" w:rsidP="00791FBE">
            <w:pPr>
              <w:rPr>
                <w:sz w:val="24"/>
                <w:szCs w:val="24"/>
              </w:rPr>
            </w:pPr>
            <w:r w:rsidRPr="00CB149C">
              <w:rPr>
                <w:sz w:val="24"/>
                <w:szCs w:val="24"/>
              </w:rPr>
              <w:t>The Tessera</w:t>
            </w:r>
            <w:r w:rsidR="0020379D" w:rsidRPr="00CB149C">
              <w:rPr>
                <w:sz w:val="24"/>
                <w:szCs w:val="24"/>
                <w:vertAlign w:val="superscript"/>
              </w:rPr>
              <w:t>TM</w:t>
            </w:r>
            <w:r w:rsidRPr="00CB149C">
              <w:rPr>
                <w:sz w:val="24"/>
                <w:szCs w:val="24"/>
              </w:rPr>
              <w:t xml:space="preserve"> Noncognitive Assessment System </w:t>
            </w:r>
            <w:r w:rsidR="00D8612B" w:rsidRPr="00CB149C">
              <w:rPr>
                <w:sz w:val="24"/>
                <w:szCs w:val="24"/>
              </w:rPr>
              <w:t xml:space="preserve">reliably and validly assesses student noncognitive skills and provides feedback to </w:t>
            </w:r>
            <w:r w:rsidR="00BD49EE">
              <w:rPr>
                <w:sz w:val="24"/>
                <w:szCs w:val="24"/>
              </w:rPr>
              <w:t xml:space="preserve">schools and </w:t>
            </w:r>
            <w:r w:rsidR="00D8612B" w:rsidRPr="00CB149C">
              <w:rPr>
                <w:sz w:val="24"/>
                <w:szCs w:val="24"/>
              </w:rPr>
              <w:t>students</w:t>
            </w:r>
            <w:r w:rsidR="00BD49EE">
              <w:rPr>
                <w:sz w:val="24"/>
                <w:szCs w:val="24"/>
              </w:rPr>
              <w:t xml:space="preserve"> that can be used by students, teachers, and parents. </w:t>
            </w:r>
            <w:r w:rsidR="0020379D">
              <w:rPr>
                <w:sz w:val="24"/>
                <w:szCs w:val="24"/>
              </w:rPr>
              <w:t>(</w:t>
            </w:r>
            <w:r w:rsidR="00BD49EE">
              <w:rPr>
                <w:sz w:val="24"/>
                <w:szCs w:val="24"/>
              </w:rPr>
              <w:t>Future iterations will include unique teacher and parent feedback)</w:t>
            </w:r>
            <w:r w:rsidR="00D8612B" w:rsidRPr="00CB149C">
              <w:rPr>
                <w:sz w:val="24"/>
                <w:szCs w:val="24"/>
              </w:rPr>
              <w:t xml:space="preserve">. Importantly, research has demonstrated that these noncognitive skills are malleable. </w:t>
            </w:r>
          </w:p>
          <w:p w:rsidR="00203C15" w:rsidRPr="00CB149C" w:rsidRDefault="00203C15" w:rsidP="00791FBE">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4</w:t>
            </w:r>
          </w:p>
        </w:tc>
        <w:tc>
          <w:tcPr>
            <w:tcW w:w="9035" w:type="dxa"/>
          </w:tcPr>
          <w:p w:rsidR="0057292B" w:rsidRPr="00CB149C" w:rsidRDefault="0057292B" w:rsidP="00AD15BA">
            <w:pPr>
              <w:spacing w:line="259" w:lineRule="auto"/>
              <w:jc w:val="center"/>
              <w:rPr>
                <w:b/>
                <w:sz w:val="24"/>
                <w:szCs w:val="24"/>
              </w:rPr>
            </w:pPr>
            <w:r w:rsidRPr="00CB149C">
              <w:rPr>
                <w:b/>
                <w:sz w:val="24"/>
                <w:szCs w:val="24"/>
              </w:rPr>
              <w:t>Interventions will help students improve their skills</w:t>
            </w:r>
          </w:p>
          <w:p w:rsidR="00AD15BA" w:rsidRPr="00CB149C" w:rsidRDefault="00AD15BA" w:rsidP="00AD15BA">
            <w:pPr>
              <w:rPr>
                <w:b/>
                <w:sz w:val="24"/>
                <w:szCs w:val="24"/>
              </w:rPr>
            </w:pPr>
          </w:p>
          <w:p w:rsidR="0057292B" w:rsidRPr="00CB149C" w:rsidRDefault="0057292B" w:rsidP="00AD15BA">
            <w:pPr>
              <w:rPr>
                <w:sz w:val="24"/>
                <w:szCs w:val="24"/>
              </w:rPr>
            </w:pPr>
            <w:r w:rsidRPr="00CB149C">
              <w:rPr>
                <w:b/>
                <w:sz w:val="24"/>
                <w:szCs w:val="24"/>
              </w:rPr>
              <w:t xml:space="preserve">Research/Logic </w:t>
            </w:r>
            <w:r w:rsidR="00203C15" w:rsidRPr="00CB149C">
              <w:rPr>
                <w:b/>
                <w:sz w:val="24"/>
                <w:szCs w:val="24"/>
              </w:rPr>
              <w:t>A</w:t>
            </w:r>
            <w:r w:rsidRPr="00CB149C">
              <w:rPr>
                <w:b/>
                <w:sz w:val="24"/>
                <w:szCs w:val="24"/>
              </w:rPr>
              <w:t>rgument</w:t>
            </w:r>
          </w:p>
          <w:p w:rsidR="009A2D0E" w:rsidRPr="00CB149C" w:rsidRDefault="00D8612B" w:rsidP="003D422E">
            <w:pPr>
              <w:rPr>
                <w:sz w:val="24"/>
                <w:szCs w:val="24"/>
              </w:rPr>
            </w:pPr>
            <w:r w:rsidRPr="00CB149C">
              <w:rPr>
                <w:sz w:val="24"/>
                <w:szCs w:val="24"/>
              </w:rPr>
              <w:t xml:space="preserve">There have been many research demonstrations of purposeful noncognitive skill growth through interventions. </w:t>
            </w:r>
            <w:r w:rsidR="005123C7" w:rsidRPr="00CB149C">
              <w:rPr>
                <w:sz w:val="24"/>
                <w:szCs w:val="24"/>
              </w:rPr>
              <w:t xml:space="preserve">A new meta-analysis of 187 studies of clinical interventions found that, over an average of 24 weeks, the interventions were associated with changes in personality trait measures (Roberts, Luo, Chow, et al., 2015). There was evidence that interventions changed each of the Big Five factors, with the largest changes on average occurring for emotional </w:t>
            </w:r>
            <w:r w:rsidR="0020379D">
              <w:rPr>
                <w:sz w:val="24"/>
                <w:szCs w:val="24"/>
              </w:rPr>
              <w:t>stability</w:t>
            </w:r>
            <w:r w:rsidR="0020379D" w:rsidRPr="00CB149C">
              <w:rPr>
                <w:sz w:val="24"/>
                <w:szCs w:val="24"/>
              </w:rPr>
              <w:t xml:space="preserve"> </w:t>
            </w:r>
            <w:r w:rsidR="005123C7" w:rsidRPr="00CB149C">
              <w:rPr>
                <w:sz w:val="24"/>
                <w:szCs w:val="24"/>
              </w:rPr>
              <w:t>and extraversion. Furthermore</w:t>
            </w:r>
            <w:r w:rsidR="003D422E" w:rsidRPr="00CB149C">
              <w:rPr>
                <w:sz w:val="24"/>
                <w:szCs w:val="24"/>
              </w:rPr>
              <w:t>, social and emotional learning (SEL) programs have been demonstrated to help students improve their ability to recognize and manage emotions (</w:t>
            </w:r>
            <w:r w:rsidR="00F05EAA" w:rsidRPr="00CB149C">
              <w:rPr>
                <w:sz w:val="24"/>
                <w:szCs w:val="24"/>
              </w:rPr>
              <w:t>composure/resilience</w:t>
            </w:r>
            <w:r w:rsidR="003D422E" w:rsidRPr="00CB149C">
              <w:rPr>
                <w:sz w:val="24"/>
                <w:szCs w:val="24"/>
              </w:rPr>
              <w:t>), set goals (</w:t>
            </w:r>
            <w:r w:rsidR="009A4642" w:rsidRPr="00CB149C">
              <w:rPr>
                <w:sz w:val="24"/>
                <w:szCs w:val="24"/>
              </w:rPr>
              <w:t>drive</w:t>
            </w:r>
            <w:r w:rsidR="00F05EAA" w:rsidRPr="00CB149C">
              <w:rPr>
                <w:sz w:val="24"/>
                <w:szCs w:val="24"/>
              </w:rPr>
              <w:t>/grit</w:t>
            </w:r>
            <w:r w:rsidR="003D422E" w:rsidRPr="00CB149C">
              <w:rPr>
                <w:sz w:val="24"/>
                <w:szCs w:val="24"/>
              </w:rPr>
              <w:t>), and work well with others (</w:t>
            </w:r>
            <w:r w:rsidR="009A4642" w:rsidRPr="00CB149C">
              <w:rPr>
                <w:sz w:val="24"/>
                <w:szCs w:val="24"/>
              </w:rPr>
              <w:t>teamwork</w:t>
            </w:r>
            <w:r w:rsidR="00F05EAA" w:rsidRPr="00CB149C">
              <w:rPr>
                <w:sz w:val="24"/>
                <w:szCs w:val="24"/>
              </w:rPr>
              <w:t>/cooperation</w:t>
            </w:r>
            <w:r w:rsidR="003D422E" w:rsidRPr="00CB149C">
              <w:rPr>
                <w:sz w:val="24"/>
                <w:szCs w:val="24"/>
              </w:rPr>
              <w:t xml:space="preserve">). A meta-analysis found that SEL programs had a positive influence on K-8 grade students’ social and emotional skills, attitudes toward self and others, prosocial behavior, and emotional distress (Durlak, Weissberg, Dymnicki et al., 2011). </w:t>
            </w:r>
            <w:r w:rsidR="007F792B" w:rsidRPr="00CB149C">
              <w:rPr>
                <w:sz w:val="24"/>
                <w:szCs w:val="24"/>
              </w:rPr>
              <w:t>S</w:t>
            </w:r>
            <w:r w:rsidR="003D422E" w:rsidRPr="00CB149C">
              <w:rPr>
                <w:sz w:val="24"/>
                <w:szCs w:val="24"/>
              </w:rPr>
              <w:t>tudents who took part in these programs also improved their academic performance.</w:t>
            </w:r>
          </w:p>
          <w:p w:rsidR="009A2D0E" w:rsidRPr="00CB149C" w:rsidRDefault="009A2D0E" w:rsidP="003D422E">
            <w:pPr>
              <w:rPr>
                <w:sz w:val="24"/>
                <w:szCs w:val="24"/>
              </w:rPr>
            </w:pPr>
          </w:p>
          <w:p w:rsidR="00EC32C8" w:rsidRPr="00CB149C" w:rsidRDefault="00630C2D" w:rsidP="00630C2D">
            <w:pPr>
              <w:rPr>
                <w:sz w:val="24"/>
                <w:szCs w:val="24"/>
              </w:rPr>
            </w:pPr>
            <w:r w:rsidRPr="00CB149C">
              <w:rPr>
                <w:sz w:val="24"/>
                <w:szCs w:val="24"/>
              </w:rPr>
              <w:t xml:space="preserve">Importantly, De Fruyt, Wille, and John (2015) recently </w:t>
            </w:r>
            <w:r w:rsidR="00EC32C8" w:rsidRPr="00CB149C">
              <w:rPr>
                <w:sz w:val="24"/>
                <w:szCs w:val="24"/>
              </w:rPr>
              <w:t xml:space="preserve">cited a study in which they </w:t>
            </w:r>
            <w:r w:rsidRPr="00CB149C">
              <w:rPr>
                <w:sz w:val="24"/>
                <w:szCs w:val="24"/>
              </w:rPr>
              <w:t xml:space="preserve">crosswalked </w:t>
            </w:r>
            <w:r w:rsidR="00EC32C8" w:rsidRPr="00CB149C">
              <w:rPr>
                <w:sz w:val="24"/>
                <w:szCs w:val="24"/>
              </w:rPr>
              <w:t>SEL skill to the Big Five factors. As stated on page 279:</w:t>
            </w:r>
          </w:p>
          <w:p w:rsidR="000F40A7" w:rsidRPr="00CB149C" w:rsidRDefault="000F40A7" w:rsidP="00630C2D">
            <w:pPr>
              <w:rPr>
                <w:sz w:val="24"/>
                <w:szCs w:val="24"/>
              </w:rPr>
            </w:pPr>
          </w:p>
          <w:p w:rsidR="00630C2D" w:rsidRPr="00CB149C" w:rsidRDefault="00630C2D" w:rsidP="00EC32C8">
            <w:pPr>
              <w:ind w:left="737"/>
              <w:rPr>
                <w:sz w:val="24"/>
                <w:szCs w:val="24"/>
              </w:rPr>
            </w:pPr>
            <w:r w:rsidRPr="00CB149C">
              <w:rPr>
                <w:sz w:val="24"/>
                <w:szCs w:val="24"/>
              </w:rPr>
              <w:t>Recently, Primi, Santos, John, and De Fruyt (2015) examined the underlying structure of eight instruments that are frequently used to assess social-emotional skills in childhood and adolescence in Brazil. They found a structure that showed strong parallels, but was not isomorphic, with the dimensions of the five-factor model of personality—that is, Extraversion, Agreeableness, Emotional Stability (Neuroticism), Openness to Experience, and Conscientiousness, supplemented with a sixth dimension referring to Negative Valence.</w:t>
            </w:r>
          </w:p>
          <w:p w:rsidR="00E969D7" w:rsidRPr="00CB149C" w:rsidRDefault="00E969D7" w:rsidP="00EC32C8">
            <w:pPr>
              <w:ind w:left="737"/>
              <w:rPr>
                <w:sz w:val="24"/>
                <w:szCs w:val="24"/>
              </w:rPr>
            </w:pPr>
          </w:p>
          <w:p w:rsidR="00630C2D" w:rsidRPr="00CB149C" w:rsidRDefault="00E969D7" w:rsidP="00630C2D">
            <w:pPr>
              <w:rPr>
                <w:sz w:val="24"/>
                <w:szCs w:val="24"/>
              </w:rPr>
            </w:pPr>
            <w:r w:rsidRPr="00CB149C">
              <w:rPr>
                <w:sz w:val="24"/>
                <w:szCs w:val="24"/>
              </w:rPr>
              <w:t>Furthermore, the Organization for Economic Cooperation and Development (OECD) recently published a paper in which they crosswalked SEL frameworks to the Big Five Factors (John &amp; De Fruyt, 2015)</w:t>
            </w:r>
            <w:r w:rsidR="008F4F5B" w:rsidRPr="00CB149C">
              <w:rPr>
                <w:sz w:val="24"/>
                <w:szCs w:val="24"/>
              </w:rPr>
              <w:t xml:space="preserve">. For example, a crosswalk to the Collaborative for Academic, Social, and Emotional Learning’s (CASEL) framework showed the following relations: </w:t>
            </w:r>
            <w:r w:rsidR="008F4F5B" w:rsidRPr="00CB149C">
              <w:rPr>
                <w:i/>
                <w:sz w:val="24"/>
                <w:szCs w:val="24"/>
              </w:rPr>
              <w:t>self-awareness</w:t>
            </w:r>
            <w:r w:rsidR="008F4F5B" w:rsidRPr="00CB149C">
              <w:rPr>
                <w:sz w:val="24"/>
                <w:szCs w:val="24"/>
              </w:rPr>
              <w:t xml:space="preserve"> (</w:t>
            </w:r>
            <w:r w:rsidR="009A4642" w:rsidRPr="00CB149C">
              <w:rPr>
                <w:sz w:val="24"/>
                <w:szCs w:val="24"/>
              </w:rPr>
              <w:t>curiosity</w:t>
            </w:r>
            <w:r w:rsidR="00F05EAA" w:rsidRPr="00CB149C">
              <w:rPr>
                <w:sz w:val="24"/>
                <w:szCs w:val="24"/>
              </w:rPr>
              <w:t>/ingenuity</w:t>
            </w:r>
            <w:r w:rsidR="008F4F5B" w:rsidRPr="00CB149C">
              <w:rPr>
                <w:sz w:val="24"/>
                <w:szCs w:val="24"/>
              </w:rPr>
              <w:t xml:space="preserve">), </w:t>
            </w:r>
            <w:r w:rsidR="008F4F5B" w:rsidRPr="00CB149C">
              <w:rPr>
                <w:i/>
                <w:sz w:val="24"/>
                <w:szCs w:val="24"/>
              </w:rPr>
              <w:t>self-management</w:t>
            </w:r>
            <w:r w:rsidR="008F4F5B" w:rsidRPr="00CB149C">
              <w:rPr>
                <w:sz w:val="24"/>
                <w:szCs w:val="24"/>
              </w:rPr>
              <w:t xml:space="preserve"> (</w:t>
            </w:r>
            <w:r w:rsidR="00F05EAA" w:rsidRPr="00CB149C">
              <w:rPr>
                <w:sz w:val="24"/>
                <w:szCs w:val="24"/>
              </w:rPr>
              <w:t>composure/</w:t>
            </w:r>
            <w:r w:rsidR="009A4642" w:rsidRPr="00CB149C">
              <w:rPr>
                <w:sz w:val="24"/>
                <w:szCs w:val="24"/>
              </w:rPr>
              <w:t>resilience</w:t>
            </w:r>
            <w:r w:rsidR="008F4F5B" w:rsidRPr="00CB149C">
              <w:rPr>
                <w:sz w:val="24"/>
                <w:szCs w:val="24"/>
              </w:rPr>
              <w:t xml:space="preserve">), </w:t>
            </w:r>
            <w:r w:rsidR="008F4F5B" w:rsidRPr="00CB149C">
              <w:rPr>
                <w:i/>
                <w:sz w:val="24"/>
                <w:szCs w:val="24"/>
              </w:rPr>
              <w:t>social awareness</w:t>
            </w:r>
            <w:r w:rsidR="008F4F5B" w:rsidRPr="00CB149C">
              <w:rPr>
                <w:sz w:val="24"/>
                <w:szCs w:val="24"/>
              </w:rPr>
              <w:t xml:space="preserve"> and </w:t>
            </w:r>
            <w:r w:rsidR="008F4F5B" w:rsidRPr="00CB149C">
              <w:rPr>
                <w:i/>
                <w:sz w:val="24"/>
                <w:szCs w:val="24"/>
              </w:rPr>
              <w:t>relationship skills</w:t>
            </w:r>
            <w:r w:rsidR="008F4F5B" w:rsidRPr="00CB149C">
              <w:rPr>
                <w:sz w:val="24"/>
                <w:szCs w:val="24"/>
              </w:rPr>
              <w:t xml:space="preserve"> (</w:t>
            </w:r>
            <w:r w:rsidR="009A4642" w:rsidRPr="00CB149C">
              <w:rPr>
                <w:sz w:val="24"/>
                <w:szCs w:val="24"/>
              </w:rPr>
              <w:t>leadership</w:t>
            </w:r>
            <w:r w:rsidR="00F05EAA" w:rsidRPr="00CB149C">
              <w:rPr>
                <w:sz w:val="24"/>
                <w:szCs w:val="24"/>
              </w:rPr>
              <w:t>/communication style</w:t>
            </w:r>
            <w:r w:rsidR="008F4F5B" w:rsidRPr="00CB149C">
              <w:rPr>
                <w:sz w:val="24"/>
                <w:szCs w:val="24"/>
              </w:rPr>
              <w:t xml:space="preserve">), and </w:t>
            </w:r>
            <w:r w:rsidR="008F4F5B" w:rsidRPr="00CB149C">
              <w:rPr>
                <w:i/>
                <w:sz w:val="24"/>
                <w:szCs w:val="24"/>
              </w:rPr>
              <w:t xml:space="preserve">responsible decision-making </w:t>
            </w:r>
            <w:r w:rsidR="008F4F5B" w:rsidRPr="00CB149C">
              <w:rPr>
                <w:sz w:val="24"/>
                <w:szCs w:val="24"/>
              </w:rPr>
              <w:t>(</w:t>
            </w:r>
            <w:r w:rsidR="00F05EAA" w:rsidRPr="00CB149C">
              <w:rPr>
                <w:sz w:val="24"/>
                <w:szCs w:val="24"/>
              </w:rPr>
              <w:t>organization/</w:t>
            </w:r>
            <w:r w:rsidR="009A4642" w:rsidRPr="00CB149C">
              <w:rPr>
                <w:sz w:val="24"/>
                <w:szCs w:val="24"/>
              </w:rPr>
              <w:t>responsibility</w:t>
            </w:r>
            <w:r w:rsidR="008F4F5B" w:rsidRPr="00CB149C">
              <w:rPr>
                <w:sz w:val="24"/>
                <w:szCs w:val="24"/>
              </w:rPr>
              <w:t xml:space="preserve">). Note that agreeableness is not included, indicating that the Big Five encompasses a wider range of factors than the CASEL framework. </w:t>
            </w:r>
          </w:p>
          <w:p w:rsidR="00E969D7" w:rsidRPr="00CB149C" w:rsidRDefault="00E969D7" w:rsidP="00630C2D">
            <w:pPr>
              <w:rPr>
                <w:sz w:val="24"/>
                <w:szCs w:val="24"/>
              </w:rPr>
            </w:pPr>
          </w:p>
          <w:p w:rsidR="003D422E" w:rsidRPr="00CB149C" w:rsidRDefault="003D422E" w:rsidP="003D422E">
            <w:pPr>
              <w:rPr>
                <w:sz w:val="24"/>
                <w:szCs w:val="24"/>
              </w:rPr>
            </w:pPr>
            <w:r w:rsidRPr="00CB149C">
              <w:rPr>
                <w:sz w:val="24"/>
                <w:szCs w:val="24"/>
              </w:rPr>
              <w:t xml:space="preserve">Additionally, other interventions in schools have demonstrated promise in improving </w:t>
            </w:r>
            <w:r w:rsidR="009A2D0E" w:rsidRPr="00CB149C">
              <w:rPr>
                <w:sz w:val="24"/>
                <w:szCs w:val="24"/>
              </w:rPr>
              <w:t>noncognitive</w:t>
            </w:r>
            <w:r w:rsidRPr="00CB149C">
              <w:rPr>
                <w:sz w:val="24"/>
                <w:szCs w:val="24"/>
              </w:rPr>
              <w:t xml:space="preserve"> skills. Classroom interventions designed to improve critical thinking skills (</w:t>
            </w:r>
            <w:r w:rsidR="009A4642" w:rsidRPr="00CB149C">
              <w:rPr>
                <w:sz w:val="24"/>
                <w:szCs w:val="24"/>
              </w:rPr>
              <w:t>curiosity</w:t>
            </w:r>
            <w:r w:rsidR="00F05EAA" w:rsidRPr="00CB149C">
              <w:rPr>
                <w:sz w:val="24"/>
                <w:szCs w:val="24"/>
              </w:rPr>
              <w:t>/ingenuity</w:t>
            </w:r>
            <w:r w:rsidRPr="00CB149C">
              <w:rPr>
                <w:sz w:val="24"/>
                <w:szCs w:val="24"/>
              </w:rPr>
              <w:t>) have been shown to be effective in improving metacognitive awareness and monitoring of one’s learning of reading passages (</w:t>
            </w:r>
            <w:r w:rsidR="005100A0" w:rsidRPr="00CB149C">
              <w:rPr>
                <w:sz w:val="24"/>
                <w:szCs w:val="24"/>
              </w:rPr>
              <w:t xml:space="preserve">e.g., </w:t>
            </w:r>
            <w:r w:rsidR="00B13729" w:rsidRPr="00CB149C">
              <w:rPr>
                <w:sz w:val="24"/>
                <w:szCs w:val="24"/>
              </w:rPr>
              <w:t xml:space="preserve">Burke &amp; Williams, 2008; </w:t>
            </w:r>
            <w:r w:rsidRPr="00CB149C">
              <w:rPr>
                <w:sz w:val="24"/>
                <w:szCs w:val="24"/>
                <w:lang w:val="en-GB"/>
              </w:rPr>
              <w:t xml:space="preserve">Haller, Child, &amp; Walberg, 1988). </w:t>
            </w:r>
            <w:r w:rsidR="009A2D0E" w:rsidRPr="00CB149C">
              <w:rPr>
                <w:sz w:val="24"/>
                <w:szCs w:val="24"/>
                <w:lang w:val="en-GB"/>
              </w:rPr>
              <w:t>A</w:t>
            </w:r>
            <w:r w:rsidR="009A2D0E" w:rsidRPr="00CB149C">
              <w:rPr>
                <w:sz w:val="24"/>
                <w:szCs w:val="24"/>
              </w:rPr>
              <w:t xml:space="preserve"> self-regulation intervention that focused on improving self-control had significant effects on delayed children’s self-regulation and improved academic performance for children generally (</w:t>
            </w:r>
            <w:r w:rsidR="005100A0" w:rsidRPr="00CB149C">
              <w:rPr>
                <w:sz w:val="24"/>
                <w:szCs w:val="24"/>
              </w:rPr>
              <w:t xml:space="preserve">e.g., </w:t>
            </w:r>
            <w:r w:rsidR="009A2D0E" w:rsidRPr="00CB149C">
              <w:rPr>
                <w:sz w:val="24"/>
                <w:szCs w:val="24"/>
              </w:rPr>
              <w:t>Tominey &amp; McClelland, 2011).</w:t>
            </w:r>
            <w:r w:rsidR="005100A0" w:rsidRPr="00CB149C">
              <w:rPr>
                <w:sz w:val="24"/>
                <w:szCs w:val="24"/>
              </w:rPr>
              <w:t xml:space="preserve"> </w:t>
            </w:r>
            <w:r w:rsidRPr="00CB149C">
              <w:rPr>
                <w:sz w:val="24"/>
                <w:szCs w:val="24"/>
              </w:rPr>
              <w:t>Finally, interventions designed to reduce the negative emotionality and worry that comes with test anxiety (</w:t>
            </w:r>
            <w:r w:rsidR="00F05EAA" w:rsidRPr="00CB149C">
              <w:rPr>
                <w:sz w:val="24"/>
                <w:szCs w:val="24"/>
              </w:rPr>
              <w:t>composure/</w:t>
            </w:r>
            <w:r w:rsidR="009A4642" w:rsidRPr="00CB149C">
              <w:rPr>
                <w:sz w:val="24"/>
                <w:szCs w:val="24"/>
              </w:rPr>
              <w:t>resilience</w:t>
            </w:r>
            <w:r w:rsidRPr="00CB149C">
              <w:rPr>
                <w:sz w:val="24"/>
                <w:szCs w:val="24"/>
              </w:rPr>
              <w:t>) have been demonstrated to improve test performance (</w:t>
            </w:r>
            <w:r w:rsidR="005100A0" w:rsidRPr="00CB149C">
              <w:rPr>
                <w:sz w:val="24"/>
                <w:szCs w:val="24"/>
              </w:rPr>
              <w:t xml:space="preserve">e.g., </w:t>
            </w:r>
            <w:r w:rsidRPr="00CB149C">
              <w:rPr>
                <w:sz w:val="24"/>
                <w:szCs w:val="24"/>
              </w:rPr>
              <w:t xml:space="preserve">Hembree, 1988). </w:t>
            </w:r>
          </w:p>
          <w:p w:rsidR="00D8612B" w:rsidRPr="00CB149C" w:rsidRDefault="00D8612B" w:rsidP="00D8612B">
            <w:pPr>
              <w:pStyle w:val="ListParagraph"/>
              <w:spacing w:after="0" w:line="240" w:lineRule="auto"/>
              <w:ind w:left="0"/>
              <w:rPr>
                <w:sz w:val="24"/>
                <w:szCs w:val="24"/>
              </w:rPr>
            </w:pPr>
          </w:p>
          <w:p w:rsidR="00D8612B" w:rsidRPr="00CB149C" w:rsidRDefault="00D8612B" w:rsidP="00D8612B">
            <w:pPr>
              <w:rPr>
                <w:b/>
                <w:sz w:val="24"/>
                <w:szCs w:val="24"/>
              </w:rPr>
            </w:pPr>
            <w:r w:rsidRPr="00CB149C">
              <w:rPr>
                <w:b/>
                <w:sz w:val="24"/>
                <w:szCs w:val="24"/>
              </w:rPr>
              <w:t>The Current Challenge</w:t>
            </w:r>
          </w:p>
          <w:p w:rsidR="00D8612B" w:rsidRPr="00CB149C" w:rsidRDefault="00D8612B" w:rsidP="00D8612B">
            <w:pPr>
              <w:rPr>
                <w:sz w:val="24"/>
                <w:szCs w:val="24"/>
              </w:rPr>
            </w:pPr>
            <w:r w:rsidRPr="00CB149C">
              <w:rPr>
                <w:sz w:val="24"/>
                <w:szCs w:val="24"/>
              </w:rPr>
              <w:t>Noncognitive</w:t>
            </w:r>
            <w:r w:rsidR="006D431B" w:rsidRPr="00CB149C">
              <w:rPr>
                <w:sz w:val="24"/>
                <w:szCs w:val="24"/>
              </w:rPr>
              <w:t xml:space="preserve"> interventions are only valuable to the extent that they can improve upon students’ skills. </w:t>
            </w:r>
          </w:p>
          <w:p w:rsidR="00D8612B" w:rsidRPr="00CB149C" w:rsidRDefault="00D8612B" w:rsidP="00D8612B">
            <w:pPr>
              <w:rPr>
                <w:sz w:val="24"/>
                <w:szCs w:val="24"/>
              </w:rPr>
            </w:pPr>
          </w:p>
          <w:p w:rsidR="00D8612B" w:rsidRPr="00CB149C" w:rsidRDefault="00D8612B" w:rsidP="00D8612B">
            <w:pPr>
              <w:rPr>
                <w:b/>
                <w:sz w:val="24"/>
                <w:szCs w:val="24"/>
              </w:rPr>
            </w:pPr>
            <w:r w:rsidRPr="00CB149C">
              <w:rPr>
                <w:b/>
                <w:sz w:val="24"/>
                <w:szCs w:val="24"/>
              </w:rPr>
              <w:t>The Solution</w:t>
            </w:r>
          </w:p>
          <w:p w:rsidR="0057292B" w:rsidRPr="00CB149C" w:rsidRDefault="00BD49EE" w:rsidP="00791FBE">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D8612B" w:rsidRPr="00CB149C">
              <w:rPr>
                <w:sz w:val="24"/>
                <w:szCs w:val="24"/>
              </w:rPr>
              <w:t xml:space="preserve">This will aid in the effective implementation </w:t>
            </w:r>
            <w:r w:rsidR="001D5658">
              <w:rPr>
                <w:sz w:val="24"/>
                <w:szCs w:val="24"/>
              </w:rPr>
              <w:t xml:space="preserve">(and ultimately evaluation) </w:t>
            </w:r>
            <w:r w:rsidR="00D8612B" w:rsidRPr="00CB149C">
              <w:rPr>
                <w:sz w:val="24"/>
                <w:szCs w:val="24"/>
              </w:rPr>
              <w:t>of interventions</w:t>
            </w:r>
            <w:r w:rsidR="006D431B" w:rsidRPr="00CB149C">
              <w:rPr>
                <w:sz w:val="24"/>
                <w:szCs w:val="24"/>
              </w:rPr>
              <w:t>. These interventions can then improve students’ skills.</w:t>
            </w:r>
          </w:p>
          <w:p w:rsidR="00203C15" w:rsidRPr="00CB149C" w:rsidRDefault="00203C15" w:rsidP="00791FBE">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5</w:t>
            </w:r>
          </w:p>
        </w:tc>
        <w:tc>
          <w:tcPr>
            <w:tcW w:w="9035" w:type="dxa"/>
          </w:tcPr>
          <w:p w:rsidR="0057292B" w:rsidRPr="00CB149C" w:rsidRDefault="0057292B" w:rsidP="00AD15BA">
            <w:pPr>
              <w:spacing w:line="259" w:lineRule="auto"/>
              <w:jc w:val="center"/>
              <w:rPr>
                <w:b/>
                <w:sz w:val="24"/>
                <w:szCs w:val="24"/>
              </w:rPr>
            </w:pPr>
            <w:r w:rsidRPr="00CB149C">
              <w:rPr>
                <w:b/>
                <w:sz w:val="24"/>
                <w:szCs w:val="24"/>
              </w:rPr>
              <w:t>Improved noncognitive skills lead to increased learning in K-12</w:t>
            </w:r>
          </w:p>
          <w:p w:rsidR="00AD15BA" w:rsidRPr="00CB149C" w:rsidRDefault="00AD15BA" w:rsidP="00AD15BA">
            <w:pPr>
              <w:rPr>
                <w:b/>
                <w:sz w:val="24"/>
                <w:szCs w:val="24"/>
              </w:rPr>
            </w:pPr>
          </w:p>
          <w:p w:rsidR="0057292B" w:rsidRPr="00CB149C" w:rsidRDefault="0057292B" w:rsidP="00AD15BA">
            <w:pPr>
              <w:rPr>
                <w:sz w:val="24"/>
                <w:szCs w:val="24"/>
              </w:rPr>
            </w:pPr>
            <w:r w:rsidRPr="00CB149C">
              <w:rPr>
                <w:b/>
                <w:sz w:val="24"/>
                <w:szCs w:val="24"/>
              </w:rPr>
              <w:t xml:space="preserve">Research/Logic </w:t>
            </w:r>
            <w:r w:rsidR="00BD63F6" w:rsidRPr="00CB149C">
              <w:rPr>
                <w:b/>
                <w:sz w:val="24"/>
                <w:szCs w:val="24"/>
              </w:rPr>
              <w:t>A</w:t>
            </w:r>
            <w:r w:rsidRPr="00CB149C">
              <w:rPr>
                <w:b/>
                <w:sz w:val="24"/>
                <w:szCs w:val="24"/>
              </w:rPr>
              <w:t>rgument</w:t>
            </w:r>
          </w:p>
          <w:p w:rsidR="00F03C44" w:rsidRPr="00CB149C" w:rsidRDefault="00F03C44" w:rsidP="0057292B">
            <w:pPr>
              <w:pStyle w:val="ListParagraph"/>
              <w:spacing w:after="0" w:line="240" w:lineRule="auto"/>
              <w:ind w:left="0"/>
              <w:rPr>
                <w:sz w:val="24"/>
                <w:szCs w:val="24"/>
              </w:rPr>
            </w:pPr>
            <w:r w:rsidRPr="00CB149C">
              <w:rPr>
                <w:sz w:val="24"/>
                <w:szCs w:val="24"/>
              </w:rPr>
              <w:t>There is substantial research evidence that noncognitive skills are relate</w:t>
            </w:r>
            <w:r w:rsidR="00BD63F6" w:rsidRPr="00CB149C">
              <w:rPr>
                <w:sz w:val="24"/>
                <w:szCs w:val="24"/>
              </w:rPr>
              <w:t>d</w:t>
            </w:r>
            <w:r w:rsidRPr="00CB149C">
              <w:rPr>
                <w:sz w:val="24"/>
                <w:szCs w:val="24"/>
              </w:rPr>
              <w:t xml:space="preserve"> to learning in K-12, as indicated by GPA. For example, meta-analyses have found that all of the Big Five personality factors predict academic performance in</w:t>
            </w:r>
            <w:r w:rsidR="00AD15BA" w:rsidRPr="00CB149C">
              <w:rPr>
                <w:sz w:val="24"/>
                <w:szCs w:val="24"/>
              </w:rPr>
              <w:t xml:space="preserve"> primary grades (Poropat, 2008, </w:t>
            </w:r>
            <w:r w:rsidRPr="00CB149C">
              <w:rPr>
                <w:sz w:val="24"/>
                <w:szCs w:val="24"/>
              </w:rPr>
              <w:t xml:space="preserve">2014). </w:t>
            </w:r>
            <w:r w:rsidR="003E07A1" w:rsidRPr="00CB149C">
              <w:rPr>
                <w:sz w:val="24"/>
                <w:szCs w:val="24"/>
              </w:rPr>
              <w:t>Although most of the factors cease to remain as significa</w:t>
            </w:r>
            <w:r w:rsidR="005100A0" w:rsidRPr="00CB149C">
              <w:rPr>
                <w:sz w:val="24"/>
                <w:szCs w:val="24"/>
              </w:rPr>
              <w:t>nt predictors in later grades, C</w:t>
            </w:r>
            <w:r w:rsidR="003E07A1" w:rsidRPr="00CB149C">
              <w:rPr>
                <w:sz w:val="24"/>
                <w:szCs w:val="24"/>
              </w:rPr>
              <w:t>onscientiousness remains a significant predictor in secondary and tertiary education (Poropat, 2009). I</w:t>
            </w:r>
            <w:r w:rsidR="005100A0" w:rsidRPr="00CB149C">
              <w:rPr>
                <w:sz w:val="24"/>
                <w:szCs w:val="24"/>
              </w:rPr>
              <w:t xml:space="preserve">n fact, </w:t>
            </w:r>
            <w:r w:rsidR="001D5658">
              <w:rPr>
                <w:sz w:val="24"/>
                <w:szCs w:val="24"/>
              </w:rPr>
              <w:t xml:space="preserve">in this meta-analysis, </w:t>
            </w:r>
            <w:r w:rsidR="005100A0" w:rsidRPr="00CB149C">
              <w:rPr>
                <w:sz w:val="24"/>
                <w:szCs w:val="24"/>
              </w:rPr>
              <w:t>C</w:t>
            </w:r>
            <w:r w:rsidR="003E07A1" w:rsidRPr="00CB149C">
              <w:rPr>
                <w:sz w:val="24"/>
                <w:szCs w:val="24"/>
              </w:rPr>
              <w:t xml:space="preserve">onscientiousness </w:t>
            </w:r>
            <w:r w:rsidR="001D5658">
              <w:rPr>
                <w:sz w:val="24"/>
                <w:szCs w:val="24"/>
              </w:rPr>
              <w:t xml:space="preserve">was shown to </w:t>
            </w:r>
            <w:r w:rsidR="001D5658" w:rsidRPr="00CB149C">
              <w:rPr>
                <w:sz w:val="24"/>
                <w:szCs w:val="24"/>
              </w:rPr>
              <w:t xml:space="preserve">predict </w:t>
            </w:r>
            <w:r w:rsidR="003E07A1" w:rsidRPr="00CB149C">
              <w:rPr>
                <w:sz w:val="24"/>
                <w:szCs w:val="24"/>
              </w:rPr>
              <w:t>GPA just as well as cognitive ability in tertiary education.</w:t>
            </w:r>
            <w:r w:rsidR="00BC4485" w:rsidRPr="00CB149C">
              <w:rPr>
                <w:sz w:val="24"/>
                <w:szCs w:val="24"/>
              </w:rPr>
              <w:t xml:space="preserve"> </w:t>
            </w:r>
          </w:p>
          <w:p w:rsidR="00BC4485" w:rsidRPr="00CB149C" w:rsidRDefault="00BC4485" w:rsidP="0057292B">
            <w:pPr>
              <w:pStyle w:val="ListParagraph"/>
              <w:spacing w:after="0" w:line="240" w:lineRule="auto"/>
              <w:ind w:left="0"/>
              <w:rPr>
                <w:sz w:val="24"/>
                <w:szCs w:val="24"/>
              </w:rPr>
            </w:pPr>
          </w:p>
          <w:p w:rsidR="00BC4485" w:rsidRPr="00CB149C" w:rsidRDefault="00BC4485" w:rsidP="0057292B">
            <w:pPr>
              <w:pStyle w:val="ListParagraph"/>
              <w:spacing w:after="0" w:line="240" w:lineRule="auto"/>
              <w:ind w:left="0"/>
              <w:rPr>
                <w:sz w:val="24"/>
                <w:szCs w:val="24"/>
              </w:rPr>
            </w:pPr>
            <w:r w:rsidRPr="00CB149C">
              <w:rPr>
                <w:sz w:val="24"/>
                <w:szCs w:val="24"/>
              </w:rPr>
              <w:t xml:space="preserve">Although less research on the topic is available, there is some evidence that some of the specific facets of personality are also predictive of GPA. </w:t>
            </w:r>
            <w:r w:rsidR="00BD70B4" w:rsidRPr="00CB149C">
              <w:rPr>
                <w:sz w:val="24"/>
                <w:szCs w:val="24"/>
              </w:rPr>
              <w:t xml:space="preserve">In one study, </w:t>
            </w:r>
            <w:r w:rsidRPr="00CB149C">
              <w:rPr>
                <w:sz w:val="24"/>
                <w:szCs w:val="24"/>
              </w:rPr>
              <w:t xml:space="preserve">MacCann, Roberts, and Duckworth (2009) </w:t>
            </w:r>
            <w:r w:rsidR="00BD70B4" w:rsidRPr="00CB149C">
              <w:rPr>
                <w:sz w:val="24"/>
                <w:szCs w:val="24"/>
              </w:rPr>
              <w:t>found that industriousness (</w:t>
            </w:r>
            <w:r w:rsidR="00F05EAA" w:rsidRPr="00CB149C">
              <w:rPr>
                <w:sz w:val="24"/>
                <w:szCs w:val="24"/>
              </w:rPr>
              <w:t>drive/</w:t>
            </w:r>
            <w:r w:rsidR="009A4642" w:rsidRPr="00CB149C">
              <w:rPr>
                <w:sz w:val="24"/>
                <w:szCs w:val="24"/>
              </w:rPr>
              <w:t>grit</w:t>
            </w:r>
            <w:r w:rsidR="00BD70B4" w:rsidRPr="00CB149C">
              <w:rPr>
                <w:sz w:val="24"/>
                <w:szCs w:val="24"/>
              </w:rPr>
              <w:t xml:space="preserve">), control, planning (similar to </w:t>
            </w:r>
            <w:r w:rsidR="00F05EAA" w:rsidRPr="00CB149C">
              <w:rPr>
                <w:sz w:val="24"/>
                <w:szCs w:val="24"/>
              </w:rPr>
              <w:t>organization/responsibility</w:t>
            </w:r>
            <w:r w:rsidR="00BD70B4" w:rsidRPr="00CB149C">
              <w:rPr>
                <w:sz w:val="24"/>
                <w:szCs w:val="24"/>
              </w:rPr>
              <w:t>), and perseverance (</w:t>
            </w:r>
            <w:r w:rsidR="00F05EAA" w:rsidRPr="00CB149C">
              <w:rPr>
                <w:sz w:val="24"/>
                <w:szCs w:val="24"/>
              </w:rPr>
              <w:t>drive/grit</w:t>
            </w:r>
            <w:r w:rsidR="00BD70B4" w:rsidRPr="00CB149C">
              <w:rPr>
                <w:sz w:val="24"/>
                <w:szCs w:val="24"/>
              </w:rPr>
              <w:t xml:space="preserve">) all significantly predicted high school grades. </w:t>
            </w:r>
            <w:r w:rsidR="00537C8E" w:rsidRPr="00CB149C">
              <w:rPr>
                <w:sz w:val="24"/>
                <w:szCs w:val="24"/>
              </w:rPr>
              <w:t>Furthermore, a large-scale study found that 7</w:t>
            </w:r>
            <w:r w:rsidR="00537C8E" w:rsidRPr="00CB149C">
              <w:rPr>
                <w:sz w:val="24"/>
                <w:szCs w:val="24"/>
                <w:vertAlign w:val="superscript"/>
              </w:rPr>
              <w:t>th</w:t>
            </w:r>
            <w:r w:rsidR="00537C8E" w:rsidRPr="00CB149C">
              <w:rPr>
                <w:sz w:val="24"/>
                <w:szCs w:val="24"/>
              </w:rPr>
              <w:t xml:space="preserve"> and 8</w:t>
            </w:r>
            <w:r w:rsidR="00537C8E" w:rsidRPr="00CB149C">
              <w:rPr>
                <w:sz w:val="24"/>
                <w:szCs w:val="24"/>
                <w:vertAlign w:val="superscript"/>
              </w:rPr>
              <w:t>th</w:t>
            </w:r>
            <w:r w:rsidR="00537C8E" w:rsidRPr="00CB149C">
              <w:rPr>
                <w:sz w:val="24"/>
                <w:szCs w:val="24"/>
              </w:rPr>
              <w:t xml:space="preserve"> grade students’ scores </w:t>
            </w:r>
            <w:r w:rsidR="00791FBE" w:rsidRPr="00CB149C">
              <w:rPr>
                <w:sz w:val="24"/>
                <w:szCs w:val="24"/>
              </w:rPr>
              <w:t xml:space="preserve">on </w:t>
            </w:r>
            <w:r w:rsidR="00537C8E" w:rsidRPr="00CB149C">
              <w:rPr>
                <w:sz w:val="24"/>
                <w:szCs w:val="24"/>
              </w:rPr>
              <w:t>measures of academic discipline (</w:t>
            </w:r>
            <w:r w:rsidR="00F05EAA" w:rsidRPr="00CB149C">
              <w:rPr>
                <w:sz w:val="24"/>
                <w:szCs w:val="24"/>
              </w:rPr>
              <w:t>drive/grit</w:t>
            </w:r>
            <w:r w:rsidR="00537C8E" w:rsidRPr="00CB149C">
              <w:rPr>
                <w:sz w:val="24"/>
                <w:szCs w:val="24"/>
              </w:rPr>
              <w:t xml:space="preserve">) and orderly conduct </w:t>
            </w:r>
            <w:r w:rsidR="00740B4E" w:rsidRPr="00CB149C">
              <w:rPr>
                <w:sz w:val="24"/>
                <w:szCs w:val="24"/>
              </w:rPr>
              <w:t xml:space="preserve">(related to </w:t>
            </w:r>
            <w:r w:rsidR="005100A0" w:rsidRPr="00CB149C">
              <w:rPr>
                <w:sz w:val="24"/>
                <w:szCs w:val="24"/>
              </w:rPr>
              <w:t>C</w:t>
            </w:r>
            <w:r w:rsidR="00740B4E" w:rsidRPr="00CB149C">
              <w:rPr>
                <w:sz w:val="24"/>
                <w:szCs w:val="24"/>
              </w:rPr>
              <w:t xml:space="preserve">onscientious and </w:t>
            </w:r>
            <w:r w:rsidR="005100A0" w:rsidRPr="00CB149C">
              <w:rPr>
                <w:sz w:val="24"/>
                <w:szCs w:val="24"/>
              </w:rPr>
              <w:t>A</w:t>
            </w:r>
            <w:r w:rsidR="00740B4E" w:rsidRPr="00CB149C">
              <w:rPr>
                <w:sz w:val="24"/>
                <w:szCs w:val="24"/>
              </w:rPr>
              <w:t xml:space="preserve">greeableness) </w:t>
            </w:r>
            <w:r w:rsidR="00537C8E" w:rsidRPr="00CB149C">
              <w:rPr>
                <w:sz w:val="24"/>
                <w:szCs w:val="24"/>
              </w:rPr>
              <w:t>predicted their grades in 9</w:t>
            </w:r>
            <w:r w:rsidR="00537C8E" w:rsidRPr="00CB149C">
              <w:rPr>
                <w:sz w:val="24"/>
                <w:szCs w:val="24"/>
                <w:vertAlign w:val="superscript"/>
              </w:rPr>
              <w:t>th</w:t>
            </w:r>
            <w:r w:rsidR="00537C8E" w:rsidRPr="00CB149C">
              <w:rPr>
                <w:sz w:val="24"/>
                <w:szCs w:val="24"/>
              </w:rPr>
              <w:t xml:space="preserve"> and 10</w:t>
            </w:r>
            <w:r w:rsidR="00537C8E" w:rsidRPr="00CB149C">
              <w:rPr>
                <w:sz w:val="24"/>
                <w:szCs w:val="24"/>
                <w:vertAlign w:val="superscript"/>
              </w:rPr>
              <w:t>th</w:t>
            </w:r>
            <w:r w:rsidR="00537C8E" w:rsidRPr="00CB149C">
              <w:rPr>
                <w:sz w:val="24"/>
                <w:szCs w:val="24"/>
              </w:rPr>
              <w:t xml:space="preserve"> grade incrementally over SES, gender, race, achievement test scores, and prior grades</w:t>
            </w:r>
            <w:r w:rsidR="00BD63F6" w:rsidRPr="00CB149C">
              <w:rPr>
                <w:sz w:val="24"/>
                <w:szCs w:val="24"/>
              </w:rPr>
              <w:t xml:space="preserve"> (Casillas, Robbins, Allen, et al., 2012)</w:t>
            </w:r>
            <w:r w:rsidR="00537C8E" w:rsidRPr="00CB149C">
              <w:rPr>
                <w:sz w:val="24"/>
                <w:szCs w:val="24"/>
              </w:rPr>
              <w:t xml:space="preserve">. </w:t>
            </w:r>
          </w:p>
          <w:p w:rsidR="00BC4485" w:rsidRPr="00CB149C" w:rsidRDefault="00BC4485" w:rsidP="0057292B">
            <w:pPr>
              <w:pStyle w:val="ListParagraph"/>
              <w:spacing w:after="0" w:line="240" w:lineRule="auto"/>
              <w:ind w:left="0"/>
              <w:rPr>
                <w:sz w:val="24"/>
                <w:szCs w:val="24"/>
              </w:rPr>
            </w:pPr>
          </w:p>
          <w:p w:rsidR="0057292B" w:rsidRPr="00CB149C" w:rsidRDefault="00BD63F6" w:rsidP="0057292B">
            <w:pPr>
              <w:rPr>
                <w:b/>
                <w:sz w:val="24"/>
                <w:szCs w:val="24"/>
              </w:rPr>
            </w:pPr>
            <w:r w:rsidRPr="00CB149C">
              <w:rPr>
                <w:b/>
                <w:sz w:val="24"/>
                <w:szCs w:val="24"/>
              </w:rPr>
              <w:t>The Current</w:t>
            </w:r>
            <w:r w:rsidR="0057292B" w:rsidRPr="00CB149C">
              <w:rPr>
                <w:b/>
                <w:sz w:val="24"/>
                <w:szCs w:val="24"/>
              </w:rPr>
              <w:t xml:space="preserve"> </w:t>
            </w:r>
            <w:r w:rsidRPr="00CB149C">
              <w:rPr>
                <w:b/>
                <w:sz w:val="24"/>
                <w:szCs w:val="24"/>
              </w:rPr>
              <w:t>Challenge</w:t>
            </w:r>
          </w:p>
          <w:p w:rsidR="00537C8E" w:rsidRPr="00CB149C" w:rsidRDefault="00BD63F6" w:rsidP="0057292B">
            <w:pPr>
              <w:rPr>
                <w:sz w:val="24"/>
                <w:szCs w:val="24"/>
              </w:rPr>
            </w:pPr>
            <w:r w:rsidRPr="00CB149C">
              <w:rPr>
                <w:sz w:val="24"/>
                <w:szCs w:val="24"/>
              </w:rPr>
              <w:t xml:space="preserve">Noncognitive skills are clearly important for learning in K-12. However, most students are not assessed on their noncognitive skills in a reliable and valid manner. Thus, parents and teachers have little information on their students’ standings on these factors. As such, they have little information </w:t>
            </w:r>
            <w:r w:rsidR="00791FBE" w:rsidRPr="00CB149C">
              <w:rPr>
                <w:sz w:val="24"/>
                <w:szCs w:val="24"/>
              </w:rPr>
              <w:t xml:space="preserve">on </w:t>
            </w:r>
            <w:r w:rsidRPr="00CB149C">
              <w:rPr>
                <w:sz w:val="24"/>
                <w:szCs w:val="24"/>
              </w:rPr>
              <w:t xml:space="preserve">which to base interventions that can ultimately improve student learning. </w:t>
            </w:r>
          </w:p>
          <w:p w:rsidR="0057292B" w:rsidRPr="00CB149C" w:rsidRDefault="0057292B" w:rsidP="0057292B">
            <w:pPr>
              <w:rPr>
                <w:sz w:val="24"/>
                <w:szCs w:val="24"/>
              </w:rPr>
            </w:pPr>
          </w:p>
          <w:p w:rsidR="0057292B" w:rsidRPr="00CB149C" w:rsidRDefault="00BD63F6" w:rsidP="0057292B">
            <w:pPr>
              <w:rPr>
                <w:b/>
                <w:sz w:val="24"/>
                <w:szCs w:val="24"/>
              </w:rPr>
            </w:pPr>
            <w:r w:rsidRPr="00CB149C">
              <w:rPr>
                <w:b/>
                <w:sz w:val="24"/>
                <w:szCs w:val="24"/>
              </w:rPr>
              <w:t>The Solution</w:t>
            </w:r>
          </w:p>
          <w:p w:rsidR="00BD63F6" w:rsidRPr="00CB149C" w:rsidRDefault="00BD49EE" w:rsidP="00791FBE">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BD63F6" w:rsidRPr="00CB149C">
              <w:rPr>
                <w:sz w:val="24"/>
                <w:szCs w:val="24"/>
              </w:rPr>
              <w:t>This will aid in the effective implementation of interventions that can result in increased student learning.</w:t>
            </w:r>
          </w:p>
          <w:p w:rsidR="00203C15" w:rsidRPr="00CB149C" w:rsidRDefault="00203C15" w:rsidP="00791FBE">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t>6</w:t>
            </w:r>
          </w:p>
        </w:tc>
        <w:tc>
          <w:tcPr>
            <w:tcW w:w="9035" w:type="dxa"/>
          </w:tcPr>
          <w:p w:rsidR="0057292B" w:rsidRPr="00CB149C" w:rsidRDefault="0057292B" w:rsidP="00AD15BA">
            <w:pPr>
              <w:spacing w:line="259" w:lineRule="auto"/>
              <w:jc w:val="center"/>
              <w:rPr>
                <w:b/>
                <w:sz w:val="24"/>
                <w:szCs w:val="24"/>
              </w:rPr>
            </w:pPr>
            <w:r w:rsidRPr="00CB149C">
              <w:rPr>
                <w:b/>
                <w:sz w:val="24"/>
                <w:szCs w:val="24"/>
              </w:rPr>
              <w:t>Increased learning in K-12 leads to increased retention in K-12</w:t>
            </w:r>
          </w:p>
          <w:p w:rsidR="00AD15BA" w:rsidRPr="00CB149C" w:rsidRDefault="00AD15BA" w:rsidP="00AD15BA">
            <w:pPr>
              <w:rPr>
                <w:b/>
                <w:sz w:val="24"/>
                <w:szCs w:val="24"/>
              </w:rPr>
            </w:pPr>
          </w:p>
          <w:p w:rsidR="0057292B" w:rsidRPr="00CB149C" w:rsidRDefault="0057292B" w:rsidP="00AD15BA">
            <w:pPr>
              <w:rPr>
                <w:b/>
                <w:sz w:val="24"/>
                <w:szCs w:val="24"/>
              </w:rPr>
            </w:pPr>
            <w:r w:rsidRPr="00CB149C">
              <w:rPr>
                <w:b/>
                <w:sz w:val="24"/>
                <w:szCs w:val="24"/>
              </w:rPr>
              <w:t xml:space="preserve">Research/Logic </w:t>
            </w:r>
            <w:r w:rsidR="000F40A7" w:rsidRPr="00CB149C">
              <w:rPr>
                <w:b/>
                <w:sz w:val="24"/>
                <w:szCs w:val="24"/>
              </w:rPr>
              <w:t>A</w:t>
            </w:r>
            <w:r w:rsidRPr="00CB149C">
              <w:rPr>
                <w:b/>
                <w:sz w:val="24"/>
                <w:szCs w:val="24"/>
              </w:rPr>
              <w:t>rgument</w:t>
            </w:r>
          </w:p>
          <w:p w:rsidR="00AD15BA" w:rsidRPr="00CB149C" w:rsidRDefault="003D47DF" w:rsidP="00AD15BA">
            <w:pPr>
              <w:rPr>
                <w:sz w:val="24"/>
                <w:szCs w:val="24"/>
              </w:rPr>
            </w:pPr>
            <w:r w:rsidRPr="00CB149C">
              <w:rPr>
                <w:sz w:val="24"/>
                <w:szCs w:val="24"/>
              </w:rPr>
              <w:t>Perhaps unsurprisingly, grades and academic achievement are highly predictive of whether a student will ultimately drop</w:t>
            </w:r>
            <w:r w:rsidR="00791FBE" w:rsidRPr="00CB149C">
              <w:rPr>
                <w:sz w:val="24"/>
                <w:szCs w:val="24"/>
              </w:rPr>
              <w:t xml:space="preserve"> </w:t>
            </w:r>
            <w:r w:rsidRPr="00CB149C">
              <w:rPr>
                <w:sz w:val="24"/>
                <w:szCs w:val="24"/>
              </w:rPr>
              <w:t xml:space="preserve">out of high school. </w:t>
            </w:r>
            <w:r w:rsidR="00B2129C" w:rsidRPr="00CB149C">
              <w:rPr>
                <w:sz w:val="24"/>
                <w:szCs w:val="24"/>
              </w:rPr>
              <w:t>For example, a</w:t>
            </w:r>
            <w:r w:rsidRPr="00CB149C">
              <w:rPr>
                <w:sz w:val="24"/>
                <w:szCs w:val="24"/>
              </w:rPr>
              <w:t xml:space="preserve"> detailed analysis of the Philadelphia public high school freshman class of 2000 </w:t>
            </w:r>
            <w:r w:rsidR="00B2129C" w:rsidRPr="00CB149C">
              <w:rPr>
                <w:sz w:val="24"/>
                <w:szCs w:val="24"/>
              </w:rPr>
              <w:t>found that e</w:t>
            </w:r>
            <w:r w:rsidRPr="00CB149C">
              <w:rPr>
                <w:sz w:val="24"/>
                <w:szCs w:val="24"/>
              </w:rPr>
              <w:t xml:space="preserve">ach of the following factors, as measured in </w:t>
            </w:r>
            <w:r w:rsidR="00084659" w:rsidRPr="00CB149C">
              <w:rPr>
                <w:sz w:val="24"/>
                <w:szCs w:val="24"/>
              </w:rPr>
              <w:t>8</w:t>
            </w:r>
            <w:r w:rsidR="00E12C36" w:rsidRPr="00CB149C">
              <w:rPr>
                <w:sz w:val="24"/>
                <w:szCs w:val="24"/>
                <w:vertAlign w:val="superscript"/>
              </w:rPr>
              <w:t>th</w:t>
            </w:r>
            <w:r w:rsidRPr="00CB149C">
              <w:rPr>
                <w:sz w:val="24"/>
                <w:szCs w:val="24"/>
              </w:rPr>
              <w:t xml:space="preserve"> graders, independently predicted dropping out: low attendance, poor grades in core courses, being over</w:t>
            </w:r>
            <w:r w:rsidR="00791FBE" w:rsidRPr="00CB149C">
              <w:rPr>
                <w:sz w:val="24"/>
                <w:szCs w:val="24"/>
              </w:rPr>
              <w:t xml:space="preserve"> </w:t>
            </w:r>
            <w:r w:rsidRPr="00CB149C">
              <w:rPr>
                <w:sz w:val="24"/>
                <w:szCs w:val="24"/>
              </w:rPr>
              <w:t>age for one’s grade, and being male</w:t>
            </w:r>
            <w:r w:rsidR="00B2129C" w:rsidRPr="00CB149C">
              <w:rPr>
                <w:sz w:val="24"/>
                <w:szCs w:val="24"/>
              </w:rPr>
              <w:t xml:space="preserve"> </w:t>
            </w:r>
            <w:r w:rsidR="00B2129C" w:rsidRPr="00CB149C">
              <w:rPr>
                <w:sz w:val="24"/>
                <w:szCs w:val="24"/>
              </w:rPr>
              <w:lastRenderedPageBreak/>
              <w:t>(Neild &amp; Balfanz, 2006).</w:t>
            </w:r>
            <w:r w:rsidRPr="00CB149C">
              <w:rPr>
                <w:sz w:val="24"/>
                <w:szCs w:val="24"/>
              </w:rPr>
              <w:t xml:space="preserve"> A student had at least a 75% chance of dropping out if he/she: 1) attended school less than 80% of the time in eighth grade, and 2) failed mathematics and/or English during the eighth grade. They also categorized </w:t>
            </w:r>
            <w:r w:rsidR="00E318A6" w:rsidRPr="00CB149C">
              <w:rPr>
                <w:sz w:val="24"/>
                <w:szCs w:val="24"/>
              </w:rPr>
              <w:t>9th</w:t>
            </w:r>
            <w:r w:rsidRPr="00CB149C">
              <w:rPr>
                <w:sz w:val="24"/>
                <w:szCs w:val="24"/>
              </w:rPr>
              <w:t xml:space="preserve"> grade students as “at risk” who were categorized as “at risk” in </w:t>
            </w:r>
            <w:r w:rsidR="00E318A6" w:rsidRPr="00CB149C">
              <w:rPr>
                <w:sz w:val="24"/>
                <w:szCs w:val="24"/>
              </w:rPr>
              <w:t>8th</w:t>
            </w:r>
            <w:r w:rsidRPr="00CB149C">
              <w:rPr>
                <w:sz w:val="24"/>
                <w:szCs w:val="24"/>
              </w:rPr>
              <w:t xml:space="preserve"> grade if they, 1) attended school less than 70% of the time in ninth grade, 2) earned fewer than 2 credits during the ninth grade, and 3) were not promoted to the tenth grade on time</w:t>
            </w:r>
            <w:r w:rsidR="00B2129C" w:rsidRPr="00CB149C">
              <w:rPr>
                <w:sz w:val="24"/>
                <w:szCs w:val="24"/>
              </w:rPr>
              <w:t xml:space="preserve">. </w:t>
            </w:r>
            <w:r w:rsidRPr="00CB149C">
              <w:rPr>
                <w:sz w:val="24"/>
                <w:szCs w:val="24"/>
              </w:rPr>
              <w:t xml:space="preserve">Overall, 80% of </w:t>
            </w:r>
            <w:r w:rsidR="00E318A6" w:rsidRPr="00CB149C">
              <w:rPr>
                <w:sz w:val="24"/>
                <w:szCs w:val="24"/>
              </w:rPr>
              <w:t>8th</w:t>
            </w:r>
            <w:r w:rsidRPr="00CB149C">
              <w:rPr>
                <w:sz w:val="24"/>
                <w:szCs w:val="24"/>
              </w:rPr>
              <w:t xml:space="preserve"> and </w:t>
            </w:r>
            <w:r w:rsidR="00E318A6" w:rsidRPr="00CB149C">
              <w:rPr>
                <w:sz w:val="24"/>
                <w:szCs w:val="24"/>
              </w:rPr>
              <w:t>9th</w:t>
            </w:r>
            <w:r w:rsidRPr="00CB149C">
              <w:rPr>
                <w:sz w:val="24"/>
                <w:szCs w:val="24"/>
              </w:rPr>
              <w:t xml:space="preserve"> grade students who were categorized as “at risk” eventually dropped out of high school.</w:t>
            </w:r>
          </w:p>
          <w:p w:rsidR="00AD15BA" w:rsidRPr="00CB149C" w:rsidRDefault="00AD15BA" w:rsidP="00AD15BA">
            <w:pPr>
              <w:rPr>
                <w:sz w:val="24"/>
                <w:szCs w:val="24"/>
              </w:rPr>
            </w:pPr>
          </w:p>
          <w:p w:rsidR="00F82665" w:rsidRPr="00CB149C" w:rsidRDefault="003D47DF" w:rsidP="00AD15BA">
            <w:pPr>
              <w:rPr>
                <w:sz w:val="24"/>
                <w:szCs w:val="24"/>
              </w:rPr>
            </w:pPr>
            <w:r w:rsidRPr="00CB149C">
              <w:rPr>
                <w:sz w:val="24"/>
                <w:szCs w:val="24"/>
              </w:rPr>
              <w:t xml:space="preserve">Longitudinal studies conducted by Allensworth (2005) and Roderick (1994) also produced similar results. For example, in a study of students in </w:t>
            </w:r>
            <w:r w:rsidR="00590D57" w:rsidRPr="00CB149C">
              <w:rPr>
                <w:sz w:val="24"/>
                <w:szCs w:val="24"/>
              </w:rPr>
              <w:t xml:space="preserve">the </w:t>
            </w:r>
            <w:r w:rsidRPr="00CB149C">
              <w:rPr>
                <w:sz w:val="24"/>
                <w:szCs w:val="24"/>
              </w:rPr>
              <w:t>Chicago Public School</w:t>
            </w:r>
            <w:r w:rsidR="00590D57" w:rsidRPr="00CB149C">
              <w:rPr>
                <w:sz w:val="24"/>
                <w:szCs w:val="24"/>
              </w:rPr>
              <w:t>s</w:t>
            </w:r>
            <w:r w:rsidRPr="00CB149C">
              <w:rPr>
                <w:sz w:val="24"/>
                <w:szCs w:val="24"/>
              </w:rPr>
              <w:t>, All</w:t>
            </w:r>
            <w:r w:rsidR="00590D57" w:rsidRPr="00CB149C">
              <w:rPr>
                <w:sz w:val="24"/>
                <w:szCs w:val="24"/>
              </w:rPr>
              <w:t>ensworth (2005)</w:t>
            </w:r>
            <w:r w:rsidRPr="00CB149C">
              <w:rPr>
                <w:sz w:val="24"/>
                <w:szCs w:val="24"/>
              </w:rPr>
              <w:t xml:space="preserve"> created an indicator variable designating whether </w:t>
            </w:r>
            <w:r w:rsidR="00FA7118" w:rsidRPr="00CB149C">
              <w:rPr>
                <w:sz w:val="24"/>
                <w:szCs w:val="24"/>
              </w:rPr>
              <w:t>9th</w:t>
            </w:r>
            <w:r w:rsidRPr="00CB149C">
              <w:rPr>
                <w:sz w:val="24"/>
                <w:szCs w:val="24"/>
              </w:rPr>
              <w:t xml:space="preserve"> grade students were “on track” to graduate. Students were classified as not “on track” if they possessed two of the risk factors of attendance, GPA, credits earned, and failing grades. This indicator was 85% accurate in predicting high school graduation (Allensworth, 2005). Furthermore, in research conducted in the early 1990s investigating a small school district in Massachusetts, Roderick (1994) found that students who showed the largest drop in performance in the transition from elementary sc</w:t>
            </w:r>
            <w:r w:rsidR="00FA7118" w:rsidRPr="00CB149C">
              <w:rPr>
                <w:sz w:val="24"/>
                <w:szCs w:val="24"/>
              </w:rPr>
              <w:t xml:space="preserve">hool to middle school, and from </w:t>
            </w:r>
            <w:r w:rsidRPr="00CB149C">
              <w:rPr>
                <w:sz w:val="24"/>
                <w:szCs w:val="24"/>
              </w:rPr>
              <w:t xml:space="preserve">middle school to high school, were the most likely to drop-out. </w:t>
            </w:r>
          </w:p>
          <w:p w:rsidR="00AD15BA" w:rsidRPr="00CB149C" w:rsidRDefault="00AD15BA" w:rsidP="00AD15BA">
            <w:pPr>
              <w:rPr>
                <w:b/>
                <w:sz w:val="24"/>
                <w:szCs w:val="24"/>
              </w:rPr>
            </w:pPr>
          </w:p>
          <w:p w:rsidR="00C158A8" w:rsidRPr="00CB149C" w:rsidRDefault="00C158A8" w:rsidP="00AD15BA">
            <w:pPr>
              <w:rPr>
                <w:b/>
                <w:sz w:val="24"/>
                <w:szCs w:val="24"/>
              </w:rPr>
            </w:pPr>
            <w:r w:rsidRPr="00CB149C">
              <w:rPr>
                <w:b/>
                <w:sz w:val="24"/>
                <w:szCs w:val="24"/>
              </w:rPr>
              <w:t>The Current Challenge</w:t>
            </w:r>
          </w:p>
          <w:p w:rsidR="0057292B" w:rsidRPr="00CB149C" w:rsidRDefault="00084659" w:rsidP="00AD15BA">
            <w:pPr>
              <w:rPr>
                <w:sz w:val="24"/>
                <w:szCs w:val="24"/>
              </w:rPr>
            </w:pPr>
            <w:r w:rsidRPr="00CB149C">
              <w:rPr>
                <w:sz w:val="24"/>
                <w:szCs w:val="24"/>
              </w:rPr>
              <w:t xml:space="preserve">As stated in point 5, noncognitive skills are clearly important for learning in K-12. Point 6 further makes the </w:t>
            </w:r>
            <w:r w:rsidR="00F077FB" w:rsidRPr="00CB149C">
              <w:rPr>
                <w:sz w:val="24"/>
                <w:szCs w:val="24"/>
              </w:rPr>
              <w:t>assertion</w:t>
            </w:r>
            <w:r w:rsidRPr="00CB149C">
              <w:rPr>
                <w:sz w:val="24"/>
                <w:szCs w:val="24"/>
              </w:rPr>
              <w:t xml:space="preserve"> that learning is important for K-12 retention. Thus, noncognitive skills should be important for retention via learning. However, most students are not assessed on their noncognitive skills in a reliable and valid manner. Thus, parents and teachers have little information on their students’ standings on these factors. As such, they have little information </w:t>
            </w:r>
            <w:r w:rsidR="00791FBE" w:rsidRPr="00CB149C">
              <w:rPr>
                <w:sz w:val="24"/>
                <w:szCs w:val="24"/>
              </w:rPr>
              <w:t xml:space="preserve">on </w:t>
            </w:r>
            <w:r w:rsidRPr="00CB149C">
              <w:rPr>
                <w:sz w:val="24"/>
                <w:szCs w:val="24"/>
              </w:rPr>
              <w:t xml:space="preserve">which to base interventions that can ultimately improve student retention. </w:t>
            </w:r>
          </w:p>
          <w:p w:rsidR="00084659" w:rsidRPr="00CB149C" w:rsidRDefault="00084659" w:rsidP="0057292B">
            <w:pPr>
              <w:rPr>
                <w:sz w:val="24"/>
                <w:szCs w:val="24"/>
              </w:rPr>
            </w:pPr>
          </w:p>
          <w:p w:rsidR="00C158A8" w:rsidRPr="00CB149C" w:rsidRDefault="00C158A8" w:rsidP="00C158A8">
            <w:pPr>
              <w:rPr>
                <w:b/>
                <w:sz w:val="24"/>
                <w:szCs w:val="24"/>
              </w:rPr>
            </w:pPr>
            <w:r w:rsidRPr="00CB149C">
              <w:rPr>
                <w:b/>
                <w:sz w:val="24"/>
                <w:szCs w:val="24"/>
              </w:rPr>
              <w:t>The Solution</w:t>
            </w:r>
          </w:p>
          <w:p w:rsidR="00084659" w:rsidRPr="00CB149C" w:rsidRDefault="00BD49EE" w:rsidP="00791FBE">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084659" w:rsidRPr="00CB149C">
              <w:rPr>
                <w:sz w:val="24"/>
                <w:szCs w:val="24"/>
              </w:rPr>
              <w:t>This will aid in the effective implementation of interventions that can result in increased student retention.</w:t>
            </w:r>
          </w:p>
          <w:p w:rsidR="00203C15" w:rsidRPr="00CB149C" w:rsidRDefault="00203C15" w:rsidP="00791FBE">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7</w:t>
            </w:r>
          </w:p>
        </w:tc>
        <w:tc>
          <w:tcPr>
            <w:tcW w:w="9035" w:type="dxa"/>
          </w:tcPr>
          <w:p w:rsidR="0057292B" w:rsidRPr="00CB149C" w:rsidRDefault="0057292B" w:rsidP="00AD15BA">
            <w:pPr>
              <w:spacing w:line="259" w:lineRule="auto"/>
              <w:jc w:val="center"/>
              <w:rPr>
                <w:b/>
                <w:sz w:val="24"/>
                <w:szCs w:val="24"/>
              </w:rPr>
            </w:pPr>
            <w:r w:rsidRPr="00CB149C">
              <w:rPr>
                <w:b/>
                <w:sz w:val="24"/>
                <w:szCs w:val="24"/>
              </w:rPr>
              <w:t>Improved noncognitive skills lead to increased retention in K-12</w:t>
            </w:r>
          </w:p>
          <w:p w:rsidR="00AD15BA" w:rsidRPr="00CB149C" w:rsidRDefault="00AD15BA" w:rsidP="00AD15BA">
            <w:pPr>
              <w:rPr>
                <w:b/>
                <w:sz w:val="24"/>
                <w:szCs w:val="24"/>
              </w:rPr>
            </w:pPr>
          </w:p>
          <w:p w:rsidR="0057292B" w:rsidRPr="00CB149C" w:rsidRDefault="0057292B" w:rsidP="00AD15BA">
            <w:pPr>
              <w:rPr>
                <w:sz w:val="24"/>
                <w:szCs w:val="24"/>
              </w:rPr>
            </w:pPr>
            <w:r w:rsidRPr="00CB149C">
              <w:rPr>
                <w:b/>
                <w:sz w:val="24"/>
                <w:szCs w:val="24"/>
              </w:rPr>
              <w:t xml:space="preserve">Research/Logic </w:t>
            </w:r>
            <w:r w:rsidR="000F40A7" w:rsidRPr="00CB149C">
              <w:rPr>
                <w:b/>
                <w:sz w:val="24"/>
                <w:szCs w:val="24"/>
              </w:rPr>
              <w:t>A</w:t>
            </w:r>
            <w:r w:rsidRPr="00CB149C">
              <w:rPr>
                <w:b/>
                <w:sz w:val="24"/>
                <w:szCs w:val="24"/>
              </w:rPr>
              <w:t>rgument</w:t>
            </w:r>
          </w:p>
          <w:p w:rsidR="00F82665" w:rsidRPr="00CB149C" w:rsidRDefault="00ED44B1" w:rsidP="00F82665">
            <w:pPr>
              <w:pStyle w:val="ListParagraph"/>
              <w:spacing w:after="0" w:line="240" w:lineRule="auto"/>
              <w:ind w:left="0"/>
              <w:rPr>
                <w:sz w:val="24"/>
                <w:szCs w:val="24"/>
              </w:rPr>
            </w:pPr>
            <w:r w:rsidRPr="00CB149C">
              <w:rPr>
                <w:sz w:val="24"/>
                <w:szCs w:val="24"/>
              </w:rPr>
              <w:t>Research has found that noncognitive skills are important for retention in education. One</w:t>
            </w:r>
            <w:r w:rsidR="00F82665" w:rsidRPr="00CB149C">
              <w:rPr>
                <w:sz w:val="24"/>
                <w:szCs w:val="24"/>
              </w:rPr>
              <w:t xml:space="preserve"> longitudinal study employing a representative sample of United States </w:t>
            </w:r>
            <w:r w:rsidRPr="00CB149C">
              <w:rPr>
                <w:sz w:val="24"/>
                <w:szCs w:val="24"/>
              </w:rPr>
              <w:t>citizens looked</w:t>
            </w:r>
            <w:r w:rsidR="00FF1BDC" w:rsidRPr="00CB149C">
              <w:rPr>
                <w:sz w:val="24"/>
                <w:szCs w:val="24"/>
              </w:rPr>
              <w:t xml:space="preserve"> </w:t>
            </w:r>
            <w:r w:rsidR="00F077FB" w:rsidRPr="00CB149C">
              <w:rPr>
                <w:sz w:val="24"/>
                <w:szCs w:val="24"/>
              </w:rPr>
              <w:t xml:space="preserve">at </w:t>
            </w:r>
            <w:r w:rsidR="00FF1BDC" w:rsidRPr="00CB149C">
              <w:rPr>
                <w:sz w:val="24"/>
                <w:szCs w:val="24"/>
              </w:rPr>
              <w:t>the relationship of</w:t>
            </w:r>
            <w:r w:rsidRPr="00CB149C">
              <w:rPr>
                <w:sz w:val="24"/>
                <w:szCs w:val="24"/>
              </w:rPr>
              <w:t xml:space="preserve"> </w:t>
            </w:r>
            <w:r w:rsidR="00FF1BDC" w:rsidRPr="00CB149C">
              <w:rPr>
                <w:sz w:val="24"/>
                <w:szCs w:val="24"/>
              </w:rPr>
              <w:t>9</w:t>
            </w:r>
            <w:r w:rsidR="00FF1BDC" w:rsidRPr="00CB149C">
              <w:rPr>
                <w:sz w:val="24"/>
                <w:szCs w:val="24"/>
                <w:vertAlign w:val="superscript"/>
              </w:rPr>
              <w:t>th</w:t>
            </w:r>
            <w:r w:rsidR="00FF1BDC" w:rsidRPr="00CB149C">
              <w:rPr>
                <w:sz w:val="24"/>
                <w:szCs w:val="24"/>
              </w:rPr>
              <w:t xml:space="preserve"> – 12</w:t>
            </w:r>
            <w:r w:rsidR="00FF1BDC" w:rsidRPr="00CB149C">
              <w:rPr>
                <w:sz w:val="24"/>
                <w:szCs w:val="24"/>
                <w:vertAlign w:val="superscript"/>
              </w:rPr>
              <w:t>th</w:t>
            </w:r>
            <w:r w:rsidR="00FF1BDC" w:rsidRPr="00CB149C">
              <w:rPr>
                <w:sz w:val="24"/>
                <w:szCs w:val="24"/>
              </w:rPr>
              <w:t xml:space="preserve"> grade </w:t>
            </w:r>
            <w:r w:rsidRPr="00CB149C">
              <w:rPr>
                <w:sz w:val="24"/>
                <w:szCs w:val="24"/>
              </w:rPr>
              <w:t>students’ responses to</w:t>
            </w:r>
            <w:r w:rsidR="00FF1BDC" w:rsidRPr="00CB149C">
              <w:rPr>
                <w:sz w:val="24"/>
                <w:szCs w:val="24"/>
              </w:rPr>
              <w:t xml:space="preserve"> a personality assessment and their level of educati</w:t>
            </w:r>
            <w:r w:rsidR="009539C4" w:rsidRPr="00CB149C">
              <w:rPr>
                <w:sz w:val="24"/>
                <w:szCs w:val="24"/>
              </w:rPr>
              <w:t xml:space="preserve">onal attainment 11 years later </w:t>
            </w:r>
            <w:r w:rsidR="00F82665" w:rsidRPr="00CB149C">
              <w:rPr>
                <w:sz w:val="24"/>
                <w:szCs w:val="24"/>
              </w:rPr>
              <w:t>(Damian</w:t>
            </w:r>
            <w:r w:rsidR="00FF1BDC" w:rsidRPr="00CB149C">
              <w:rPr>
                <w:sz w:val="24"/>
                <w:szCs w:val="24"/>
              </w:rPr>
              <w:t>, Su, Shanahan, et al., 2014).</w:t>
            </w:r>
            <w:r w:rsidR="009539C4" w:rsidRPr="00CB149C">
              <w:rPr>
                <w:sz w:val="24"/>
                <w:szCs w:val="24"/>
              </w:rPr>
              <w:t xml:space="preserve"> In this work, a 1 standard deviation increase in each Big Five personality factor was associated with increased educational attainment. The exact numbers are: Extraversion = </w:t>
            </w:r>
            <w:r w:rsidR="009539C4" w:rsidRPr="00CB149C">
              <w:rPr>
                <w:sz w:val="24"/>
                <w:szCs w:val="24"/>
              </w:rPr>
              <w:lastRenderedPageBreak/>
              <w:t xml:space="preserve">1.8 more months of education, </w:t>
            </w:r>
            <w:r w:rsidR="005100A0" w:rsidRPr="00CB149C">
              <w:rPr>
                <w:sz w:val="24"/>
                <w:szCs w:val="24"/>
              </w:rPr>
              <w:t>Agreeableness = 2 months, Conscientiousness = 2.7 months, Emotional Stability = 2 months, and O</w:t>
            </w:r>
            <w:r w:rsidR="009539C4" w:rsidRPr="00CB149C">
              <w:rPr>
                <w:sz w:val="24"/>
                <w:szCs w:val="24"/>
              </w:rPr>
              <w:t xml:space="preserve">penness = 2.5 months. By point of comparison, going up 1 standard deviation in socioeconomic status was associated with 8.3 additional months of education. Other nationally representative studies have found similar results. For instance, one </w:t>
            </w:r>
            <w:r w:rsidR="00D22CD5" w:rsidRPr="00CB149C">
              <w:rPr>
                <w:sz w:val="24"/>
                <w:szCs w:val="24"/>
              </w:rPr>
              <w:t>nationally representative study found that, after controlling for age, gende</w:t>
            </w:r>
            <w:r w:rsidR="005100A0" w:rsidRPr="00CB149C">
              <w:rPr>
                <w:sz w:val="24"/>
                <w:szCs w:val="24"/>
              </w:rPr>
              <w:t>r, and ethnicity, Openness and C</w:t>
            </w:r>
            <w:r w:rsidR="00D22CD5" w:rsidRPr="00CB149C">
              <w:rPr>
                <w:sz w:val="24"/>
                <w:szCs w:val="24"/>
              </w:rPr>
              <w:t>onscientiousness significantly and positively predicted educational attainment</w:t>
            </w:r>
            <w:r w:rsidR="00F077FB" w:rsidRPr="00CB149C">
              <w:rPr>
                <w:sz w:val="24"/>
                <w:szCs w:val="24"/>
              </w:rPr>
              <w:t xml:space="preserve"> (</w:t>
            </w:r>
            <w:r w:rsidR="00F077FB" w:rsidRPr="00CB149C">
              <w:rPr>
                <w:rFonts w:cs="TimesNewRomanPSMT"/>
                <w:sz w:val="24"/>
                <w:szCs w:val="24"/>
              </w:rPr>
              <w:t>Goldberg, Sweeney,</w:t>
            </w:r>
            <w:r w:rsidR="00492D1F" w:rsidRPr="00CB149C">
              <w:rPr>
                <w:rFonts w:cs="TimesNewRomanPSMT"/>
                <w:sz w:val="24"/>
                <w:szCs w:val="24"/>
              </w:rPr>
              <w:t xml:space="preserve"> Merenda, </w:t>
            </w:r>
            <w:r w:rsidR="00F077FB" w:rsidRPr="00CB149C">
              <w:rPr>
                <w:rFonts w:cs="TimesNewRomanPSMT"/>
                <w:sz w:val="24"/>
                <w:szCs w:val="24"/>
              </w:rPr>
              <w:t>&amp; Hughes,</w:t>
            </w:r>
            <w:r w:rsidR="00492D1F" w:rsidRPr="00CB149C">
              <w:rPr>
                <w:rFonts w:cs="TimesNewRomanPSMT"/>
                <w:sz w:val="24"/>
                <w:szCs w:val="24"/>
              </w:rPr>
              <w:t xml:space="preserve"> 1998)</w:t>
            </w:r>
            <w:r w:rsidR="00D22CD5" w:rsidRPr="00CB149C">
              <w:rPr>
                <w:sz w:val="24"/>
                <w:szCs w:val="24"/>
              </w:rPr>
              <w:t xml:space="preserve">. Extraversion and </w:t>
            </w:r>
            <w:r w:rsidR="005100A0" w:rsidRPr="00CB149C">
              <w:rPr>
                <w:sz w:val="24"/>
                <w:szCs w:val="24"/>
              </w:rPr>
              <w:t>A</w:t>
            </w:r>
            <w:r w:rsidR="00D22CD5" w:rsidRPr="00CB149C">
              <w:rPr>
                <w:sz w:val="24"/>
                <w:szCs w:val="24"/>
              </w:rPr>
              <w:t xml:space="preserve">greeableness, however, slightly negatively predicted attainment, while </w:t>
            </w:r>
            <w:r w:rsidR="005100A0" w:rsidRPr="00CB149C">
              <w:rPr>
                <w:sz w:val="24"/>
                <w:szCs w:val="24"/>
              </w:rPr>
              <w:t>Emotional Stability</w:t>
            </w:r>
            <w:r w:rsidR="00D22CD5" w:rsidRPr="00CB149C">
              <w:rPr>
                <w:sz w:val="24"/>
                <w:szCs w:val="24"/>
              </w:rPr>
              <w:t xml:space="preserve"> was unrelated. </w:t>
            </w:r>
          </w:p>
          <w:p w:rsidR="001E21E5" w:rsidRPr="00CB149C" w:rsidRDefault="001E21E5" w:rsidP="0057292B">
            <w:pPr>
              <w:pStyle w:val="ListParagraph"/>
              <w:spacing w:after="0" w:line="240" w:lineRule="auto"/>
              <w:ind w:left="0"/>
              <w:rPr>
                <w:sz w:val="24"/>
                <w:szCs w:val="24"/>
              </w:rPr>
            </w:pPr>
          </w:p>
          <w:p w:rsidR="00F82665" w:rsidRPr="00CB149C" w:rsidRDefault="00740B4E" w:rsidP="0057292B">
            <w:pPr>
              <w:pStyle w:val="ListParagraph"/>
              <w:spacing w:after="0" w:line="240" w:lineRule="auto"/>
              <w:ind w:left="0"/>
              <w:rPr>
                <w:sz w:val="24"/>
                <w:szCs w:val="24"/>
              </w:rPr>
            </w:pPr>
            <w:r w:rsidRPr="00CB149C">
              <w:rPr>
                <w:sz w:val="24"/>
                <w:szCs w:val="24"/>
              </w:rPr>
              <w:t>Addition</w:t>
            </w:r>
            <w:r w:rsidR="00543957" w:rsidRPr="00CB149C">
              <w:rPr>
                <w:sz w:val="24"/>
                <w:szCs w:val="24"/>
              </w:rPr>
              <w:t>ally, a new study looked at predicting on-time high school graduation with narrower, facet-like, measures (Moore, Way, Casillas, et al., in press). In this study, 4,660 middle school students were administered personality measures and whether they graduated high scho</w:t>
            </w:r>
            <w:r w:rsidR="00492D1F" w:rsidRPr="00CB149C">
              <w:rPr>
                <w:sz w:val="24"/>
                <w:szCs w:val="24"/>
              </w:rPr>
              <w:t>ol on-time (or did not graduate</w:t>
            </w:r>
            <w:r w:rsidR="00543957" w:rsidRPr="00CB149C">
              <w:rPr>
                <w:sz w:val="24"/>
                <w:szCs w:val="24"/>
              </w:rPr>
              <w:t>) was examined several years later. Results revealed th</w:t>
            </w:r>
            <w:r w:rsidR="008A64E8" w:rsidRPr="00CB149C">
              <w:rPr>
                <w:sz w:val="24"/>
                <w:szCs w:val="24"/>
              </w:rPr>
              <w:t xml:space="preserve">at orderly conduct (related to </w:t>
            </w:r>
            <w:r w:rsidR="00F7541C" w:rsidRPr="00CB149C">
              <w:rPr>
                <w:sz w:val="24"/>
                <w:szCs w:val="24"/>
              </w:rPr>
              <w:t xml:space="preserve">conscientiousness </w:t>
            </w:r>
            <w:r w:rsidR="00543957" w:rsidRPr="00CB149C">
              <w:rPr>
                <w:sz w:val="24"/>
                <w:szCs w:val="24"/>
              </w:rPr>
              <w:t xml:space="preserve">and </w:t>
            </w:r>
            <w:r w:rsidR="00F7541C" w:rsidRPr="00CB149C">
              <w:rPr>
                <w:sz w:val="24"/>
                <w:szCs w:val="24"/>
              </w:rPr>
              <w:t>teamwork</w:t>
            </w:r>
            <w:r w:rsidR="00F05EAA" w:rsidRPr="00CB149C">
              <w:rPr>
                <w:sz w:val="24"/>
                <w:szCs w:val="24"/>
              </w:rPr>
              <w:t>/cooperation</w:t>
            </w:r>
            <w:r w:rsidR="00543957" w:rsidRPr="00CB149C">
              <w:rPr>
                <w:sz w:val="24"/>
                <w:szCs w:val="24"/>
              </w:rPr>
              <w:t>) and optimism (</w:t>
            </w:r>
            <w:r w:rsidR="008A64E8" w:rsidRPr="00CB149C">
              <w:rPr>
                <w:sz w:val="24"/>
                <w:szCs w:val="24"/>
              </w:rPr>
              <w:t xml:space="preserve">related to </w:t>
            </w:r>
            <w:r w:rsidR="00F7541C" w:rsidRPr="00CB149C">
              <w:rPr>
                <w:sz w:val="24"/>
                <w:szCs w:val="24"/>
              </w:rPr>
              <w:t>leadership</w:t>
            </w:r>
            <w:r w:rsidR="00F05EAA" w:rsidRPr="00CB149C">
              <w:rPr>
                <w:sz w:val="24"/>
                <w:szCs w:val="24"/>
              </w:rPr>
              <w:t>/communication style</w:t>
            </w:r>
            <w:r w:rsidR="00543957" w:rsidRPr="00CB149C">
              <w:rPr>
                <w:sz w:val="24"/>
                <w:szCs w:val="24"/>
              </w:rPr>
              <w:t>) directly predicted on-time high school graduation. Academic discipline (</w:t>
            </w:r>
            <w:r w:rsidR="008A64E8" w:rsidRPr="00CB149C">
              <w:rPr>
                <w:sz w:val="24"/>
                <w:szCs w:val="24"/>
              </w:rPr>
              <w:t xml:space="preserve">related to </w:t>
            </w:r>
            <w:r w:rsidR="00F7541C" w:rsidRPr="00CB149C">
              <w:rPr>
                <w:sz w:val="24"/>
                <w:szCs w:val="24"/>
              </w:rPr>
              <w:t>conscientiousness</w:t>
            </w:r>
            <w:r w:rsidR="00543957" w:rsidRPr="00CB149C">
              <w:rPr>
                <w:sz w:val="24"/>
                <w:szCs w:val="24"/>
              </w:rPr>
              <w:t xml:space="preserve">) also predicted on-time graduation, as mediated through high school GPA. </w:t>
            </w:r>
          </w:p>
          <w:p w:rsidR="00F82665" w:rsidRPr="00CB149C" w:rsidRDefault="00F82665" w:rsidP="0057292B">
            <w:pPr>
              <w:pStyle w:val="ListParagraph"/>
              <w:spacing w:after="0" w:line="240" w:lineRule="auto"/>
              <w:ind w:left="0"/>
              <w:rPr>
                <w:sz w:val="24"/>
                <w:szCs w:val="24"/>
              </w:rPr>
            </w:pPr>
          </w:p>
          <w:p w:rsidR="00C158A8" w:rsidRPr="00CB149C" w:rsidRDefault="00C158A8" w:rsidP="00C158A8">
            <w:pPr>
              <w:rPr>
                <w:b/>
                <w:sz w:val="24"/>
                <w:szCs w:val="24"/>
              </w:rPr>
            </w:pPr>
            <w:r w:rsidRPr="00CB149C">
              <w:rPr>
                <w:b/>
                <w:sz w:val="24"/>
                <w:szCs w:val="24"/>
              </w:rPr>
              <w:t>The Current Challenge</w:t>
            </w:r>
          </w:p>
          <w:p w:rsidR="00C158A8" w:rsidRPr="00CB149C" w:rsidRDefault="00C158A8" w:rsidP="00C158A8">
            <w:pPr>
              <w:rPr>
                <w:sz w:val="24"/>
                <w:szCs w:val="24"/>
              </w:rPr>
            </w:pPr>
            <w:r w:rsidRPr="00CB149C">
              <w:rPr>
                <w:sz w:val="24"/>
                <w:szCs w:val="24"/>
              </w:rPr>
              <w:t xml:space="preserve">Noncognitive skills are important for retention in K-12. However, most students are not assessed on their noncognitive skills in a reliable and valid manner. Thus, parents and teachers have little information on their students’ standings on these factors. As such, they have little information </w:t>
            </w:r>
            <w:r w:rsidR="00510DE3" w:rsidRPr="00CB149C">
              <w:rPr>
                <w:sz w:val="24"/>
                <w:szCs w:val="24"/>
              </w:rPr>
              <w:t xml:space="preserve">on </w:t>
            </w:r>
            <w:r w:rsidRPr="00CB149C">
              <w:rPr>
                <w:sz w:val="24"/>
                <w:szCs w:val="24"/>
              </w:rPr>
              <w:t xml:space="preserve">which to base interventions that can ultimately improve student retention. </w:t>
            </w:r>
          </w:p>
          <w:p w:rsidR="00C158A8" w:rsidRPr="00CB149C" w:rsidRDefault="00C158A8" w:rsidP="00C158A8">
            <w:pPr>
              <w:rPr>
                <w:sz w:val="24"/>
                <w:szCs w:val="24"/>
              </w:rPr>
            </w:pPr>
          </w:p>
          <w:p w:rsidR="00C158A8" w:rsidRPr="00CB149C" w:rsidRDefault="00C158A8" w:rsidP="00C158A8">
            <w:pPr>
              <w:rPr>
                <w:b/>
                <w:sz w:val="24"/>
                <w:szCs w:val="24"/>
              </w:rPr>
            </w:pPr>
            <w:r w:rsidRPr="00CB149C">
              <w:rPr>
                <w:b/>
                <w:sz w:val="24"/>
                <w:szCs w:val="24"/>
              </w:rPr>
              <w:t>The Solution</w:t>
            </w:r>
          </w:p>
          <w:p w:rsidR="0057292B" w:rsidRPr="00CB149C" w:rsidRDefault="00BD49EE" w:rsidP="00510DE3">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C158A8" w:rsidRPr="00CB149C">
              <w:rPr>
                <w:sz w:val="24"/>
                <w:szCs w:val="24"/>
              </w:rPr>
              <w:t>This will aid in the effective implementation of interventions that can result in increased student retention</w:t>
            </w:r>
            <w:r w:rsidR="00B2129C" w:rsidRPr="00CB149C">
              <w:rPr>
                <w:sz w:val="24"/>
                <w:szCs w:val="24"/>
              </w:rPr>
              <w:t xml:space="preserve"> in K-12</w:t>
            </w:r>
            <w:r w:rsidR="00C158A8" w:rsidRPr="00CB149C">
              <w:rPr>
                <w:sz w:val="24"/>
                <w:szCs w:val="24"/>
              </w:rPr>
              <w:t>.</w:t>
            </w:r>
          </w:p>
          <w:p w:rsidR="00203C15" w:rsidRPr="00CB149C" w:rsidRDefault="00203C15" w:rsidP="00510DE3">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8</w:t>
            </w:r>
          </w:p>
        </w:tc>
        <w:tc>
          <w:tcPr>
            <w:tcW w:w="9035" w:type="dxa"/>
          </w:tcPr>
          <w:p w:rsidR="00C158A8" w:rsidRPr="00CB149C" w:rsidRDefault="00C158A8" w:rsidP="00AD15BA">
            <w:pPr>
              <w:spacing w:line="259" w:lineRule="auto"/>
              <w:jc w:val="center"/>
              <w:rPr>
                <w:b/>
                <w:sz w:val="24"/>
                <w:szCs w:val="24"/>
              </w:rPr>
            </w:pPr>
            <w:r w:rsidRPr="00CB149C">
              <w:rPr>
                <w:b/>
                <w:sz w:val="24"/>
                <w:szCs w:val="24"/>
              </w:rPr>
              <w:t>Increased learning in K-12 leads to increased learning in college</w:t>
            </w:r>
          </w:p>
          <w:p w:rsidR="00AD15BA" w:rsidRPr="00CB149C" w:rsidRDefault="00AD15BA" w:rsidP="00AD15BA">
            <w:pPr>
              <w:rPr>
                <w:b/>
                <w:sz w:val="24"/>
                <w:szCs w:val="24"/>
              </w:rPr>
            </w:pPr>
          </w:p>
          <w:p w:rsidR="0057292B" w:rsidRPr="00CB149C" w:rsidRDefault="0057292B" w:rsidP="00AD15BA">
            <w:pPr>
              <w:rPr>
                <w:sz w:val="24"/>
                <w:szCs w:val="24"/>
              </w:rPr>
            </w:pPr>
            <w:r w:rsidRPr="00CB149C">
              <w:rPr>
                <w:b/>
                <w:sz w:val="24"/>
                <w:szCs w:val="24"/>
              </w:rPr>
              <w:t xml:space="preserve">Research/Logic </w:t>
            </w:r>
            <w:r w:rsidR="000F40A7" w:rsidRPr="00CB149C">
              <w:rPr>
                <w:b/>
                <w:sz w:val="24"/>
                <w:szCs w:val="24"/>
              </w:rPr>
              <w:t>A</w:t>
            </w:r>
            <w:r w:rsidRPr="00CB149C">
              <w:rPr>
                <w:b/>
                <w:sz w:val="24"/>
                <w:szCs w:val="24"/>
              </w:rPr>
              <w:t>rgument</w:t>
            </w:r>
          </w:p>
          <w:p w:rsidR="0057292B" w:rsidRPr="00CB149C" w:rsidRDefault="00B36755" w:rsidP="0057292B">
            <w:pPr>
              <w:pStyle w:val="ListParagraph"/>
              <w:spacing w:after="0" w:line="240" w:lineRule="auto"/>
              <w:ind w:left="0"/>
              <w:rPr>
                <w:sz w:val="24"/>
                <w:szCs w:val="24"/>
              </w:rPr>
            </w:pPr>
            <w:r w:rsidRPr="00CB149C">
              <w:rPr>
                <w:sz w:val="24"/>
                <w:szCs w:val="24"/>
              </w:rPr>
              <w:t xml:space="preserve">Research demonstrates that prior academic achievement is a strong predictor of learning in college. </w:t>
            </w:r>
            <w:r w:rsidRPr="00CB149C">
              <w:rPr>
                <w:rFonts w:cs="Akzidenz-Grotesk Std Light"/>
                <w:color w:val="000000"/>
                <w:sz w:val="24"/>
                <w:szCs w:val="24"/>
              </w:rPr>
              <w:t>In a comprehensive meta-analysis of predictors of academic performance at all levels of schooling, Poropat (2009) found that academic achievement (ACT/SAT scores) was a strong predicto</w:t>
            </w:r>
            <w:r w:rsidR="00B05043" w:rsidRPr="00CB149C">
              <w:rPr>
                <w:rFonts w:cs="Akzidenz-Grotesk Std Light"/>
                <w:color w:val="000000"/>
                <w:sz w:val="24"/>
                <w:szCs w:val="24"/>
              </w:rPr>
              <w:t>r</w:t>
            </w:r>
            <w:r w:rsidRPr="00CB149C">
              <w:rPr>
                <w:rFonts w:cs="Akzidenz-Grotesk Std Light"/>
                <w:color w:val="000000"/>
                <w:sz w:val="24"/>
                <w:szCs w:val="24"/>
              </w:rPr>
              <w:t xml:space="preserve"> of course grades at the postsecondary</w:t>
            </w:r>
            <w:r w:rsidR="00B05043" w:rsidRPr="00CB149C">
              <w:rPr>
                <w:rFonts w:cs="Akzidenz-Grotesk Std Light"/>
                <w:color w:val="000000"/>
                <w:sz w:val="24"/>
                <w:szCs w:val="24"/>
              </w:rPr>
              <w:t xml:space="preserve"> level (see also Richardson, Abraham, &amp; Bond, 2012</w:t>
            </w:r>
            <w:r w:rsidRPr="00CB149C">
              <w:rPr>
                <w:rFonts w:cs="Akzidenz-Grotesk Std Light"/>
                <w:color w:val="000000"/>
                <w:sz w:val="24"/>
                <w:szCs w:val="24"/>
              </w:rPr>
              <w:t xml:space="preserve"> for a</w:t>
            </w:r>
            <w:r w:rsidR="00B05043" w:rsidRPr="00CB149C">
              <w:rPr>
                <w:rFonts w:cs="Akzidenz-Grotesk Std Light"/>
                <w:color w:val="000000"/>
                <w:sz w:val="24"/>
                <w:szCs w:val="24"/>
              </w:rPr>
              <w:t>nother</w:t>
            </w:r>
            <w:r w:rsidRPr="00CB149C">
              <w:rPr>
                <w:rFonts w:cs="Akzidenz-Grotesk Std Light"/>
                <w:color w:val="000000"/>
                <w:sz w:val="24"/>
                <w:szCs w:val="24"/>
              </w:rPr>
              <w:t xml:space="preserve"> recent meta-analysis</w:t>
            </w:r>
            <w:r w:rsidR="00996F47" w:rsidRPr="00CB149C">
              <w:rPr>
                <w:rFonts w:cs="Akzidenz-Grotesk Std Light"/>
                <w:color w:val="000000"/>
                <w:sz w:val="24"/>
                <w:szCs w:val="24"/>
              </w:rPr>
              <w:t>)</w:t>
            </w:r>
            <w:r w:rsidR="00B05043" w:rsidRPr="00CB149C">
              <w:rPr>
                <w:rFonts w:cs="Akzidenz-Grotesk Std Light"/>
                <w:color w:val="000000"/>
                <w:sz w:val="24"/>
                <w:szCs w:val="24"/>
              </w:rPr>
              <w:t xml:space="preserve">. </w:t>
            </w:r>
            <w:r w:rsidRPr="00CB149C">
              <w:rPr>
                <w:rFonts w:cs="Akzidenz-Grotesk Std Light"/>
                <w:color w:val="000000"/>
                <w:sz w:val="24"/>
                <w:szCs w:val="24"/>
              </w:rPr>
              <w:t>National validity studies have reached the same conclusion with results indicating that ACT and SAT scores predict GPA throughout the college career (Mattern &amp; Patterson, 2011; Radunze</w:t>
            </w:r>
            <w:r w:rsidR="00B05043" w:rsidRPr="00CB149C">
              <w:rPr>
                <w:rFonts w:cs="Akzidenz-Grotesk Std Light"/>
                <w:color w:val="000000"/>
                <w:sz w:val="24"/>
                <w:szCs w:val="24"/>
              </w:rPr>
              <w:t xml:space="preserve">l &amp; Noble, 2012). High </w:t>
            </w:r>
            <w:r w:rsidR="00B05043" w:rsidRPr="00CB149C">
              <w:rPr>
                <w:rFonts w:cs="Akzidenz-Grotesk Std Light"/>
                <w:color w:val="000000"/>
                <w:sz w:val="24"/>
                <w:szCs w:val="24"/>
              </w:rPr>
              <w:lastRenderedPageBreak/>
              <w:t xml:space="preserve">school grade point average is also a strong predictor of college grades and, in fact, tends to be slightly more predictive of grades then standardized test scores (e.g., Mattern &amp; Patterson, 2011). </w:t>
            </w:r>
          </w:p>
          <w:p w:rsidR="00B36755" w:rsidRPr="00CB149C" w:rsidRDefault="00B36755" w:rsidP="0057292B">
            <w:pPr>
              <w:pStyle w:val="ListParagraph"/>
              <w:spacing w:after="0" w:line="240" w:lineRule="auto"/>
              <w:ind w:left="0"/>
              <w:rPr>
                <w:sz w:val="24"/>
                <w:szCs w:val="24"/>
              </w:rPr>
            </w:pPr>
          </w:p>
          <w:p w:rsidR="00996F47" w:rsidRPr="00CB149C" w:rsidRDefault="00996F47" w:rsidP="00996F47">
            <w:pPr>
              <w:rPr>
                <w:b/>
                <w:sz w:val="24"/>
                <w:szCs w:val="24"/>
              </w:rPr>
            </w:pPr>
            <w:r w:rsidRPr="00CB149C">
              <w:rPr>
                <w:b/>
                <w:sz w:val="24"/>
                <w:szCs w:val="24"/>
              </w:rPr>
              <w:t>The Current Challenge</w:t>
            </w:r>
          </w:p>
          <w:p w:rsidR="0057292B" w:rsidRPr="00CB149C" w:rsidRDefault="00996F47" w:rsidP="0057292B">
            <w:pPr>
              <w:rPr>
                <w:sz w:val="24"/>
                <w:szCs w:val="24"/>
              </w:rPr>
            </w:pPr>
            <w:r w:rsidRPr="00CB149C">
              <w:rPr>
                <w:sz w:val="24"/>
                <w:szCs w:val="24"/>
              </w:rPr>
              <w:t xml:space="preserve">Point 5 provided evidence that noncognitive skills are related to learning in K-12. Point 8 provides evidence that learning in K-12 is related to learning in college. Thus, noncognitive skills should be related to learning in college through their impact on learning in K-12 (see point 9 for direct </w:t>
            </w:r>
            <w:r w:rsidR="00AB5D02" w:rsidRPr="00CB149C">
              <w:rPr>
                <w:sz w:val="24"/>
                <w:szCs w:val="24"/>
              </w:rPr>
              <w:t>effects</w:t>
            </w:r>
            <w:r w:rsidR="00E1227B" w:rsidRPr="00CB149C">
              <w:rPr>
                <w:sz w:val="24"/>
                <w:szCs w:val="24"/>
              </w:rPr>
              <w:t xml:space="preserve">). </w:t>
            </w:r>
            <w:r w:rsidRPr="00CB149C">
              <w:rPr>
                <w:sz w:val="24"/>
                <w:szCs w:val="24"/>
              </w:rPr>
              <w:t xml:space="preserve">However, most </w:t>
            </w:r>
            <w:r w:rsidR="00AB5D02" w:rsidRPr="00CB149C">
              <w:rPr>
                <w:sz w:val="24"/>
                <w:szCs w:val="24"/>
              </w:rPr>
              <w:t xml:space="preserve">K-12 </w:t>
            </w:r>
            <w:r w:rsidRPr="00CB149C">
              <w:rPr>
                <w:sz w:val="24"/>
                <w:szCs w:val="24"/>
              </w:rPr>
              <w:t xml:space="preserve">students are not assessed on their noncognitive skills in a reliable and valid manner. Thus, parents and teachers have little information on their students’ standings on these factors. As such, they have little information </w:t>
            </w:r>
            <w:r w:rsidR="004D0153" w:rsidRPr="00CB149C">
              <w:rPr>
                <w:sz w:val="24"/>
                <w:szCs w:val="24"/>
              </w:rPr>
              <w:t xml:space="preserve">on </w:t>
            </w:r>
            <w:r w:rsidRPr="00CB149C">
              <w:rPr>
                <w:sz w:val="24"/>
                <w:szCs w:val="24"/>
              </w:rPr>
              <w:t xml:space="preserve">which to base </w:t>
            </w:r>
            <w:r w:rsidR="00AB5D02" w:rsidRPr="00CB149C">
              <w:rPr>
                <w:sz w:val="24"/>
                <w:szCs w:val="24"/>
              </w:rPr>
              <w:t xml:space="preserve">K-12 </w:t>
            </w:r>
            <w:r w:rsidRPr="00CB149C">
              <w:rPr>
                <w:sz w:val="24"/>
                <w:szCs w:val="24"/>
              </w:rPr>
              <w:t xml:space="preserve">interventions that can ultimately </w:t>
            </w:r>
            <w:r w:rsidR="00AB5D02" w:rsidRPr="00CB149C">
              <w:rPr>
                <w:sz w:val="24"/>
                <w:szCs w:val="24"/>
              </w:rPr>
              <w:t>increase</w:t>
            </w:r>
            <w:r w:rsidRPr="00CB149C">
              <w:rPr>
                <w:sz w:val="24"/>
                <w:szCs w:val="24"/>
              </w:rPr>
              <w:t xml:space="preserve"> </w:t>
            </w:r>
            <w:r w:rsidR="00AB5D02" w:rsidRPr="00CB149C">
              <w:rPr>
                <w:sz w:val="24"/>
                <w:szCs w:val="24"/>
              </w:rPr>
              <w:t xml:space="preserve">learning in college. </w:t>
            </w:r>
          </w:p>
          <w:p w:rsidR="00996F47" w:rsidRPr="00CB149C" w:rsidRDefault="00996F47" w:rsidP="0057292B">
            <w:pPr>
              <w:rPr>
                <w:sz w:val="24"/>
                <w:szCs w:val="24"/>
              </w:rPr>
            </w:pPr>
          </w:p>
          <w:p w:rsidR="00996F47" w:rsidRPr="00CB149C" w:rsidRDefault="00996F47" w:rsidP="00996F47">
            <w:pPr>
              <w:rPr>
                <w:b/>
                <w:sz w:val="24"/>
                <w:szCs w:val="24"/>
              </w:rPr>
            </w:pPr>
            <w:r w:rsidRPr="00CB149C">
              <w:rPr>
                <w:b/>
                <w:sz w:val="24"/>
                <w:szCs w:val="24"/>
              </w:rPr>
              <w:t>The Solution</w:t>
            </w:r>
          </w:p>
          <w:p w:rsidR="0057292B" w:rsidRPr="00CB149C" w:rsidRDefault="00BD49EE" w:rsidP="004D0153">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996F47" w:rsidRPr="00CB149C">
              <w:rPr>
                <w:sz w:val="24"/>
                <w:szCs w:val="24"/>
              </w:rPr>
              <w:t xml:space="preserve">This will aid in the effective implementation of interventions that can result in increased student </w:t>
            </w:r>
            <w:r w:rsidR="00AB5D02" w:rsidRPr="00CB149C">
              <w:rPr>
                <w:sz w:val="24"/>
                <w:szCs w:val="24"/>
              </w:rPr>
              <w:t>learning in K-12, and thus, increased learning in college</w:t>
            </w:r>
            <w:r w:rsidR="00996F47" w:rsidRPr="00CB149C">
              <w:rPr>
                <w:sz w:val="24"/>
                <w:szCs w:val="24"/>
              </w:rPr>
              <w:t>.</w:t>
            </w:r>
          </w:p>
          <w:p w:rsidR="00203C15" w:rsidRPr="00CB149C" w:rsidRDefault="00203C15" w:rsidP="004D0153">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9</w:t>
            </w:r>
          </w:p>
        </w:tc>
        <w:tc>
          <w:tcPr>
            <w:tcW w:w="9035" w:type="dxa"/>
          </w:tcPr>
          <w:p w:rsidR="00290E06" w:rsidRPr="00CB149C" w:rsidRDefault="00290E06" w:rsidP="00AD15BA">
            <w:pPr>
              <w:spacing w:line="259" w:lineRule="auto"/>
              <w:jc w:val="center"/>
              <w:rPr>
                <w:b/>
                <w:sz w:val="24"/>
                <w:szCs w:val="24"/>
              </w:rPr>
            </w:pPr>
            <w:r w:rsidRPr="00CB149C">
              <w:rPr>
                <w:b/>
                <w:sz w:val="24"/>
                <w:szCs w:val="24"/>
              </w:rPr>
              <w:t>Improved noncognitive skills lead to increased learning in college</w:t>
            </w:r>
          </w:p>
          <w:p w:rsidR="00AD15BA" w:rsidRPr="00CB149C" w:rsidRDefault="00AD15BA" w:rsidP="00AD15BA">
            <w:pPr>
              <w:rPr>
                <w:b/>
                <w:sz w:val="24"/>
                <w:szCs w:val="24"/>
              </w:rPr>
            </w:pPr>
          </w:p>
          <w:p w:rsidR="006C6EE0" w:rsidRPr="00CB149C" w:rsidRDefault="006C6EE0" w:rsidP="00AD15BA">
            <w:pPr>
              <w:rPr>
                <w:sz w:val="24"/>
                <w:szCs w:val="24"/>
              </w:rPr>
            </w:pPr>
            <w:r w:rsidRPr="00CB149C">
              <w:rPr>
                <w:b/>
                <w:sz w:val="24"/>
                <w:szCs w:val="24"/>
              </w:rPr>
              <w:t>Research/</w:t>
            </w:r>
            <w:r w:rsidR="00203C15" w:rsidRPr="00CB149C">
              <w:rPr>
                <w:b/>
                <w:sz w:val="24"/>
                <w:szCs w:val="24"/>
              </w:rPr>
              <w:t>Logic A</w:t>
            </w:r>
            <w:r w:rsidRPr="00CB149C">
              <w:rPr>
                <w:b/>
                <w:sz w:val="24"/>
                <w:szCs w:val="24"/>
              </w:rPr>
              <w:t>rgument</w:t>
            </w:r>
          </w:p>
          <w:p w:rsidR="00365201" w:rsidRPr="00CB149C" w:rsidRDefault="00365201" w:rsidP="006C6EE0">
            <w:pPr>
              <w:pStyle w:val="ListParagraph"/>
              <w:spacing w:after="0" w:line="240" w:lineRule="auto"/>
              <w:ind w:left="0"/>
              <w:rPr>
                <w:sz w:val="24"/>
                <w:szCs w:val="24"/>
              </w:rPr>
            </w:pPr>
            <w:r w:rsidRPr="00CB149C">
              <w:rPr>
                <w:sz w:val="24"/>
                <w:szCs w:val="24"/>
              </w:rPr>
              <w:t>Meta-analyses and large-scale studies have found that noncognitive skills predict learning in college, as indicated by GPA. In his meta-analy</w:t>
            </w:r>
            <w:r w:rsidR="005100A0" w:rsidRPr="00CB149C">
              <w:rPr>
                <w:sz w:val="24"/>
                <w:szCs w:val="24"/>
              </w:rPr>
              <w:t>sis, Poropat (2009) found that C</w:t>
            </w:r>
            <w:r w:rsidRPr="00CB149C">
              <w:rPr>
                <w:sz w:val="24"/>
                <w:szCs w:val="24"/>
              </w:rPr>
              <w:t>onscientiousness significantly predicted college GPA, and that it predicted GPA as strongly as did cognitive ability</w:t>
            </w:r>
            <w:r w:rsidR="00E1227B" w:rsidRPr="00CB149C">
              <w:rPr>
                <w:sz w:val="24"/>
                <w:szCs w:val="24"/>
              </w:rPr>
              <w:t xml:space="preserve"> (see also Richardson et al., 2012)</w:t>
            </w:r>
            <w:r w:rsidRPr="00CB149C">
              <w:rPr>
                <w:sz w:val="24"/>
                <w:szCs w:val="24"/>
              </w:rPr>
              <w:t xml:space="preserve">. Similarly, a more recent meta-analysis demonstrated that </w:t>
            </w:r>
            <w:r w:rsidR="005100A0" w:rsidRPr="00CB149C">
              <w:rPr>
                <w:sz w:val="24"/>
                <w:szCs w:val="24"/>
              </w:rPr>
              <w:t>Conscientiousness</w:t>
            </w:r>
            <w:r w:rsidRPr="00CB149C">
              <w:rPr>
                <w:sz w:val="24"/>
                <w:szCs w:val="24"/>
              </w:rPr>
              <w:t xml:space="preserve"> consistently predicted college GPA across a number of Big Five personality measures (McAbee &amp; Oswald, 2013)</w:t>
            </w:r>
            <w:r w:rsidR="00B56C60" w:rsidRPr="00CB149C">
              <w:rPr>
                <w:sz w:val="24"/>
                <w:szCs w:val="24"/>
              </w:rPr>
              <w:t>. These authors also found statistically significant but weak</w:t>
            </w:r>
            <w:r w:rsidR="002E6DA0" w:rsidRPr="00CB149C">
              <w:rPr>
                <w:sz w:val="24"/>
                <w:szCs w:val="24"/>
              </w:rPr>
              <w:t>er</w:t>
            </w:r>
            <w:r w:rsidR="00B56C60" w:rsidRPr="00CB149C">
              <w:rPr>
                <w:sz w:val="24"/>
                <w:szCs w:val="24"/>
              </w:rPr>
              <w:t xml:space="preserve"> prediction for </w:t>
            </w:r>
            <w:r w:rsidR="005100A0" w:rsidRPr="00CB149C">
              <w:rPr>
                <w:sz w:val="24"/>
                <w:szCs w:val="24"/>
              </w:rPr>
              <w:t>Agreeableness</w:t>
            </w:r>
            <w:r w:rsidR="00B56C60" w:rsidRPr="00CB149C">
              <w:rPr>
                <w:sz w:val="24"/>
                <w:szCs w:val="24"/>
              </w:rPr>
              <w:t xml:space="preserve">, </w:t>
            </w:r>
            <w:r w:rsidR="005100A0" w:rsidRPr="00CB149C">
              <w:rPr>
                <w:sz w:val="24"/>
                <w:szCs w:val="24"/>
              </w:rPr>
              <w:t>Openness</w:t>
            </w:r>
            <w:r w:rsidR="006170DB" w:rsidRPr="00CB149C">
              <w:rPr>
                <w:sz w:val="24"/>
                <w:szCs w:val="24"/>
              </w:rPr>
              <w:t>,</w:t>
            </w:r>
            <w:r w:rsidR="00B56C60" w:rsidRPr="00CB149C">
              <w:rPr>
                <w:sz w:val="24"/>
                <w:szCs w:val="24"/>
              </w:rPr>
              <w:t xml:space="preserve"> and </w:t>
            </w:r>
            <w:r w:rsidR="005100A0" w:rsidRPr="00CB149C">
              <w:rPr>
                <w:sz w:val="24"/>
                <w:szCs w:val="24"/>
              </w:rPr>
              <w:t>Emotional Stability</w:t>
            </w:r>
            <w:r w:rsidR="00B56C60" w:rsidRPr="00CB149C">
              <w:rPr>
                <w:sz w:val="24"/>
                <w:szCs w:val="24"/>
              </w:rPr>
              <w:t>.</w:t>
            </w:r>
            <w:r w:rsidR="00703761" w:rsidRPr="00CB149C">
              <w:rPr>
                <w:sz w:val="24"/>
                <w:szCs w:val="24"/>
              </w:rPr>
              <w:t xml:space="preserve"> Another meta-analysis found that typical intellectual engagement (related to openness), openness, test-anxiety (related to emotional </w:t>
            </w:r>
            <w:r w:rsidR="00F7541C" w:rsidRPr="00CB149C">
              <w:rPr>
                <w:sz w:val="24"/>
                <w:szCs w:val="24"/>
              </w:rPr>
              <w:t>stability</w:t>
            </w:r>
            <w:r w:rsidR="00703761" w:rsidRPr="00CB149C">
              <w:rPr>
                <w:sz w:val="24"/>
                <w:szCs w:val="24"/>
              </w:rPr>
              <w:t xml:space="preserve">) all predicted knowledge and achievement in college students (Ackerman &amp; Heggestad, 1997).  </w:t>
            </w:r>
            <w:r w:rsidRPr="00CB149C">
              <w:rPr>
                <w:sz w:val="24"/>
                <w:szCs w:val="24"/>
              </w:rPr>
              <w:t xml:space="preserve"> Finally, a large-scale study of college students employing 4 samples found that </w:t>
            </w:r>
            <w:r w:rsidR="005100A0" w:rsidRPr="00CB149C">
              <w:rPr>
                <w:sz w:val="24"/>
                <w:szCs w:val="24"/>
              </w:rPr>
              <w:t>Conscientiousness</w:t>
            </w:r>
            <w:r w:rsidRPr="00CB149C">
              <w:rPr>
                <w:sz w:val="24"/>
                <w:szCs w:val="24"/>
              </w:rPr>
              <w:t xml:space="preserve"> predicted grades in each of the 4 samples, and </w:t>
            </w:r>
            <w:r w:rsidR="005100A0" w:rsidRPr="00CB149C">
              <w:rPr>
                <w:sz w:val="24"/>
                <w:szCs w:val="24"/>
              </w:rPr>
              <w:t>Openness</w:t>
            </w:r>
            <w:r w:rsidRPr="00CB149C">
              <w:rPr>
                <w:sz w:val="24"/>
                <w:szCs w:val="24"/>
              </w:rPr>
              <w:t xml:space="preserve"> predicted grades in 3 of the 4 (Noftle &amp; Robins, 2007). </w:t>
            </w:r>
          </w:p>
          <w:p w:rsidR="00365201" w:rsidRPr="00CB149C" w:rsidRDefault="00365201" w:rsidP="006C6EE0">
            <w:pPr>
              <w:pStyle w:val="ListParagraph"/>
              <w:spacing w:after="0" w:line="240" w:lineRule="auto"/>
              <w:ind w:left="0"/>
              <w:rPr>
                <w:sz w:val="24"/>
                <w:szCs w:val="24"/>
              </w:rPr>
            </w:pPr>
          </w:p>
          <w:p w:rsidR="006C6EE0" w:rsidRPr="00CB149C" w:rsidRDefault="00B56C60" w:rsidP="006C6EE0">
            <w:pPr>
              <w:pStyle w:val="ListParagraph"/>
              <w:spacing w:after="0" w:line="240" w:lineRule="auto"/>
              <w:ind w:left="0"/>
              <w:rPr>
                <w:sz w:val="24"/>
                <w:szCs w:val="24"/>
              </w:rPr>
            </w:pPr>
            <w:r w:rsidRPr="00CB149C">
              <w:rPr>
                <w:sz w:val="24"/>
                <w:szCs w:val="24"/>
              </w:rPr>
              <w:t xml:space="preserve">Other meta-analyses have investigated how well facet-like measures predict grades in college. </w:t>
            </w:r>
            <w:r w:rsidR="00B546F5" w:rsidRPr="00CB149C">
              <w:rPr>
                <w:sz w:val="24"/>
                <w:szCs w:val="24"/>
              </w:rPr>
              <w:t xml:space="preserve">One extensive analysis found several significant predictors of college GPA that can be crosswalked to </w:t>
            </w:r>
            <w:r w:rsidR="002E4978" w:rsidRPr="00CB149C">
              <w:rPr>
                <w:sz w:val="24"/>
                <w:szCs w:val="24"/>
              </w:rPr>
              <w:t xml:space="preserve">the </w:t>
            </w:r>
            <w:r w:rsidR="00C94AB7" w:rsidRPr="00CB149C">
              <w:rPr>
                <w:sz w:val="24"/>
                <w:szCs w:val="24"/>
              </w:rPr>
              <w:t>Tessera</w:t>
            </w:r>
            <w:r w:rsidR="00CC14DD" w:rsidRPr="00CB149C">
              <w:rPr>
                <w:sz w:val="24"/>
                <w:szCs w:val="24"/>
                <w:vertAlign w:val="superscript"/>
              </w:rPr>
              <w:t>TM</w:t>
            </w:r>
            <w:r w:rsidR="00C94AB7" w:rsidRPr="00CB149C">
              <w:rPr>
                <w:sz w:val="24"/>
                <w:szCs w:val="24"/>
              </w:rPr>
              <w:t xml:space="preserve"> Noncognitive Assessment System </w:t>
            </w:r>
            <w:r w:rsidR="00B546F5" w:rsidRPr="00CB149C">
              <w:rPr>
                <w:sz w:val="24"/>
                <w:szCs w:val="24"/>
              </w:rPr>
              <w:t>framework. These include need for cognition (</w:t>
            </w:r>
            <w:r w:rsidR="00F7541C" w:rsidRPr="00CB149C">
              <w:rPr>
                <w:sz w:val="24"/>
                <w:szCs w:val="24"/>
              </w:rPr>
              <w:t>curiosity</w:t>
            </w:r>
            <w:r w:rsidR="00A00208" w:rsidRPr="00CB149C">
              <w:rPr>
                <w:sz w:val="24"/>
                <w:szCs w:val="24"/>
              </w:rPr>
              <w:t>/ingenuity</w:t>
            </w:r>
            <w:r w:rsidR="00B546F5" w:rsidRPr="00CB149C">
              <w:rPr>
                <w:sz w:val="24"/>
                <w:szCs w:val="24"/>
              </w:rPr>
              <w:t>), optimism (</w:t>
            </w:r>
            <w:r w:rsidR="00F7541C" w:rsidRPr="00CB149C">
              <w:rPr>
                <w:sz w:val="24"/>
                <w:szCs w:val="24"/>
              </w:rPr>
              <w:t>leadership</w:t>
            </w:r>
            <w:r w:rsidR="00A00208" w:rsidRPr="00CB149C">
              <w:rPr>
                <w:sz w:val="24"/>
                <w:szCs w:val="24"/>
              </w:rPr>
              <w:t>/communication style</w:t>
            </w:r>
            <w:r w:rsidR="00B546F5" w:rsidRPr="00CB149C">
              <w:rPr>
                <w:sz w:val="24"/>
                <w:szCs w:val="24"/>
              </w:rPr>
              <w:t xml:space="preserve">), </w:t>
            </w:r>
            <w:r w:rsidR="00F834F9" w:rsidRPr="00CB149C">
              <w:rPr>
                <w:sz w:val="24"/>
                <w:szCs w:val="24"/>
              </w:rPr>
              <w:t>academic intrinsic motivation (</w:t>
            </w:r>
            <w:r w:rsidR="00186B43" w:rsidRPr="00CB149C">
              <w:rPr>
                <w:sz w:val="24"/>
                <w:szCs w:val="24"/>
              </w:rPr>
              <w:t>drive</w:t>
            </w:r>
            <w:r w:rsidR="00A00208" w:rsidRPr="00CB149C">
              <w:rPr>
                <w:sz w:val="24"/>
                <w:szCs w:val="24"/>
              </w:rPr>
              <w:t>/grit</w:t>
            </w:r>
            <w:r w:rsidR="00F834F9" w:rsidRPr="00CB149C">
              <w:rPr>
                <w:sz w:val="24"/>
                <w:szCs w:val="24"/>
              </w:rPr>
              <w:t>), test anxiety (</w:t>
            </w:r>
            <w:r w:rsidR="00A00208" w:rsidRPr="00CB149C">
              <w:rPr>
                <w:sz w:val="24"/>
                <w:szCs w:val="24"/>
              </w:rPr>
              <w:t>composure/</w:t>
            </w:r>
            <w:r w:rsidR="00F7541C" w:rsidRPr="00CB149C">
              <w:rPr>
                <w:sz w:val="24"/>
                <w:szCs w:val="24"/>
              </w:rPr>
              <w:t>resilience</w:t>
            </w:r>
            <w:r w:rsidR="00F834F9" w:rsidRPr="00CB149C">
              <w:rPr>
                <w:sz w:val="24"/>
                <w:szCs w:val="24"/>
              </w:rPr>
              <w:t>), and time management (</w:t>
            </w:r>
            <w:r w:rsidR="00A00208" w:rsidRPr="00CB149C">
              <w:rPr>
                <w:sz w:val="24"/>
                <w:szCs w:val="24"/>
              </w:rPr>
              <w:t>organization/responsibility</w:t>
            </w:r>
            <w:r w:rsidR="00F834F9" w:rsidRPr="00CB149C">
              <w:rPr>
                <w:sz w:val="24"/>
                <w:szCs w:val="24"/>
              </w:rPr>
              <w:t xml:space="preserve">; Richardson, </w:t>
            </w:r>
            <w:r w:rsidR="00E1227B" w:rsidRPr="00CB149C">
              <w:rPr>
                <w:sz w:val="24"/>
                <w:szCs w:val="24"/>
              </w:rPr>
              <w:t>et al.</w:t>
            </w:r>
            <w:r w:rsidR="00F834F9" w:rsidRPr="00CB149C">
              <w:rPr>
                <w:sz w:val="24"/>
                <w:szCs w:val="24"/>
              </w:rPr>
              <w:t>, 2012). Another meta-</w:t>
            </w:r>
            <w:r w:rsidR="00F834F9" w:rsidRPr="00CB149C">
              <w:rPr>
                <w:sz w:val="24"/>
                <w:szCs w:val="24"/>
              </w:rPr>
              <w:lastRenderedPageBreak/>
              <w:t>analysis found that achievement motivation (</w:t>
            </w:r>
            <w:r w:rsidR="00186B43" w:rsidRPr="00CB149C">
              <w:rPr>
                <w:sz w:val="24"/>
                <w:szCs w:val="24"/>
              </w:rPr>
              <w:t>drive</w:t>
            </w:r>
            <w:r w:rsidR="00A00208" w:rsidRPr="00CB149C">
              <w:rPr>
                <w:sz w:val="24"/>
                <w:szCs w:val="24"/>
              </w:rPr>
              <w:t>/grit</w:t>
            </w:r>
            <w:r w:rsidR="00F834F9" w:rsidRPr="00CB149C">
              <w:rPr>
                <w:sz w:val="24"/>
                <w:szCs w:val="24"/>
              </w:rPr>
              <w:t>)</w:t>
            </w:r>
            <w:r w:rsidR="00EA1B08" w:rsidRPr="00CB149C">
              <w:rPr>
                <w:sz w:val="24"/>
                <w:szCs w:val="24"/>
              </w:rPr>
              <w:t xml:space="preserve"> and</w:t>
            </w:r>
            <w:r w:rsidR="00F834F9" w:rsidRPr="00CB149C">
              <w:rPr>
                <w:sz w:val="24"/>
                <w:szCs w:val="24"/>
              </w:rPr>
              <w:t xml:space="preserve"> </w:t>
            </w:r>
            <w:r w:rsidR="00EA1B08" w:rsidRPr="00CB149C">
              <w:rPr>
                <w:sz w:val="24"/>
                <w:szCs w:val="24"/>
              </w:rPr>
              <w:t>academic goals (</w:t>
            </w:r>
            <w:r w:rsidR="00186B43" w:rsidRPr="00CB149C">
              <w:rPr>
                <w:sz w:val="24"/>
                <w:szCs w:val="24"/>
              </w:rPr>
              <w:t>drive</w:t>
            </w:r>
            <w:r w:rsidR="00A00208" w:rsidRPr="00CB149C">
              <w:rPr>
                <w:sz w:val="24"/>
                <w:szCs w:val="24"/>
              </w:rPr>
              <w:t>/grit</w:t>
            </w:r>
            <w:r w:rsidR="00EA1B08" w:rsidRPr="00CB149C">
              <w:rPr>
                <w:sz w:val="24"/>
                <w:szCs w:val="24"/>
              </w:rPr>
              <w:t>) both predicted college GPA (Robbins, Lauver, Le, et al., 2004).</w:t>
            </w:r>
          </w:p>
          <w:p w:rsidR="00290E06" w:rsidRPr="00CB149C" w:rsidRDefault="00290E06" w:rsidP="006C6EE0">
            <w:pPr>
              <w:pStyle w:val="ListParagraph"/>
              <w:spacing w:after="0" w:line="240" w:lineRule="auto"/>
              <w:ind w:left="0"/>
              <w:rPr>
                <w:sz w:val="24"/>
                <w:szCs w:val="24"/>
              </w:rPr>
            </w:pPr>
          </w:p>
          <w:p w:rsidR="00290E06" w:rsidRPr="00CB149C" w:rsidRDefault="00290E06" w:rsidP="00290E06">
            <w:pPr>
              <w:rPr>
                <w:b/>
                <w:sz w:val="24"/>
                <w:szCs w:val="24"/>
              </w:rPr>
            </w:pPr>
            <w:r w:rsidRPr="00CB149C">
              <w:rPr>
                <w:b/>
                <w:sz w:val="24"/>
                <w:szCs w:val="24"/>
              </w:rPr>
              <w:t>The Current Challenge</w:t>
            </w:r>
          </w:p>
          <w:p w:rsidR="00290E06" w:rsidRPr="00CB149C" w:rsidRDefault="00EA1B08" w:rsidP="00290E06">
            <w:pPr>
              <w:rPr>
                <w:sz w:val="24"/>
                <w:szCs w:val="24"/>
              </w:rPr>
            </w:pPr>
            <w:r w:rsidRPr="00CB149C">
              <w:rPr>
                <w:sz w:val="24"/>
                <w:szCs w:val="24"/>
              </w:rPr>
              <w:t xml:space="preserve">Several meta-analyses have demonstrated that noncognitive skills are related to learning in college. However, most </w:t>
            </w:r>
            <w:r w:rsidR="00290E06" w:rsidRPr="00CB149C">
              <w:rPr>
                <w:sz w:val="24"/>
                <w:szCs w:val="24"/>
              </w:rPr>
              <w:t xml:space="preserve">students are not assessed on their noncognitive skills in a reliable and valid manner. Thus, parents and teachers have little information on their students’ standings on these factors. As such, they have little information </w:t>
            </w:r>
            <w:r w:rsidR="002E4978" w:rsidRPr="00CB149C">
              <w:rPr>
                <w:sz w:val="24"/>
                <w:szCs w:val="24"/>
              </w:rPr>
              <w:t xml:space="preserve">on </w:t>
            </w:r>
            <w:r w:rsidR="00290E06" w:rsidRPr="00CB149C">
              <w:rPr>
                <w:sz w:val="24"/>
                <w:szCs w:val="24"/>
              </w:rPr>
              <w:t xml:space="preserve">which to base interventions that can increase learning in college. </w:t>
            </w:r>
          </w:p>
          <w:p w:rsidR="00290E06" w:rsidRPr="00CB149C" w:rsidRDefault="00290E06" w:rsidP="00290E06">
            <w:pPr>
              <w:rPr>
                <w:sz w:val="24"/>
                <w:szCs w:val="24"/>
              </w:rPr>
            </w:pPr>
          </w:p>
          <w:p w:rsidR="00290E06" w:rsidRPr="00CB149C" w:rsidRDefault="00290E06" w:rsidP="00290E06">
            <w:pPr>
              <w:rPr>
                <w:b/>
                <w:sz w:val="24"/>
                <w:szCs w:val="24"/>
              </w:rPr>
            </w:pPr>
            <w:r w:rsidRPr="00CB149C">
              <w:rPr>
                <w:b/>
                <w:sz w:val="24"/>
                <w:szCs w:val="24"/>
              </w:rPr>
              <w:t>The Solution</w:t>
            </w:r>
          </w:p>
          <w:p w:rsidR="0057292B" w:rsidRPr="00CB149C" w:rsidRDefault="00BD49EE" w:rsidP="002E4978">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290E06" w:rsidRPr="00CB149C">
              <w:rPr>
                <w:sz w:val="24"/>
                <w:szCs w:val="24"/>
              </w:rPr>
              <w:t>This will aid in the effective implementation of interventions that can result in increased student learning in college.</w:t>
            </w:r>
          </w:p>
          <w:p w:rsidR="00203C15" w:rsidRPr="00CB149C" w:rsidRDefault="00203C15" w:rsidP="002E4978">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10</w:t>
            </w:r>
          </w:p>
        </w:tc>
        <w:tc>
          <w:tcPr>
            <w:tcW w:w="9035" w:type="dxa"/>
          </w:tcPr>
          <w:p w:rsidR="006C6EE0" w:rsidRPr="00CB149C" w:rsidRDefault="006C6EE0" w:rsidP="00AD15BA">
            <w:pPr>
              <w:spacing w:line="259" w:lineRule="auto"/>
              <w:jc w:val="center"/>
              <w:rPr>
                <w:b/>
                <w:sz w:val="24"/>
                <w:szCs w:val="24"/>
              </w:rPr>
            </w:pPr>
            <w:r w:rsidRPr="00CB149C">
              <w:rPr>
                <w:b/>
                <w:sz w:val="24"/>
                <w:szCs w:val="24"/>
              </w:rPr>
              <w:t xml:space="preserve">Increased retention in K-12 leads to increased </w:t>
            </w:r>
            <w:r w:rsidR="00290E06" w:rsidRPr="00CB149C">
              <w:rPr>
                <w:b/>
                <w:sz w:val="24"/>
                <w:szCs w:val="24"/>
              </w:rPr>
              <w:t>learning in college</w:t>
            </w:r>
          </w:p>
          <w:p w:rsidR="00AD15BA" w:rsidRPr="00CB149C" w:rsidRDefault="00AD15BA" w:rsidP="00AD15BA">
            <w:pPr>
              <w:rPr>
                <w:b/>
                <w:sz w:val="24"/>
                <w:szCs w:val="24"/>
              </w:rPr>
            </w:pPr>
          </w:p>
          <w:p w:rsidR="006C6EE0" w:rsidRPr="00CB149C" w:rsidRDefault="006C6EE0" w:rsidP="00AD15BA">
            <w:pPr>
              <w:rPr>
                <w:sz w:val="24"/>
                <w:szCs w:val="24"/>
              </w:rPr>
            </w:pPr>
            <w:r w:rsidRPr="00CB149C">
              <w:rPr>
                <w:b/>
                <w:sz w:val="24"/>
                <w:szCs w:val="24"/>
              </w:rPr>
              <w:t>Research/</w:t>
            </w:r>
            <w:r w:rsidR="00203C15" w:rsidRPr="00CB149C">
              <w:rPr>
                <w:b/>
                <w:sz w:val="24"/>
                <w:szCs w:val="24"/>
              </w:rPr>
              <w:t>Logic A</w:t>
            </w:r>
            <w:r w:rsidRPr="00CB149C">
              <w:rPr>
                <w:b/>
                <w:sz w:val="24"/>
                <w:szCs w:val="24"/>
              </w:rPr>
              <w:t>rgument</w:t>
            </w:r>
          </w:p>
          <w:p w:rsidR="006C6EE0" w:rsidRPr="00CB149C" w:rsidRDefault="00EA1B08" w:rsidP="006C6EE0">
            <w:pPr>
              <w:pStyle w:val="ListParagraph"/>
              <w:spacing w:after="0" w:line="240" w:lineRule="auto"/>
              <w:ind w:left="0"/>
              <w:rPr>
                <w:sz w:val="24"/>
                <w:szCs w:val="24"/>
              </w:rPr>
            </w:pPr>
            <w:r w:rsidRPr="00CB149C">
              <w:rPr>
                <w:sz w:val="24"/>
                <w:szCs w:val="24"/>
              </w:rPr>
              <w:t xml:space="preserve">Most students are not able to enroll in college unless they graduate high school or earn a GRE. </w:t>
            </w:r>
            <w:r w:rsidR="00783A84" w:rsidRPr="00CB149C">
              <w:rPr>
                <w:sz w:val="24"/>
                <w:szCs w:val="24"/>
              </w:rPr>
              <w:t xml:space="preserve">People who are not in college cannot learn anything in college. </w:t>
            </w:r>
          </w:p>
          <w:p w:rsidR="00EA1B08" w:rsidRPr="00CB149C" w:rsidRDefault="00EA1B08" w:rsidP="006C6EE0">
            <w:pPr>
              <w:pStyle w:val="ListParagraph"/>
              <w:spacing w:after="0" w:line="240" w:lineRule="auto"/>
              <w:ind w:left="0"/>
              <w:rPr>
                <w:sz w:val="24"/>
                <w:szCs w:val="24"/>
              </w:rPr>
            </w:pPr>
          </w:p>
          <w:p w:rsidR="00783A84" w:rsidRPr="00CB149C" w:rsidRDefault="00783A84" w:rsidP="00783A84">
            <w:pPr>
              <w:rPr>
                <w:b/>
                <w:sz w:val="24"/>
                <w:szCs w:val="24"/>
              </w:rPr>
            </w:pPr>
            <w:r w:rsidRPr="00CB149C">
              <w:rPr>
                <w:b/>
                <w:sz w:val="24"/>
                <w:szCs w:val="24"/>
              </w:rPr>
              <w:t>The Current Challenge</w:t>
            </w:r>
          </w:p>
          <w:p w:rsidR="00783A84" w:rsidRPr="00CB149C" w:rsidRDefault="00783A84" w:rsidP="00F5662E">
            <w:pPr>
              <w:autoSpaceDE w:val="0"/>
              <w:autoSpaceDN w:val="0"/>
              <w:adjustRightInd w:val="0"/>
              <w:rPr>
                <w:sz w:val="24"/>
                <w:szCs w:val="24"/>
              </w:rPr>
            </w:pPr>
            <w:r w:rsidRPr="00CB149C">
              <w:rPr>
                <w:sz w:val="24"/>
                <w:szCs w:val="24"/>
              </w:rPr>
              <w:t>Point 7 provides evidence that improved noncognitive skills can lead to increased retention in K-12. Thus, improved noncognitive skills should also lead to increased learning in college via the increased K-12 retention pathway</w:t>
            </w:r>
            <w:r w:rsidR="002E6DA0" w:rsidRPr="00CB149C">
              <w:rPr>
                <w:sz w:val="24"/>
                <w:szCs w:val="24"/>
              </w:rPr>
              <w:t xml:space="preserve"> (see point 9 for direct evidence)</w:t>
            </w:r>
            <w:r w:rsidRPr="00CB149C">
              <w:rPr>
                <w:sz w:val="24"/>
                <w:szCs w:val="24"/>
              </w:rPr>
              <w:t xml:space="preserve">. However, most students are not assessed on their noncognitive skills in a reliable and valid manner. Thus, parents and teachers have little information on their students’ standings on these factors. As such, they have little information </w:t>
            </w:r>
            <w:r w:rsidR="00AA2574" w:rsidRPr="00CB149C">
              <w:rPr>
                <w:sz w:val="24"/>
                <w:szCs w:val="24"/>
              </w:rPr>
              <w:t xml:space="preserve">on </w:t>
            </w:r>
            <w:r w:rsidRPr="00CB149C">
              <w:rPr>
                <w:sz w:val="24"/>
                <w:szCs w:val="24"/>
              </w:rPr>
              <w:t>which to base interventions that can increase learning in college.</w:t>
            </w:r>
            <w:r w:rsidR="00F5662E" w:rsidRPr="00CB149C">
              <w:rPr>
                <w:rFonts w:cs="TimesNewRomanPSMT"/>
                <w:sz w:val="24"/>
                <w:szCs w:val="24"/>
              </w:rPr>
              <w:t xml:space="preserve"> </w:t>
            </w:r>
          </w:p>
          <w:p w:rsidR="00783A84" w:rsidRPr="00CB149C" w:rsidRDefault="00783A84" w:rsidP="00783A84">
            <w:pPr>
              <w:rPr>
                <w:sz w:val="24"/>
                <w:szCs w:val="24"/>
              </w:rPr>
            </w:pPr>
          </w:p>
          <w:p w:rsidR="00783A84" w:rsidRPr="00CB149C" w:rsidRDefault="00783A84" w:rsidP="00783A84">
            <w:pPr>
              <w:rPr>
                <w:b/>
                <w:sz w:val="24"/>
                <w:szCs w:val="24"/>
              </w:rPr>
            </w:pPr>
            <w:r w:rsidRPr="00CB149C">
              <w:rPr>
                <w:b/>
                <w:sz w:val="24"/>
                <w:szCs w:val="24"/>
              </w:rPr>
              <w:t>The Solution</w:t>
            </w:r>
          </w:p>
          <w:p w:rsidR="0057292B" w:rsidRPr="00CB149C" w:rsidRDefault="00BD49EE" w:rsidP="00AA2574">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783A84" w:rsidRPr="00CB149C">
              <w:rPr>
                <w:sz w:val="24"/>
                <w:szCs w:val="24"/>
              </w:rPr>
              <w:t>This will aid in the effective implementation of interventions that can result in increased student learning in college.</w:t>
            </w:r>
          </w:p>
          <w:p w:rsidR="00203C15" w:rsidRPr="00CB149C" w:rsidRDefault="00203C15" w:rsidP="00AA2574">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t>11</w:t>
            </w:r>
          </w:p>
        </w:tc>
        <w:tc>
          <w:tcPr>
            <w:tcW w:w="9035" w:type="dxa"/>
          </w:tcPr>
          <w:p w:rsidR="006C6EE0" w:rsidRPr="00CB149C" w:rsidRDefault="00290E06" w:rsidP="00AD15BA">
            <w:pPr>
              <w:spacing w:line="259" w:lineRule="auto"/>
              <w:jc w:val="center"/>
              <w:rPr>
                <w:b/>
                <w:sz w:val="24"/>
                <w:szCs w:val="24"/>
              </w:rPr>
            </w:pPr>
            <w:r w:rsidRPr="00CB149C">
              <w:rPr>
                <w:b/>
                <w:sz w:val="24"/>
                <w:szCs w:val="24"/>
              </w:rPr>
              <w:t>Increased learning in college leads to increased college retention</w:t>
            </w:r>
          </w:p>
          <w:p w:rsidR="00AD15BA" w:rsidRPr="00CB149C" w:rsidRDefault="00AD15BA" w:rsidP="00AD15BA">
            <w:pPr>
              <w:rPr>
                <w:b/>
                <w:sz w:val="24"/>
                <w:szCs w:val="24"/>
              </w:rPr>
            </w:pPr>
          </w:p>
          <w:p w:rsidR="006C6EE0" w:rsidRPr="00CB149C" w:rsidRDefault="006C6EE0" w:rsidP="00AD15BA">
            <w:pPr>
              <w:rPr>
                <w:sz w:val="24"/>
                <w:szCs w:val="24"/>
              </w:rPr>
            </w:pPr>
            <w:r w:rsidRPr="00CB149C">
              <w:rPr>
                <w:b/>
                <w:sz w:val="24"/>
                <w:szCs w:val="24"/>
              </w:rPr>
              <w:t>Research/</w:t>
            </w:r>
            <w:r w:rsidR="00203C15" w:rsidRPr="00CB149C">
              <w:rPr>
                <w:b/>
                <w:sz w:val="24"/>
                <w:szCs w:val="24"/>
              </w:rPr>
              <w:t>Logic Arg</w:t>
            </w:r>
            <w:r w:rsidRPr="00CB149C">
              <w:rPr>
                <w:b/>
                <w:sz w:val="24"/>
                <w:szCs w:val="24"/>
              </w:rPr>
              <w:t>ument</w:t>
            </w:r>
          </w:p>
          <w:p w:rsidR="00F5662E" w:rsidRPr="00CB149C" w:rsidRDefault="00F5662E" w:rsidP="006C6EE0">
            <w:pPr>
              <w:pStyle w:val="ListParagraph"/>
              <w:spacing w:after="0" w:line="240" w:lineRule="auto"/>
              <w:ind w:left="0"/>
              <w:rPr>
                <w:rFonts w:cs="TimesNewRomanPSMT"/>
                <w:sz w:val="24"/>
                <w:szCs w:val="24"/>
              </w:rPr>
            </w:pPr>
            <w:r w:rsidRPr="00CB149C">
              <w:rPr>
                <w:sz w:val="24"/>
                <w:szCs w:val="24"/>
              </w:rPr>
              <w:lastRenderedPageBreak/>
              <w:t>Research shows that the single best predictor of college retention is college GPA (Pascarella &amp; Terenzini, 2005), and, in fact, grades predict college completion over several demographic characteristics (</w:t>
            </w:r>
            <w:r w:rsidR="00CC14DD">
              <w:rPr>
                <w:sz w:val="24"/>
                <w:szCs w:val="24"/>
              </w:rPr>
              <w:t xml:space="preserve">e.g., </w:t>
            </w:r>
            <w:r w:rsidRPr="00CB149C">
              <w:rPr>
                <w:sz w:val="24"/>
                <w:szCs w:val="24"/>
              </w:rPr>
              <w:t xml:space="preserve">Adelman, 1999). Generally, researchers use freshman GPA to predict </w:t>
            </w:r>
            <w:r w:rsidR="00CC14DD">
              <w:rPr>
                <w:sz w:val="24"/>
                <w:szCs w:val="24"/>
              </w:rPr>
              <w:t xml:space="preserve">college </w:t>
            </w:r>
            <w:r w:rsidRPr="00CB149C">
              <w:rPr>
                <w:sz w:val="24"/>
                <w:szCs w:val="24"/>
              </w:rPr>
              <w:t>retention (e.g., Adelman, 1999;</w:t>
            </w:r>
            <w:r w:rsidR="00790DCB" w:rsidRPr="00CB149C">
              <w:rPr>
                <w:sz w:val="24"/>
                <w:szCs w:val="24"/>
              </w:rPr>
              <w:t xml:space="preserve"> Murtaugh, Burns, &amp; Schuster</w:t>
            </w:r>
            <w:r w:rsidRPr="00CB149C">
              <w:rPr>
                <w:sz w:val="24"/>
                <w:szCs w:val="24"/>
              </w:rPr>
              <w:t xml:space="preserve">, 1999). </w:t>
            </w:r>
            <w:r w:rsidRPr="00CB149C">
              <w:rPr>
                <w:rFonts w:cs="TimesNewRomanPSMT"/>
                <w:sz w:val="24"/>
                <w:szCs w:val="24"/>
              </w:rPr>
              <w:t xml:space="preserve">In addition, more recent research suggests that the effects of many often-studied </w:t>
            </w:r>
            <w:r w:rsidR="00790DCB" w:rsidRPr="00CB149C">
              <w:rPr>
                <w:rFonts w:cs="TimesNewRomanPSMT"/>
                <w:sz w:val="24"/>
                <w:szCs w:val="24"/>
              </w:rPr>
              <w:t>retention</w:t>
            </w:r>
            <w:r w:rsidRPr="00CB149C">
              <w:rPr>
                <w:rFonts w:cs="TimesNewRomanPSMT"/>
                <w:sz w:val="24"/>
                <w:szCs w:val="24"/>
              </w:rPr>
              <w:t>-related variables are mediated by first year academic performan</w:t>
            </w:r>
            <w:r w:rsidR="00AD15BA" w:rsidRPr="00CB149C">
              <w:rPr>
                <w:rFonts w:cs="TimesNewRomanPSMT"/>
                <w:sz w:val="24"/>
                <w:szCs w:val="24"/>
              </w:rPr>
              <w:t>ce</w:t>
            </w:r>
            <w:r w:rsidR="00C024F4" w:rsidRPr="00CB149C">
              <w:rPr>
                <w:rFonts w:cs="TimesNewRomanPSMT"/>
                <w:sz w:val="24"/>
                <w:szCs w:val="24"/>
              </w:rPr>
              <w:t xml:space="preserve"> (though one might expect reciprocal relationships between motivation and performance)</w:t>
            </w:r>
            <w:r w:rsidRPr="00CB149C">
              <w:rPr>
                <w:rFonts w:cs="TimesNewRomanPSMT"/>
                <w:sz w:val="24"/>
                <w:szCs w:val="24"/>
              </w:rPr>
              <w:t xml:space="preserve">. </w:t>
            </w:r>
            <w:r w:rsidR="00AD15BA" w:rsidRPr="00CB149C">
              <w:rPr>
                <w:rFonts w:cs="TimesNewRomanPSMT"/>
                <w:sz w:val="24"/>
                <w:szCs w:val="24"/>
              </w:rPr>
              <w:t xml:space="preserve">For example, </w:t>
            </w:r>
            <w:r w:rsidRPr="00CB149C">
              <w:rPr>
                <w:rFonts w:cs="TimesNewRomanPSMT"/>
                <w:sz w:val="24"/>
                <w:szCs w:val="24"/>
              </w:rPr>
              <w:t>Allen and Robbins (2010) found that the effect of student motivation, precollege educational achievement and academic performance, and family income on degree attainment was mediated by first year academic performance for both 2- and 4-year college students.</w:t>
            </w:r>
          </w:p>
          <w:p w:rsidR="00290E06" w:rsidRPr="00CB149C" w:rsidRDefault="00290E06" w:rsidP="006C6EE0">
            <w:pPr>
              <w:rPr>
                <w:b/>
                <w:sz w:val="24"/>
                <w:szCs w:val="24"/>
              </w:rPr>
            </w:pPr>
          </w:p>
          <w:p w:rsidR="00CC14DD" w:rsidRDefault="00CC14DD" w:rsidP="00790DCB">
            <w:pPr>
              <w:rPr>
                <w:b/>
                <w:sz w:val="24"/>
                <w:szCs w:val="24"/>
              </w:rPr>
            </w:pPr>
          </w:p>
          <w:p w:rsidR="00790DCB" w:rsidRPr="00CB149C" w:rsidRDefault="00790DCB" w:rsidP="00790DCB">
            <w:pPr>
              <w:rPr>
                <w:b/>
                <w:sz w:val="24"/>
                <w:szCs w:val="24"/>
              </w:rPr>
            </w:pPr>
            <w:r w:rsidRPr="00CB149C">
              <w:rPr>
                <w:b/>
                <w:sz w:val="24"/>
                <w:szCs w:val="24"/>
              </w:rPr>
              <w:t>The Current Challenge</w:t>
            </w:r>
          </w:p>
          <w:p w:rsidR="00790DCB" w:rsidRPr="00CB149C" w:rsidRDefault="00790DCB" w:rsidP="00790DCB">
            <w:pPr>
              <w:rPr>
                <w:sz w:val="24"/>
                <w:szCs w:val="24"/>
              </w:rPr>
            </w:pPr>
            <w:r w:rsidRPr="00CB149C">
              <w:rPr>
                <w:sz w:val="24"/>
                <w:szCs w:val="24"/>
              </w:rPr>
              <w:t xml:space="preserve">As noted in point 9, improved noncognitive skills can lead to increased learning in college. Thus, improved noncognitive skills can lead to increased college retention via the college learning pathway. However, most students are not assessed on their noncognitive skills in a reliable and valid manner. Thus, parents and teachers have little information on their students’ standings on these factors. As such, they have little information </w:t>
            </w:r>
            <w:r w:rsidR="00AA2574" w:rsidRPr="00CB149C">
              <w:rPr>
                <w:sz w:val="24"/>
                <w:szCs w:val="24"/>
              </w:rPr>
              <w:t xml:space="preserve">on </w:t>
            </w:r>
            <w:r w:rsidRPr="00CB149C">
              <w:rPr>
                <w:sz w:val="24"/>
                <w:szCs w:val="24"/>
              </w:rPr>
              <w:t xml:space="preserve">which to base interventions that can increase college retention. </w:t>
            </w:r>
          </w:p>
          <w:p w:rsidR="006C6EE0" w:rsidRPr="00CB149C" w:rsidRDefault="006C6EE0" w:rsidP="006C6EE0">
            <w:pPr>
              <w:rPr>
                <w:sz w:val="24"/>
                <w:szCs w:val="24"/>
              </w:rPr>
            </w:pPr>
          </w:p>
          <w:p w:rsidR="00790DCB" w:rsidRPr="00CB149C" w:rsidRDefault="00790DCB" w:rsidP="00790DCB">
            <w:pPr>
              <w:rPr>
                <w:b/>
                <w:sz w:val="24"/>
                <w:szCs w:val="24"/>
              </w:rPr>
            </w:pPr>
            <w:r w:rsidRPr="00CB149C">
              <w:rPr>
                <w:b/>
                <w:sz w:val="24"/>
                <w:szCs w:val="24"/>
              </w:rPr>
              <w:t>The Solution</w:t>
            </w:r>
          </w:p>
          <w:p w:rsidR="0057292B" w:rsidRPr="00CB149C" w:rsidRDefault="00BD49EE" w:rsidP="00AA2574">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790DCB" w:rsidRPr="00CB149C">
              <w:rPr>
                <w:sz w:val="24"/>
                <w:szCs w:val="24"/>
              </w:rPr>
              <w:t>This will aid in the effective implementation of interventions that can result in increased student learning in college and thus also increased college retention.</w:t>
            </w:r>
          </w:p>
          <w:p w:rsidR="00203C15" w:rsidRPr="00CB149C" w:rsidRDefault="00203C15" w:rsidP="00AA2574">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12</w:t>
            </w:r>
          </w:p>
        </w:tc>
        <w:tc>
          <w:tcPr>
            <w:tcW w:w="9035" w:type="dxa"/>
          </w:tcPr>
          <w:p w:rsidR="006C6EE0" w:rsidRPr="00CB149C" w:rsidRDefault="00290E06" w:rsidP="00AD15BA">
            <w:pPr>
              <w:spacing w:line="259" w:lineRule="auto"/>
              <w:jc w:val="center"/>
              <w:rPr>
                <w:b/>
                <w:sz w:val="24"/>
                <w:szCs w:val="24"/>
              </w:rPr>
            </w:pPr>
            <w:r w:rsidRPr="00CB149C">
              <w:rPr>
                <w:b/>
                <w:sz w:val="24"/>
                <w:szCs w:val="24"/>
              </w:rPr>
              <w:t xml:space="preserve">Improved noncognitive skills </w:t>
            </w:r>
            <w:r w:rsidR="006C6EE0" w:rsidRPr="00CB149C">
              <w:rPr>
                <w:b/>
                <w:sz w:val="24"/>
                <w:szCs w:val="24"/>
              </w:rPr>
              <w:t>lead to increased college retention</w:t>
            </w:r>
          </w:p>
          <w:p w:rsidR="00AD15BA" w:rsidRPr="00CB149C" w:rsidRDefault="00AD15BA" w:rsidP="00AD15BA">
            <w:pPr>
              <w:rPr>
                <w:b/>
                <w:sz w:val="24"/>
                <w:szCs w:val="24"/>
              </w:rPr>
            </w:pPr>
          </w:p>
          <w:p w:rsidR="006C6EE0" w:rsidRPr="00CB149C" w:rsidRDefault="006C6EE0" w:rsidP="00AD15BA">
            <w:pPr>
              <w:rPr>
                <w:sz w:val="24"/>
                <w:szCs w:val="24"/>
              </w:rPr>
            </w:pPr>
            <w:r w:rsidRPr="00CB149C">
              <w:rPr>
                <w:b/>
                <w:sz w:val="24"/>
                <w:szCs w:val="24"/>
              </w:rPr>
              <w:t>Research/</w:t>
            </w:r>
            <w:r w:rsidR="00203C15" w:rsidRPr="00CB149C">
              <w:rPr>
                <w:b/>
                <w:sz w:val="24"/>
                <w:szCs w:val="24"/>
              </w:rPr>
              <w:t>Logic A</w:t>
            </w:r>
            <w:r w:rsidRPr="00CB149C">
              <w:rPr>
                <w:b/>
                <w:sz w:val="24"/>
                <w:szCs w:val="24"/>
              </w:rPr>
              <w:t>rgument</w:t>
            </w:r>
          </w:p>
          <w:p w:rsidR="006C6EE0" w:rsidRPr="00CB149C" w:rsidRDefault="00D418B4" w:rsidP="006C6EE0">
            <w:pPr>
              <w:pStyle w:val="ListParagraph"/>
              <w:spacing w:after="0" w:line="240" w:lineRule="auto"/>
              <w:ind w:left="0"/>
              <w:rPr>
                <w:sz w:val="24"/>
                <w:szCs w:val="24"/>
              </w:rPr>
            </w:pPr>
            <w:r w:rsidRPr="00CB149C">
              <w:rPr>
                <w:sz w:val="24"/>
                <w:szCs w:val="24"/>
              </w:rPr>
              <w:t>Point 7 describes the research on personality and educational attainment. This research applies to college retention as well as it does to high school retention. Additionally, m</w:t>
            </w:r>
            <w:r w:rsidR="00CC02E8" w:rsidRPr="00CB149C">
              <w:rPr>
                <w:sz w:val="24"/>
                <w:szCs w:val="24"/>
              </w:rPr>
              <w:t xml:space="preserve">eta-analysis has shown that </w:t>
            </w:r>
            <w:r w:rsidRPr="00CB149C">
              <w:rPr>
                <w:sz w:val="24"/>
                <w:szCs w:val="24"/>
              </w:rPr>
              <w:t xml:space="preserve">facet-level </w:t>
            </w:r>
            <w:r w:rsidR="00CC02E8" w:rsidRPr="00CB149C">
              <w:rPr>
                <w:sz w:val="24"/>
                <w:szCs w:val="24"/>
              </w:rPr>
              <w:t>noncognitive skills are predictive of college retention. Robbins et al. (2004) found that academic goals (</w:t>
            </w:r>
            <w:r w:rsidR="00186B43" w:rsidRPr="00CB149C">
              <w:rPr>
                <w:sz w:val="24"/>
                <w:szCs w:val="24"/>
              </w:rPr>
              <w:t>drive</w:t>
            </w:r>
            <w:r w:rsidR="00DF62B3" w:rsidRPr="00CB149C">
              <w:rPr>
                <w:sz w:val="24"/>
                <w:szCs w:val="24"/>
              </w:rPr>
              <w:t>/grit</w:t>
            </w:r>
            <w:r w:rsidR="00CC02E8" w:rsidRPr="00CB149C">
              <w:rPr>
                <w:sz w:val="24"/>
                <w:szCs w:val="24"/>
              </w:rPr>
              <w:t xml:space="preserve">) are highly predictive of retention. </w:t>
            </w:r>
            <w:r w:rsidR="00E348A2" w:rsidRPr="00CB149C">
              <w:rPr>
                <w:sz w:val="24"/>
                <w:szCs w:val="24"/>
              </w:rPr>
              <w:t>They also found that achievement motivation (</w:t>
            </w:r>
            <w:r w:rsidR="00186B43" w:rsidRPr="00CB149C">
              <w:rPr>
                <w:sz w:val="24"/>
                <w:szCs w:val="24"/>
              </w:rPr>
              <w:t>drive</w:t>
            </w:r>
            <w:r w:rsidR="00DF62B3" w:rsidRPr="00CB149C">
              <w:rPr>
                <w:sz w:val="24"/>
                <w:szCs w:val="24"/>
              </w:rPr>
              <w:t>/grit</w:t>
            </w:r>
            <w:r w:rsidR="00E348A2" w:rsidRPr="00CB149C">
              <w:rPr>
                <w:sz w:val="24"/>
                <w:szCs w:val="24"/>
              </w:rPr>
              <w:t xml:space="preserve">) is also predictive of retention, but not as strongly as academic goals. </w:t>
            </w:r>
            <w:r w:rsidR="001E21E5" w:rsidRPr="00CB149C">
              <w:rPr>
                <w:sz w:val="24"/>
                <w:szCs w:val="24"/>
              </w:rPr>
              <w:t>Furthermore</w:t>
            </w:r>
            <w:r w:rsidR="00E348A2" w:rsidRPr="00CB149C">
              <w:rPr>
                <w:sz w:val="24"/>
                <w:szCs w:val="24"/>
              </w:rPr>
              <w:t>, a study of 23 institutions of higher education and 6,590 students found that academic discipline (</w:t>
            </w:r>
            <w:r w:rsidR="00DF62B3" w:rsidRPr="00CB149C">
              <w:rPr>
                <w:sz w:val="24"/>
                <w:szCs w:val="24"/>
              </w:rPr>
              <w:t>organization/responsibility</w:t>
            </w:r>
            <w:r w:rsidR="00E348A2" w:rsidRPr="00CB149C">
              <w:rPr>
                <w:sz w:val="24"/>
                <w:szCs w:val="24"/>
              </w:rPr>
              <w:t xml:space="preserve">) was positively related to retention to the third year of college, and that relationship was mediated by first year GPA (Allen, Robbins, Casillas, &amp; Oh, 2008). </w:t>
            </w:r>
          </w:p>
          <w:p w:rsidR="00BC4485" w:rsidRPr="00CB149C" w:rsidRDefault="00BC4485" w:rsidP="006C6EE0">
            <w:pPr>
              <w:pStyle w:val="ListParagraph"/>
              <w:spacing w:after="0" w:line="240" w:lineRule="auto"/>
              <w:ind w:left="0"/>
              <w:rPr>
                <w:sz w:val="24"/>
                <w:szCs w:val="24"/>
              </w:rPr>
            </w:pPr>
          </w:p>
          <w:p w:rsidR="001E21E5" w:rsidRPr="00CB149C" w:rsidRDefault="001E21E5" w:rsidP="006C6EE0">
            <w:pPr>
              <w:pStyle w:val="ListParagraph"/>
              <w:spacing w:after="0" w:line="240" w:lineRule="auto"/>
              <w:ind w:left="0"/>
              <w:rPr>
                <w:sz w:val="24"/>
                <w:szCs w:val="24"/>
              </w:rPr>
            </w:pPr>
            <w:r w:rsidRPr="00CB149C">
              <w:rPr>
                <w:sz w:val="24"/>
                <w:szCs w:val="24"/>
              </w:rPr>
              <w:t xml:space="preserve">Much of the influence of noncognitive skills on college retention likely occurs through its impact on adjustment to college (Crede &amp; Niehorster, 2012). Adjustment to college </w:t>
            </w:r>
            <w:r w:rsidRPr="00CB149C">
              <w:rPr>
                <w:sz w:val="24"/>
                <w:szCs w:val="24"/>
              </w:rPr>
              <w:lastRenderedPageBreak/>
              <w:t xml:space="preserve">includes how well one adjusts academically, socially, personally/emotionally, and how attached one feels to their institution. </w:t>
            </w:r>
            <w:r w:rsidR="00E719CE" w:rsidRPr="00CB149C">
              <w:rPr>
                <w:sz w:val="24"/>
                <w:szCs w:val="24"/>
              </w:rPr>
              <w:t>A m</w:t>
            </w:r>
            <w:r w:rsidRPr="00CB149C">
              <w:rPr>
                <w:sz w:val="24"/>
                <w:szCs w:val="24"/>
              </w:rPr>
              <w:t>eta-analy</w:t>
            </w:r>
            <w:r w:rsidR="00E719CE" w:rsidRPr="00CB149C">
              <w:rPr>
                <w:sz w:val="24"/>
                <w:szCs w:val="24"/>
              </w:rPr>
              <w:t>sis</w:t>
            </w:r>
            <w:r w:rsidRPr="00CB149C">
              <w:rPr>
                <w:sz w:val="24"/>
                <w:szCs w:val="24"/>
              </w:rPr>
              <w:t xml:space="preserve"> found that each of these types of adjustment predict</w:t>
            </w:r>
            <w:r w:rsidR="00E719CE" w:rsidRPr="00CB149C">
              <w:rPr>
                <w:sz w:val="24"/>
                <w:szCs w:val="24"/>
              </w:rPr>
              <w:t>ed</w:t>
            </w:r>
            <w:r w:rsidRPr="00CB149C">
              <w:rPr>
                <w:sz w:val="24"/>
                <w:szCs w:val="24"/>
              </w:rPr>
              <w:t xml:space="preserve"> retention (Crede &amp; Niehorster, 2012). Importantly, four of the five Big Five personality traits predicted adjustment. Strengths of relationships of personality traits to adjustment generally followed this order: </w:t>
            </w:r>
            <w:r w:rsidR="008A64E8" w:rsidRPr="00CB149C">
              <w:rPr>
                <w:sz w:val="24"/>
                <w:szCs w:val="24"/>
              </w:rPr>
              <w:t>E</w:t>
            </w:r>
            <w:r w:rsidRPr="00CB149C">
              <w:rPr>
                <w:sz w:val="24"/>
                <w:szCs w:val="24"/>
              </w:rPr>
              <w:t xml:space="preserve">motional </w:t>
            </w:r>
            <w:r w:rsidR="008A64E8" w:rsidRPr="00CB149C">
              <w:rPr>
                <w:sz w:val="24"/>
                <w:szCs w:val="24"/>
              </w:rPr>
              <w:t>Stability</w:t>
            </w:r>
            <w:r w:rsidRPr="00CB149C">
              <w:rPr>
                <w:sz w:val="24"/>
                <w:szCs w:val="24"/>
              </w:rPr>
              <w:t xml:space="preserve">, </w:t>
            </w:r>
            <w:r w:rsidR="005100A0" w:rsidRPr="00CB149C">
              <w:rPr>
                <w:sz w:val="24"/>
                <w:szCs w:val="24"/>
              </w:rPr>
              <w:t>Conscientiousness</w:t>
            </w:r>
            <w:r w:rsidRPr="00CB149C">
              <w:rPr>
                <w:sz w:val="24"/>
                <w:szCs w:val="24"/>
              </w:rPr>
              <w:t xml:space="preserve">, </w:t>
            </w:r>
            <w:r w:rsidR="005100A0" w:rsidRPr="00CB149C">
              <w:rPr>
                <w:sz w:val="24"/>
                <w:szCs w:val="24"/>
              </w:rPr>
              <w:t>Agreeableness</w:t>
            </w:r>
            <w:r w:rsidRPr="00CB149C">
              <w:rPr>
                <w:sz w:val="24"/>
                <w:szCs w:val="24"/>
              </w:rPr>
              <w:t xml:space="preserve">, and </w:t>
            </w:r>
            <w:r w:rsidR="008A64E8" w:rsidRPr="00CB149C">
              <w:rPr>
                <w:sz w:val="24"/>
                <w:szCs w:val="24"/>
              </w:rPr>
              <w:t>E</w:t>
            </w:r>
            <w:r w:rsidRPr="00CB149C">
              <w:rPr>
                <w:sz w:val="24"/>
                <w:szCs w:val="24"/>
              </w:rPr>
              <w:t xml:space="preserve">xtraversion. </w:t>
            </w:r>
          </w:p>
          <w:p w:rsidR="001E21E5" w:rsidRPr="00CB149C" w:rsidRDefault="001E21E5" w:rsidP="006C6EE0">
            <w:pPr>
              <w:pStyle w:val="ListParagraph"/>
              <w:spacing w:after="0" w:line="240" w:lineRule="auto"/>
              <w:ind w:left="0"/>
              <w:rPr>
                <w:sz w:val="24"/>
                <w:szCs w:val="24"/>
              </w:rPr>
            </w:pPr>
          </w:p>
          <w:p w:rsidR="00D418B4" w:rsidRPr="00CB149C" w:rsidRDefault="00D418B4" w:rsidP="00D418B4">
            <w:pPr>
              <w:rPr>
                <w:b/>
                <w:sz w:val="24"/>
                <w:szCs w:val="24"/>
              </w:rPr>
            </w:pPr>
            <w:r w:rsidRPr="00CB149C">
              <w:rPr>
                <w:b/>
                <w:sz w:val="24"/>
                <w:szCs w:val="24"/>
              </w:rPr>
              <w:t>The Current Challenge</w:t>
            </w:r>
          </w:p>
          <w:p w:rsidR="00D418B4" w:rsidRPr="00CB149C" w:rsidRDefault="00D418B4" w:rsidP="00D418B4">
            <w:pPr>
              <w:rPr>
                <w:sz w:val="24"/>
                <w:szCs w:val="24"/>
              </w:rPr>
            </w:pPr>
            <w:r w:rsidRPr="00CB149C">
              <w:rPr>
                <w:sz w:val="24"/>
                <w:szCs w:val="24"/>
              </w:rPr>
              <w:t xml:space="preserve">Noncognitive skills are important for retention in college. However, most students are not assessed on their noncognitive skills in a reliable and valid manner. Thus, parents and teachers have little information on their students’ standings on these factors. As such, they have little information </w:t>
            </w:r>
            <w:r w:rsidR="0074251D" w:rsidRPr="00CB149C">
              <w:rPr>
                <w:sz w:val="24"/>
                <w:szCs w:val="24"/>
              </w:rPr>
              <w:t xml:space="preserve">on </w:t>
            </w:r>
            <w:r w:rsidRPr="00CB149C">
              <w:rPr>
                <w:sz w:val="24"/>
                <w:szCs w:val="24"/>
              </w:rPr>
              <w:t xml:space="preserve">which to base interventions on that can ultimately improve student retention. </w:t>
            </w:r>
          </w:p>
          <w:p w:rsidR="00D418B4" w:rsidRPr="00CB149C" w:rsidRDefault="00D418B4" w:rsidP="00D418B4">
            <w:pPr>
              <w:rPr>
                <w:sz w:val="24"/>
                <w:szCs w:val="24"/>
              </w:rPr>
            </w:pPr>
          </w:p>
          <w:p w:rsidR="00D418B4" w:rsidRPr="00CB149C" w:rsidRDefault="00D418B4" w:rsidP="00D418B4">
            <w:pPr>
              <w:rPr>
                <w:b/>
                <w:sz w:val="24"/>
                <w:szCs w:val="24"/>
              </w:rPr>
            </w:pPr>
            <w:r w:rsidRPr="00CB149C">
              <w:rPr>
                <w:b/>
                <w:sz w:val="24"/>
                <w:szCs w:val="24"/>
              </w:rPr>
              <w:t>The Solution</w:t>
            </w:r>
          </w:p>
          <w:p w:rsidR="0057292B" w:rsidRPr="00CB149C" w:rsidRDefault="00BD49EE" w:rsidP="0074251D">
            <w:pPr>
              <w:rPr>
                <w:sz w:val="24"/>
                <w:szCs w:val="24"/>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D418B4" w:rsidRPr="00CB149C">
              <w:rPr>
                <w:sz w:val="24"/>
                <w:szCs w:val="24"/>
              </w:rPr>
              <w:t>This will aid in the effective implementation of interventions that can result in increased student retention.</w:t>
            </w:r>
          </w:p>
          <w:p w:rsidR="00203C15" w:rsidRPr="00CB149C" w:rsidRDefault="00203C15" w:rsidP="0074251D">
            <w:pPr>
              <w:rPr>
                <w:sz w:val="24"/>
                <w:szCs w:val="24"/>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13</w:t>
            </w:r>
          </w:p>
        </w:tc>
        <w:tc>
          <w:tcPr>
            <w:tcW w:w="9035" w:type="dxa"/>
          </w:tcPr>
          <w:p w:rsidR="00D418B4" w:rsidRPr="00CB149C" w:rsidRDefault="00D418B4" w:rsidP="00AD15BA">
            <w:pPr>
              <w:spacing w:line="259" w:lineRule="auto"/>
              <w:jc w:val="center"/>
              <w:rPr>
                <w:b/>
                <w:sz w:val="24"/>
                <w:szCs w:val="24"/>
              </w:rPr>
            </w:pPr>
            <w:r w:rsidRPr="00CB149C">
              <w:rPr>
                <w:b/>
                <w:sz w:val="24"/>
                <w:szCs w:val="24"/>
              </w:rPr>
              <w:t xml:space="preserve">Increased college learning leads to increased </w:t>
            </w:r>
            <w:r w:rsidR="004A5DE9" w:rsidRPr="00CB149C">
              <w:rPr>
                <w:b/>
                <w:sz w:val="24"/>
                <w:szCs w:val="24"/>
              </w:rPr>
              <w:t>career success</w:t>
            </w:r>
            <w:r w:rsidRPr="00CB149C">
              <w:rPr>
                <w:b/>
                <w:sz w:val="24"/>
                <w:szCs w:val="24"/>
              </w:rPr>
              <w:t xml:space="preserve"> and satisfaction</w:t>
            </w:r>
          </w:p>
          <w:p w:rsidR="00AD15BA" w:rsidRPr="00CB149C" w:rsidRDefault="00AD15BA" w:rsidP="00AD15BA">
            <w:pPr>
              <w:rPr>
                <w:b/>
                <w:sz w:val="24"/>
                <w:szCs w:val="24"/>
              </w:rPr>
            </w:pPr>
          </w:p>
          <w:p w:rsidR="00A45D9B" w:rsidRPr="00CB149C" w:rsidRDefault="00A45D9B" w:rsidP="00AD15BA">
            <w:pPr>
              <w:rPr>
                <w:b/>
                <w:sz w:val="24"/>
                <w:szCs w:val="24"/>
              </w:rPr>
            </w:pPr>
            <w:r w:rsidRPr="00CB149C">
              <w:rPr>
                <w:b/>
                <w:sz w:val="24"/>
                <w:szCs w:val="24"/>
              </w:rPr>
              <w:t>Research/</w:t>
            </w:r>
            <w:r w:rsidR="00203C15" w:rsidRPr="00CB149C">
              <w:rPr>
                <w:b/>
                <w:sz w:val="24"/>
                <w:szCs w:val="24"/>
              </w:rPr>
              <w:t>Logic A</w:t>
            </w:r>
            <w:r w:rsidRPr="00CB149C">
              <w:rPr>
                <w:b/>
                <w:sz w:val="24"/>
                <w:szCs w:val="24"/>
              </w:rPr>
              <w:t>rgument</w:t>
            </w:r>
          </w:p>
          <w:p w:rsidR="00A45D9B" w:rsidRPr="00CB149C" w:rsidRDefault="00A95F2E" w:rsidP="00A45D9B">
            <w:pPr>
              <w:pStyle w:val="ListParagraph"/>
              <w:spacing w:after="0" w:line="240" w:lineRule="auto"/>
              <w:ind w:left="0"/>
              <w:rPr>
                <w:sz w:val="24"/>
                <w:szCs w:val="24"/>
              </w:rPr>
            </w:pPr>
            <w:r w:rsidRPr="00CB149C">
              <w:rPr>
                <w:sz w:val="24"/>
                <w:szCs w:val="24"/>
              </w:rPr>
              <w:t xml:space="preserve">Research has established that learning in college, as indicated by GPA, is predictive of </w:t>
            </w:r>
            <w:r w:rsidR="00287664" w:rsidRPr="00CB149C">
              <w:rPr>
                <w:rFonts w:cs="Times New Roman"/>
                <w:sz w:val="24"/>
                <w:szCs w:val="24"/>
                <w:lang w:eastAsia="de-DE"/>
              </w:rPr>
              <w:t>career success</w:t>
            </w:r>
            <w:r w:rsidRPr="00CB149C">
              <w:rPr>
                <w:sz w:val="24"/>
                <w:szCs w:val="24"/>
              </w:rPr>
              <w:t xml:space="preserve">. </w:t>
            </w:r>
            <w:r w:rsidR="00F57BD1" w:rsidRPr="00CB149C">
              <w:rPr>
                <w:sz w:val="24"/>
                <w:szCs w:val="24"/>
              </w:rPr>
              <w:t>An oft-cited meta-analysis of the predictors of job performance found that college GPA predicted supervisor ratings of job performance, promotion on the job, and job training success (Hunter &amp; Hunter, 1984). A second meta-analysis later confirmed that college GPA is indeed a valid predictor of job performance (</w:t>
            </w:r>
            <w:r w:rsidR="004E442D" w:rsidRPr="00CB149C">
              <w:rPr>
                <w:sz w:val="24"/>
                <w:szCs w:val="24"/>
              </w:rPr>
              <w:t xml:space="preserve">Roth, BeVier, &amp; Schippman, 1996). Additionally, to the extent that graduate school performance can be equated to job performance, both college GPA and college achievement (as indexed by the Graduate Record Examinations) were demonstrated to be valid predictors of job performance by a meta-analysis by Kuncel, Hezlett, </w:t>
            </w:r>
            <w:r w:rsidR="00833A08" w:rsidRPr="00CB149C">
              <w:rPr>
                <w:sz w:val="24"/>
                <w:szCs w:val="24"/>
              </w:rPr>
              <w:t>and</w:t>
            </w:r>
            <w:r w:rsidR="004E442D" w:rsidRPr="00CB149C">
              <w:rPr>
                <w:sz w:val="24"/>
                <w:szCs w:val="24"/>
              </w:rPr>
              <w:t xml:space="preserve"> Ones (2001). </w:t>
            </w:r>
          </w:p>
          <w:p w:rsidR="00AE7D70" w:rsidRPr="00CB149C" w:rsidRDefault="00AE7D70" w:rsidP="00A45D9B">
            <w:pPr>
              <w:pStyle w:val="ListParagraph"/>
              <w:spacing w:after="0" w:line="240" w:lineRule="auto"/>
              <w:ind w:left="0"/>
              <w:rPr>
                <w:sz w:val="24"/>
                <w:szCs w:val="24"/>
              </w:rPr>
            </w:pPr>
          </w:p>
          <w:p w:rsidR="00AE7D70" w:rsidRPr="00CB149C" w:rsidRDefault="00AE7D70" w:rsidP="00AE7D70">
            <w:pPr>
              <w:rPr>
                <w:rFonts w:cs="Times New Roman"/>
                <w:sz w:val="24"/>
                <w:szCs w:val="24"/>
              </w:rPr>
            </w:pPr>
            <w:r w:rsidRPr="00CB149C">
              <w:rPr>
                <w:rFonts w:cs="Times New Roman"/>
                <w:sz w:val="24"/>
                <w:szCs w:val="24"/>
              </w:rPr>
              <w:t>Supporting these findings, a recent study of adult skills by the OECD (2013) found that many of the skills taught in college (e.g., literacy, numeracy, and problem-solving) are linked to positive work outcomes, such as employment and earnings. For workers in the United States, the study revealed about a 12% increase in an individual’s wages for every standard deviation increase in skills.</w:t>
            </w:r>
          </w:p>
          <w:p w:rsidR="00732338" w:rsidRPr="00CB149C" w:rsidRDefault="00732338" w:rsidP="00A45D9B">
            <w:pPr>
              <w:pStyle w:val="ListParagraph"/>
              <w:spacing w:after="0" w:line="240" w:lineRule="auto"/>
              <w:ind w:left="0"/>
              <w:rPr>
                <w:sz w:val="24"/>
                <w:szCs w:val="24"/>
              </w:rPr>
            </w:pPr>
          </w:p>
          <w:p w:rsidR="00732338" w:rsidRPr="00CB149C" w:rsidRDefault="00732338" w:rsidP="00A45D9B">
            <w:pPr>
              <w:pStyle w:val="ListParagraph"/>
              <w:spacing w:after="0" w:line="240" w:lineRule="auto"/>
              <w:ind w:left="0"/>
              <w:rPr>
                <w:sz w:val="24"/>
                <w:szCs w:val="24"/>
              </w:rPr>
            </w:pPr>
            <w:r w:rsidRPr="00CB149C">
              <w:rPr>
                <w:sz w:val="24"/>
                <w:szCs w:val="24"/>
              </w:rPr>
              <w:t xml:space="preserve">Job performance is also related to job satisfaction. As one might suspect, those who are better at their jobs are also happier on their jobs. An extensive meta-analysis of this relationship found that the true correlation between job performance and job satisfaction </w:t>
            </w:r>
            <w:r w:rsidRPr="00CB149C">
              <w:rPr>
                <w:sz w:val="24"/>
                <w:szCs w:val="24"/>
              </w:rPr>
              <w:lastRenderedPageBreak/>
              <w:t xml:space="preserve">was .30 (Judge, Thoresen, Bono, &amp; Patton, 2001). Thus, it can be reasoned that learning in college is also associated with job satisfaction. </w:t>
            </w:r>
          </w:p>
          <w:p w:rsidR="004E442D" w:rsidRPr="00CB149C" w:rsidRDefault="004E442D" w:rsidP="00A45D9B">
            <w:pPr>
              <w:pStyle w:val="ListParagraph"/>
              <w:spacing w:after="0" w:line="240" w:lineRule="auto"/>
              <w:ind w:left="0"/>
              <w:rPr>
                <w:sz w:val="24"/>
                <w:szCs w:val="24"/>
              </w:rPr>
            </w:pPr>
          </w:p>
          <w:p w:rsidR="00A45D9B" w:rsidRPr="00CB149C" w:rsidRDefault="00A45D9B" w:rsidP="00A45D9B">
            <w:pPr>
              <w:rPr>
                <w:b/>
                <w:sz w:val="24"/>
                <w:szCs w:val="24"/>
              </w:rPr>
            </w:pPr>
            <w:r w:rsidRPr="00CB149C">
              <w:rPr>
                <w:b/>
                <w:sz w:val="24"/>
                <w:szCs w:val="24"/>
              </w:rPr>
              <w:t>The Current Challenge</w:t>
            </w:r>
          </w:p>
          <w:p w:rsidR="00A45D9B" w:rsidRPr="00CB149C" w:rsidRDefault="00732338" w:rsidP="00A45D9B">
            <w:pPr>
              <w:rPr>
                <w:rFonts w:cs="Times New Roman"/>
                <w:sz w:val="24"/>
                <w:szCs w:val="24"/>
                <w:lang w:eastAsia="de-DE"/>
              </w:rPr>
            </w:pPr>
            <w:r w:rsidRPr="00CB149C">
              <w:rPr>
                <w:rFonts w:cs="Times New Roman"/>
                <w:sz w:val="24"/>
                <w:szCs w:val="24"/>
                <w:lang w:eastAsia="de-DE"/>
              </w:rPr>
              <w:t xml:space="preserve">Increased learning in college is clearly related to </w:t>
            </w:r>
            <w:r w:rsidR="008B5CF1" w:rsidRPr="00CB149C">
              <w:rPr>
                <w:rFonts w:cs="Times New Roman"/>
                <w:sz w:val="24"/>
                <w:szCs w:val="24"/>
                <w:lang w:eastAsia="de-DE"/>
              </w:rPr>
              <w:t>career success</w:t>
            </w:r>
            <w:r w:rsidRPr="00CB149C">
              <w:rPr>
                <w:rFonts w:cs="Times New Roman"/>
                <w:sz w:val="24"/>
                <w:szCs w:val="24"/>
                <w:lang w:eastAsia="de-DE"/>
              </w:rPr>
              <w:t xml:space="preserve"> and satisfaction. As stated above, improved noncognitive skills are important for learning in college. However,</w:t>
            </w:r>
            <w:r w:rsidRPr="00CB149C">
              <w:rPr>
                <w:sz w:val="24"/>
                <w:szCs w:val="24"/>
              </w:rPr>
              <w:t xml:space="preserve"> most students are not assessed on their noncognitive skills in a reliable and valid manner. Thus, parents and teachers have little information on their students’ standings on these factors. As such, they have little information </w:t>
            </w:r>
            <w:r w:rsidR="0074251D" w:rsidRPr="00CB149C">
              <w:rPr>
                <w:sz w:val="24"/>
                <w:szCs w:val="24"/>
              </w:rPr>
              <w:t xml:space="preserve">on </w:t>
            </w:r>
            <w:r w:rsidRPr="00CB149C">
              <w:rPr>
                <w:sz w:val="24"/>
                <w:szCs w:val="24"/>
              </w:rPr>
              <w:t xml:space="preserve">which to base interventions on that can ultimately improve </w:t>
            </w:r>
            <w:r w:rsidR="008B5CF1" w:rsidRPr="00CB149C">
              <w:rPr>
                <w:sz w:val="24"/>
                <w:szCs w:val="24"/>
              </w:rPr>
              <w:t>career success</w:t>
            </w:r>
            <w:r w:rsidRPr="00CB149C">
              <w:rPr>
                <w:sz w:val="24"/>
                <w:szCs w:val="24"/>
              </w:rPr>
              <w:t xml:space="preserve"> and </w:t>
            </w:r>
            <w:r w:rsidR="00EC6AF7" w:rsidRPr="00CB149C">
              <w:rPr>
                <w:sz w:val="24"/>
                <w:szCs w:val="24"/>
              </w:rPr>
              <w:t>job satisfaction</w:t>
            </w:r>
            <w:r w:rsidRPr="00CB149C">
              <w:rPr>
                <w:sz w:val="24"/>
                <w:szCs w:val="24"/>
              </w:rPr>
              <w:t>.</w:t>
            </w:r>
          </w:p>
          <w:p w:rsidR="00A45D9B" w:rsidRPr="00CB149C" w:rsidRDefault="00A45D9B" w:rsidP="00A45D9B">
            <w:pPr>
              <w:rPr>
                <w:sz w:val="24"/>
                <w:szCs w:val="24"/>
              </w:rPr>
            </w:pPr>
          </w:p>
          <w:p w:rsidR="00A45D9B" w:rsidRPr="00CB149C" w:rsidRDefault="00A45D9B" w:rsidP="00A45D9B">
            <w:pPr>
              <w:rPr>
                <w:b/>
                <w:sz w:val="24"/>
                <w:szCs w:val="24"/>
              </w:rPr>
            </w:pPr>
            <w:r w:rsidRPr="00CB149C">
              <w:rPr>
                <w:b/>
                <w:sz w:val="24"/>
                <w:szCs w:val="24"/>
              </w:rPr>
              <w:t>The Solution</w:t>
            </w:r>
          </w:p>
          <w:p w:rsidR="0057292B" w:rsidRPr="00CB149C" w:rsidRDefault="00BD49EE" w:rsidP="008B5CF1">
            <w:pPr>
              <w:rPr>
                <w:rFonts w:cs="Times New Roman"/>
                <w:sz w:val="24"/>
                <w:szCs w:val="24"/>
                <w:lang w:eastAsia="de-DE"/>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A45D9B" w:rsidRPr="00CB149C">
              <w:rPr>
                <w:rFonts w:cs="Times New Roman"/>
                <w:sz w:val="24"/>
                <w:szCs w:val="24"/>
                <w:lang w:eastAsia="de-DE"/>
              </w:rPr>
              <w:t xml:space="preserve">This will aid in the </w:t>
            </w:r>
            <w:r w:rsidR="00EC6AF7" w:rsidRPr="00CB149C">
              <w:rPr>
                <w:rFonts w:cs="Times New Roman"/>
                <w:sz w:val="24"/>
                <w:szCs w:val="24"/>
                <w:lang w:eastAsia="de-DE"/>
              </w:rPr>
              <w:t xml:space="preserve">effective implementation of interventions that will improve noncognitive skills and ultimately improve </w:t>
            </w:r>
            <w:r w:rsidR="008B5CF1" w:rsidRPr="00CB149C">
              <w:rPr>
                <w:rFonts w:cs="Times New Roman"/>
                <w:sz w:val="24"/>
                <w:szCs w:val="24"/>
                <w:lang w:eastAsia="de-DE"/>
              </w:rPr>
              <w:t>career success</w:t>
            </w:r>
            <w:r w:rsidR="00EC6AF7" w:rsidRPr="00CB149C">
              <w:rPr>
                <w:rFonts w:cs="Times New Roman"/>
                <w:sz w:val="24"/>
                <w:szCs w:val="24"/>
                <w:lang w:eastAsia="de-DE"/>
              </w:rPr>
              <w:t xml:space="preserve"> and job satisfaction.  </w:t>
            </w:r>
          </w:p>
          <w:p w:rsidR="00AD15BA" w:rsidRPr="00CB149C" w:rsidRDefault="00AD15BA" w:rsidP="008B5CF1">
            <w:pPr>
              <w:rPr>
                <w:rFonts w:cs="Times New Roman"/>
                <w:sz w:val="24"/>
                <w:szCs w:val="24"/>
                <w:lang w:eastAsia="de-DE"/>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14</w:t>
            </w:r>
          </w:p>
        </w:tc>
        <w:tc>
          <w:tcPr>
            <w:tcW w:w="9035" w:type="dxa"/>
          </w:tcPr>
          <w:p w:rsidR="006C6EE0" w:rsidRPr="00CB149C" w:rsidRDefault="006C6EE0" w:rsidP="00AD15BA">
            <w:pPr>
              <w:spacing w:line="259" w:lineRule="auto"/>
              <w:jc w:val="center"/>
              <w:rPr>
                <w:b/>
                <w:sz w:val="24"/>
                <w:szCs w:val="24"/>
              </w:rPr>
            </w:pPr>
            <w:r w:rsidRPr="00CB149C">
              <w:rPr>
                <w:b/>
                <w:sz w:val="24"/>
                <w:szCs w:val="24"/>
              </w:rPr>
              <w:t xml:space="preserve">Increased college retention leads to </w:t>
            </w:r>
            <w:r w:rsidR="00AA12B0" w:rsidRPr="00CB149C">
              <w:rPr>
                <w:b/>
                <w:sz w:val="24"/>
                <w:szCs w:val="24"/>
              </w:rPr>
              <w:t xml:space="preserve">increased </w:t>
            </w:r>
            <w:r w:rsidR="004A5DE9" w:rsidRPr="00CB149C">
              <w:rPr>
                <w:b/>
                <w:sz w:val="24"/>
                <w:szCs w:val="24"/>
              </w:rPr>
              <w:t>career success and satisfaction</w:t>
            </w:r>
          </w:p>
          <w:p w:rsidR="00AD15BA" w:rsidRPr="00CB149C" w:rsidRDefault="00AD15BA" w:rsidP="00AD15BA">
            <w:pPr>
              <w:rPr>
                <w:b/>
                <w:sz w:val="24"/>
                <w:szCs w:val="24"/>
              </w:rPr>
            </w:pPr>
          </w:p>
          <w:p w:rsidR="00A45D9B" w:rsidRPr="00CB149C" w:rsidRDefault="00A45D9B" w:rsidP="00AD15BA">
            <w:pPr>
              <w:rPr>
                <w:sz w:val="24"/>
                <w:szCs w:val="24"/>
              </w:rPr>
            </w:pPr>
            <w:r w:rsidRPr="00CB149C">
              <w:rPr>
                <w:b/>
                <w:sz w:val="24"/>
                <w:szCs w:val="24"/>
              </w:rPr>
              <w:t>Research/Logic argument</w:t>
            </w:r>
          </w:p>
          <w:p w:rsidR="00AE7D70" w:rsidRPr="00CB149C" w:rsidRDefault="00AE7D70" w:rsidP="00AD15BA">
            <w:pPr>
              <w:rPr>
                <w:rFonts w:cs="Akzidenz-Grotesk Std Light"/>
                <w:color w:val="000000"/>
                <w:sz w:val="24"/>
                <w:szCs w:val="24"/>
              </w:rPr>
            </w:pPr>
            <w:r w:rsidRPr="00CB149C">
              <w:rPr>
                <w:rFonts w:cs="Akzidenz-Grotesk Std Light"/>
                <w:color w:val="000000"/>
                <w:sz w:val="24"/>
                <w:szCs w:val="24"/>
              </w:rPr>
              <w:t xml:space="preserve">It follows logically from Point 13 that those who have high retention in college should have better </w:t>
            </w:r>
            <w:r w:rsidR="00287664" w:rsidRPr="00CB149C">
              <w:rPr>
                <w:rFonts w:cs="Times New Roman"/>
                <w:sz w:val="24"/>
                <w:szCs w:val="24"/>
                <w:lang w:eastAsia="de-DE"/>
              </w:rPr>
              <w:t xml:space="preserve">career success </w:t>
            </w:r>
            <w:r w:rsidR="00564095" w:rsidRPr="00CB149C">
              <w:rPr>
                <w:rFonts w:cs="Akzidenz-Grotesk Std Light"/>
                <w:color w:val="000000"/>
                <w:sz w:val="24"/>
                <w:szCs w:val="24"/>
              </w:rPr>
              <w:t xml:space="preserve">and satisfaction than those who have lower college retention. The </w:t>
            </w:r>
            <w:r w:rsidR="00833A08" w:rsidRPr="00CB149C">
              <w:rPr>
                <w:rFonts w:cs="Akzidenz-Grotesk Std Light"/>
                <w:color w:val="000000"/>
                <w:sz w:val="24"/>
                <w:szCs w:val="24"/>
              </w:rPr>
              <w:t>more</w:t>
            </w:r>
            <w:r w:rsidR="00564095" w:rsidRPr="00CB149C">
              <w:rPr>
                <w:rFonts w:cs="Akzidenz-Grotesk Std Light"/>
                <w:color w:val="000000"/>
                <w:sz w:val="24"/>
                <w:szCs w:val="24"/>
              </w:rPr>
              <w:t xml:space="preserve"> </w:t>
            </w:r>
            <w:r w:rsidR="008B5CF1" w:rsidRPr="00CB149C">
              <w:rPr>
                <w:rFonts w:cs="Akzidenz-Grotesk Std Light"/>
                <w:color w:val="000000"/>
                <w:sz w:val="24"/>
                <w:szCs w:val="24"/>
              </w:rPr>
              <w:t xml:space="preserve">one </w:t>
            </w:r>
            <w:r w:rsidR="00564095" w:rsidRPr="00CB149C">
              <w:rPr>
                <w:rFonts w:cs="Akzidenz-Grotesk Std Light"/>
                <w:color w:val="000000"/>
                <w:sz w:val="24"/>
                <w:szCs w:val="24"/>
              </w:rPr>
              <w:t>persist</w:t>
            </w:r>
            <w:r w:rsidR="008B5CF1" w:rsidRPr="00CB149C">
              <w:rPr>
                <w:rFonts w:cs="Akzidenz-Grotesk Std Light"/>
                <w:color w:val="000000"/>
                <w:sz w:val="24"/>
                <w:szCs w:val="24"/>
              </w:rPr>
              <w:t>s</w:t>
            </w:r>
            <w:r w:rsidR="00564095" w:rsidRPr="00CB149C">
              <w:rPr>
                <w:rFonts w:cs="Akzidenz-Grotesk Std Light"/>
                <w:color w:val="000000"/>
                <w:sz w:val="24"/>
                <w:szCs w:val="24"/>
              </w:rPr>
              <w:t xml:space="preserve"> in school, the more </w:t>
            </w:r>
            <w:r w:rsidR="008B5CF1" w:rsidRPr="00CB149C">
              <w:rPr>
                <w:rFonts w:cs="Akzidenz-Grotesk Std Light"/>
                <w:color w:val="000000"/>
                <w:sz w:val="24"/>
                <w:szCs w:val="24"/>
              </w:rPr>
              <w:t xml:space="preserve">one </w:t>
            </w:r>
            <w:r w:rsidR="00564095" w:rsidRPr="00CB149C">
              <w:rPr>
                <w:rFonts w:cs="Akzidenz-Grotesk Std Light"/>
                <w:color w:val="000000"/>
                <w:sz w:val="24"/>
                <w:szCs w:val="24"/>
              </w:rPr>
              <w:t xml:space="preserve">should learn. This learning should serve workers well on the job. </w:t>
            </w:r>
          </w:p>
          <w:p w:rsidR="00AE7D70" w:rsidRPr="00CB149C" w:rsidRDefault="00AE7D70" w:rsidP="00AE7D70">
            <w:pPr>
              <w:rPr>
                <w:rFonts w:cs="Akzidenz-Grotesk Std Light"/>
                <w:color w:val="000000"/>
                <w:sz w:val="24"/>
                <w:szCs w:val="24"/>
              </w:rPr>
            </w:pPr>
          </w:p>
          <w:p w:rsidR="00AE7D70" w:rsidRPr="00CB149C" w:rsidRDefault="00564095" w:rsidP="00AE7D70">
            <w:pPr>
              <w:rPr>
                <w:rFonts w:cs="Akzidenz-Grotesk Std Light"/>
                <w:color w:val="000000"/>
                <w:sz w:val="24"/>
                <w:szCs w:val="24"/>
              </w:rPr>
            </w:pPr>
            <w:r w:rsidRPr="00CB149C">
              <w:rPr>
                <w:rFonts w:cs="Akzidenz-Grotesk Std Light"/>
                <w:color w:val="000000"/>
                <w:sz w:val="24"/>
                <w:szCs w:val="24"/>
              </w:rPr>
              <w:t>Furthermore, it is clear from research in labor economics that earning a college degree is an important key for success in the 21</w:t>
            </w:r>
            <w:r w:rsidRPr="00CB149C">
              <w:rPr>
                <w:rFonts w:cs="Akzidenz-Grotesk Std Light"/>
                <w:color w:val="000000"/>
                <w:sz w:val="24"/>
                <w:szCs w:val="24"/>
                <w:vertAlign w:val="superscript"/>
              </w:rPr>
              <w:t>st</w:t>
            </w:r>
            <w:r w:rsidRPr="00CB149C">
              <w:rPr>
                <w:rFonts w:cs="Akzidenz-Grotesk Std Light"/>
                <w:color w:val="000000"/>
                <w:sz w:val="24"/>
                <w:szCs w:val="24"/>
              </w:rPr>
              <w:t xml:space="preserve"> century. </w:t>
            </w:r>
            <w:r w:rsidR="00AE7D70" w:rsidRPr="00CB149C">
              <w:rPr>
                <w:rFonts w:cs="Akzidenz-Grotesk Std Light"/>
                <w:color w:val="000000"/>
                <w:sz w:val="24"/>
                <w:szCs w:val="24"/>
              </w:rPr>
              <w:t>Research shows that the majority of new jobs created in the United States by the year 2018 are projected to require at least a college degree (Bureau of Labor Statistics, 2013; Carnevale, Smith, &amp; Strohl, 2010), but the United States will produce far too few college graduates to fill these openings.</w:t>
            </w:r>
            <w:r w:rsidRPr="00CB149C">
              <w:rPr>
                <w:rFonts w:cs="Akzidenz-Grotesk Std Light"/>
                <w:color w:val="000000"/>
                <w:sz w:val="24"/>
                <w:szCs w:val="24"/>
              </w:rPr>
              <w:t xml:space="preserve"> </w:t>
            </w:r>
            <w:r w:rsidR="00AE7D70" w:rsidRPr="00CB149C">
              <w:rPr>
                <w:rFonts w:cs="Akzidenz-Grotesk Std Light"/>
                <w:color w:val="000000"/>
                <w:sz w:val="24"/>
                <w:szCs w:val="24"/>
              </w:rPr>
              <w:t xml:space="preserve">Individuals who attain a higher level of education tend to earn more over their lifetime (Carnevale, Rose, &amp; Cheah, 2011). Over the course of a 40-year career, those with just a high school diploma earn on average $1 million less (in 2009 dollars) than those with a bachelor’s degree and nearly $2 million less (also in 2009 dollars) than those with a graduate degree. </w:t>
            </w:r>
          </w:p>
          <w:p w:rsidR="00A45D9B" w:rsidRPr="00CB149C" w:rsidRDefault="00A45D9B" w:rsidP="00A45D9B">
            <w:pPr>
              <w:pStyle w:val="ListParagraph"/>
              <w:spacing w:after="0" w:line="240" w:lineRule="auto"/>
              <w:ind w:left="0"/>
              <w:rPr>
                <w:sz w:val="24"/>
                <w:szCs w:val="24"/>
              </w:rPr>
            </w:pPr>
          </w:p>
          <w:p w:rsidR="00A45D9B" w:rsidRPr="00CB149C" w:rsidRDefault="00A45D9B" w:rsidP="00A45D9B">
            <w:pPr>
              <w:rPr>
                <w:b/>
                <w:sz w:val="24"/>
                <w:szCs w:val="24"/>
              </w:rPr>
            </w:pPr>
            <w:r w:rsidRPr="00CB149C">
              <w:rPr>
                <w:b/>
                <w:sz w:val="24"/>
                <w:szCs w:val="24"/>
              </w:rPr>
              <w:t>The Current Challenge</w:t>
            </w:r>
          </w:p>
          <w:p w:rsidR="00A45D9B" w:rsidRPr="00CB149C" w:rsidRDefault="00A45D9B" w:rsidP="00A45D9B">
            <w:pPr>
              <w:rPr>
                <w:rFonts w:cs="Times New Roman"/>
                <w:sz w:val="24"/>
                <w:szCs w:val="24"/>
                <w:lang w:eastAsia="de-DE"/>
              </w:rPr>
            </w:pPr>
            <w:r w:rsidRPr="00CB149C">
              <w:rPr>
                <w:rFonts w:cs="Times New Roman"/>
                <w:sz w:val="24"/>
                <w:szCs w:val="24"/>
                <w:lang w:eastAsia="de-DE"/>
              </w:rPr>
              <w:t xml:space="preserve">Noncognitive skills are clearly important for college learning and hence for </w:t>
            </w:r>
            <w:r w:rsidR="00287664" w:rsidRPr="00CB149C">
              <w:rPr>
                <w:rFonts w:cs="Times New Roman"/>
                <w:sz w:val="24"/>
                <w:szCs w:val="24"/>
                <w:lang w:eastAsia="de-DE"/>
              </w:rPr>
              <w:t>career success</w:t>
            </w:r>
            <w:r w:rsidRPr="00CB149C">
              <w:rPr>
                <w:rFonts w:cs="Times New Roman"/>
                <w:sz w:val="24"/>
                <w:szCs w:val="24"/>
                <w:lang w:eastAsia="de-DE"/>
              </w:rPr>
              <w:t xml:space="preserve">. However, many college students are not sufficiently prepared for their later work life. Insufficient preparation during college and a lack </w:t>
            </w:r>
            <w:r w:rsidR="0074251D" w:rsidRPr="00CB149C">
              <w:rPr>
                <w:rFonts w:cs="Times New Roman"/>
                <w:sz w:val="24"/>
                <w:szCs w:val="24"/>
                <w:lang w:eastAsia="de-DE"/>
              </w:rPr>
              <w:t>of</w:t>
            </w:r>
            <w:r w:rsidRPr="00CB149C">
              <w:rPr>
                <w:rFonts w:cs="Times New Roman"/>
                <w:sz w:val="24"/>
                <w:szCs w:val="24"/>
                <w:lang w:eastAsia="de-DE"/>
              </w:rPr>
              <w:t xml:space="preserve"> knowledge about necessary noncognitive skills may lead to issues for students when entering work life.</w:t>
            </w:r>
          </w:p>
          <w:p w:rsidR="00A45D9B" w:rsidRPr="00CB149C" w:rsidRDefault="00A45D9B" w:rsidP="00A45D9B">
            <w:pPr>
              <w:rPr>
                <w:sz w:val="24"/>
                <w:szCs w:val="24"/>
              </w:rPr>
            </w:pPr>
          </w:p>
          <w:p w:rsidR="00AD15BA" w:rsidRPr="00CB149C" w:rsidRDefault="00AD15BA" w:rsidP="00A45D9B">
            <w:pPr>
              <w:rPr>
                <w:sz w:val="24"/>
                <w:szCs w:val="24"/>
              </w:rPr>
            </w:pPr>
          </w:p>
          <w:p w:rsidR="00A45D9B" w:rsidRPr="00CB149C" w:rsidRDefault="00A45D9B" w:rsidP="00A45D9B">
            <w:pPr>
              <w:rPr>
                <w:b/>
                <w:sz w:val="24"/>
                <w:szCs w:val="24"/>
              </w:rPr>
            </w:pPr>
            <w:r w:rsidRPr="00CB149C">
              <w:rPr>
                <w:b/>
                <w:sz w:val="24"/>
                <w:szCs w:val="24"/>
              </w:rPr>
              <w:t>The Solution</w:t>
            </w:r>
          </w:p>
          <w:p w:rsidR="0057292B" w:rsidRPr="00CB149C" w:rsidRDefault="00BD49EE" w:rsidP="0074251D">
            <w:pPr>
              <w:rPr>
                <w:rFonts w:cs="Times New Roman"/>
                <w:sz w:val="24"/>
                <w:szCs w:val="24"/>
                <w:lang w:eastAsia="de-DE"/>
              </w:rPr>
            </w:pPr>
            <w:r w:rsidRPr="00CB149C">
              <w:rPr>
                <w:sz w:val="24"/>
                <w:szCs w:val="24"/>
              </w:rPr>
              <w:lastRenderedPageBreak/>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A45D9B" w:rsidRPr="00CB149C">
              <w:rPr>
                <w:rFonts w:cs="Times New Roman"/>
                <w:sz w:val="24"/>
                <w:szCs w:val="24"/>
                <w:lang w:eastAsia="de-DE"/>
              </w:rPr>
              <w:t xml:space="preserve">This will aid in the effective implementation of interventions that can result in increased college learning and </w:t>
            </w:r>
            <w:r w:rsidR="00287664" w:rsidRPr="00CB149C">
              <w:rPr>
                <w:rFonts w:cs="Times New Roman"/>
                <w:sz w:val="24"/>
                <w:szCs w:val="24"/>
                <w:lang w:eastAsia="de-DE"/>
              </w:rPr>
              <w:t>career success</w:t>
            </w:r>
            <w:r w:rsidR="00A45D9B" w:rsidRPr="00CB149C">
              <w:rPr>
                <w:rFonts w:cs="Times New Roman"/>
                <w:sz w:val="24"/>
                <w:szCs w:val="24"/>
                <w:lang w:eastAsia="de-DE"/>
              </w:rPr>
              <w:t>.</w:t>
            </w:r>
          </w:p>
          <w:p w:rsidR="00AD15BA" w:rsidRPr="00CB149C" w:rsidRDefault="00AD15BA" w:rsidP="0074251D">
            <w:pPr>
              <w:rPr>
                <w:rFonts w:cs="Times New Roman"/>
                <w:sz w:val="24"/>
                <w:szCs w:val="24"/>
                <w:lang w:eastAsia="de-DE"/>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15</w:t>
            </w:r>
          </w:p>
        </w:tc>
        <w:tc>
          <w:tcPr>
            <w:tcW w:w="9035" w:type="dxa"/>
          </w:tcPr>
          <w:p w:rsidR="00AA12B0" w:rsidRPr="00CB149C" w:rsidRDefault="00AA12B0" w:rsidP="00AD15BA">
            <w:pPr>
              <w:spacing w:line="259" w:lineRule="auto"/>
              <w:jc w:val="center"/>
              <w:rPr>
                <w:b/>
                <w:sz w:val="24"/>
                <w:szCs w:val="24"/>
              </w:rPr>
            </w:pPr>
            <w:r w:rsidRPr="00CB149C">
              <w:rPr>
                <w:b/>
                <w:sz w:val="24"/>
                <w:szCs w:val="24"/>
              </w:rPr>
              <w:t xml:space="preserve">Improved noncognitive skills lead to increased </w:t>
            </w:r>
            <w:r w:rsidR="004A5DE9" w:rsidRPr="00CB149C">
              <w:rPr>
                <w:b/>
                <w:sz w:val="24"/>
                <w:szCs w:val="24"/>
              </w:rPr>
              <w:t>career success and satisfaction</w:t>
            </w:r>
          </w:p>
          <w:p w:rsidR="00AD15BA" w:rsidRPr="00CB149C" w:rsidRDefault="00AD15BA" w:rsidP="00AD15BA">
            <w:pPr>
              <w:rPr>
                <w:b/>
                <w:sz w:val="24"/>
                <w:szCs w:val="24"/>
              </w:rPr>
            </w:pPr>
          </w:p>
          <w:p w:rsidR="00A45D9B" w:rsidRPr="00CB149C" w:rsidRDefault="00A45D9B" w:rsidP="00AD15BA">
            <w:pPr>
              <w:rPr>
                <w:sz w:val="24"/>
                <w:szCs w:val="24"/>
              </w:rPr>
            </w:pPr>
            <w:r w:rsidRPr="00CB149C">
              <w:rPr>
                <w:b/>
                <w:sz w:val="24"/>
                <w:szCs w:val="24"/>
              </w:rPr>
              <w:t xml:space="preserve">Research/Logic </w:t>
            </w:r>
            <w:r w:rsidR="00AD15BA" w:rsidRPr="00CB149C">
              <w:rPr>
                <w:b/>
                <w:sz w:val="24"/>
                <w:szCs w:val="24"/>
              </w:rPr>
              <w:t>A</w:t>
            </w:r>
            <w:r w:rsidRPr="00CB149C">
              <w:rPr>
                <w:b/>
                <w:sz w:val="24"/>
                <w:szCs w:val="24"/>
              </w:rPr>
              <w:t>rgument</w:t>
            </w:r>
          </w:p>
          <w:p w:rsidR="00A45D9B" w:rsidRPr="00CB149C" w:rsidRDefault="00A45D9B" w:rsidP="00A45D9B">
            <w:pPr>
              <w:rPr>
                <w:rFonts w:cs="Adobe Garamond Pro"/>
                <w:color w:val="000000"/>
                <w:sz w:val="24"/>
                <w:szCs w:val="24"/>
                <w:lang w:eastAsia="de-DE"/>
              </w:rPr>
            </w:pPr>
            <w:r w:rsidRPr="00CB149C">
              <w:rPr>
                <w:rFonts w:cs="Adobe Garamond Pro"/>
                <w:color w:val="000000"/>
                <w:sz w:val="24"/>
                <w:szCs w:val="24"/>
                <w:lang w:eastAsia="de-DE"/>
              </w:rPr>
              <w:t xml:space="preserve">The influence of the Big Five on work-related outcomes and behavior has been assessed in many studies, which cumulatively account for several hundreds of thousands of persons (Barrick, Mount, &amp; Judge, 2001; Berry, Ones, &amp; Sackett, 2007; Judge, Rodell, Klinger, Simon, &amp; Crawford, 2013; Sackett &amp; Walmsley, 2014). Greater Conscientiousness positively predicts performance and behavior in work life, and also </w:t>
            </w:r>
            <w:r w:rsidR="00833A08" w:rsidRPr="00CB149C">
              <w:rPr>
                <w:rFonts w:cs="Adobe Garamond Pro"/>
                <w:color w:val="000000"/>
                <w:sz w:val="24"/>
                <w:szCs w:val="24"/>
                <w:lang w:eastAsia="de-DE"/>
              </w:rPr>
              <w:t>greater</w:t>
            </w:r>
            <w:r w:rsidRPr="00CB149C">
              <w:rPr>
                <w:rFonts w:cs="Adobe Garamond Pro"/>
                <w:color w:val="000000"/>
                <w:sz w:val="24"/>
                <w:szCs w:val="24"/>
                <w:lang w:eastAsia="de-DE"/>
              </w:rPr>
              <w:t xml:space="preserve"> job satisfaction (</w:t>
            </w:r>
            <w:r w:rsidR="00833A08" w:rsidRPr="00CB149C">
              <w:rPr>
                <w:rFonts w:cs="Adobe Garamond Pro"/>
                <w:color w:val="000000"/>
                <w:sz w:val="24"/>
                <w:szCs w:val="24"/>
                <w:lang w:eastAsia="de-DE"/>
              </w:rPr>
              <w:t xml:space="preserve">Judge, Heller, &amp; Mount, 2002; </w:t>
            </w:r>
            <w:r w:rsidRPr="00CB149C">
              <w:rPr>
                <w:rFonts w:cs="Adobe Garamond Pro"/>
                <w:color w:val="000000"/>
                <w:sz w:val="24"/>
                <w:szCs w:val="24"/>
                <w:lang w:eastAsia="de-DE"/>
              </w:rPr>
              <w:t xml:space="preserve">Sackett &amp; Walmsley, 2014). </w:t>
            </w:r>
            <w:r w:rsidR="00897A8B" w:rsidRPr="00CB149C">
              <w:rPr>
                <w:rFonts w:cs="Adobe Garamond Pro"/>
                <w:color w:val="000000"/>
                <w:sz w:val="24"/>
                <w:szCs w:val="24"/>
                <w:lang w:eastAsia="de-DE"/>
              </w:rPr>
              <w:t xml:space="preserve">The influence of the other Big Five factors, </w:t>
            </w:r>
            <w:r w:rsidRPr="00CB149C">
              <w:rPr>
                <w:rFonts w:cs="Adobe Garamond Pro"/>
                <w:color w:val="000000"/>
                <w:sz w:val="24"/>
                <w:szCs w:val="24"/>
                <w:lang w:eastAsia="de-DE"/>
              </w:rPr>
              <w:t xml:space="preserve">however, </w:t>
            </w:r>
            <w:r w:rsidR="00897A8B" w:rsidRPr="00CB149C">
              <w:rPr>
                <w:rFonts w:cs="Adobe Garamond Pro"/>
                <w:color w:val="000000"/>
                <w:sz w:val="24"/>
                <w:szCs w:val="24"/>
                <w:lang w:eastAsia="de-DE"/>
              </w:rPr>
              <w:t xml:space="preserve">should not be </w:t>
            </w:r>
            <w:r w:rsidRPr="00CB149C">
              <w:rPr>
                <w:rFonts w:cs="Adobe Garamond Pro"/>
                <w:color w:val="000000"/>
                <w:sz w:val="24"/>
                <w:szCs w:val="24"/>
                <w:lang w:eastAsia="de-DE"/>
              </w:rPr>
              <w:t>underestimate</w:t>
            </w:r>
            <w:r w:rsidR="00897A8B" w:rsidRPr="00CB149C">
              <w:rPr>
                <w:rFonts w:cs="Adobe Garamond Pro"/>
                <w:color w:val="000000"/>
                <w:sz w:val="24"/>
                <w:szCs w:val="24"/>
                <w:lang w:eastAsia="de-DE"/>
              </w:rPr>
              <w:t>d</w:t>
            </w:r>
            <w:r w:rsidR="00771049" w:rsidRPr="00CB149C">
              <w:rPr>
                <w:rFonts w:cs="Adobe Garamond Pro"/>
                <w:color w:val="000000"/>
                <w:sz w:val="24"/>
                <w:szCs w:val="24"/>
                <w:lang w:eastAsia="de-DE"/>
              </w:rPr>
              <w:t xml:space="preserve">. </w:t>
            </w:r>
            <w:r w:rsidRPr="00CB149C">
              <w:rPr>
                <w:rFonts w:cs="Adobe Garamond Pro"/>
                <w:color w:val="000000"/>
                <w:sz w:val="24"/>
                <w:szCs w:val="24"/>
                <w:lang w:eastAsia="de-DE"/>
              </w:rPr>
              <w:t xml:space="preserve">In addition, integrity, which targets the tendency to behave honestly, also predicts job performance (Ones, Viswesvaran, &amp; Schmidt, 1993; Van Iddekinge, Roth, Raymark, &amp; Odle-Dusseau, 2012). Importantly, both </w:t>
            </w:r>
            <w:r w:rsidR="005100A0" w:rsidRPr="00CB149C">
              <w:rPr>
                <w:rFonts w:cs="Adobe Garamond Pro"/>
                <w:color w:val="000000"/>
                <w:sz w:val="24"/>
                <w:szCs w:val="24"/>
                <w:lang w:eastAsia="de-DE"/>
              </w:rPr>
              <w:t>Conscientiousness</w:t>
            </w:r>
            <w:r w:rsidRPr="00CB149C">
              <w:rPr>
                <w:rFonts w:cs="Adobe Garamond Pro"/>
                <w:color w:val="000000"/>
                <w:sz w:val="24"/>
                <w:szCs w:val="24"/>
                <w:lang w:eastAsia="de-DE"/>
              </w:rPr>
              <w:t xml:space="preserve"> and integrity provide incremental validity in the prediction of job performance beyond cognitive ability (Schmidt &amp; Hunter, 1998). Agreeableness is the strongest predictor of counterproductive workplace behaviors (Berry, Ones, &amp; Sackett, 2007; Judge, Klinger, Simon, &amp; Yang, 2008; Nye, Rounds, &amp; Drasgow, 2012; Ones et al., 1993; Salgado, 2002; Van Iddekinge et al., 2012), which can cost the labor market millions (perhaps billions) of dollars per year. It is also substantial</w:t>
            </w:r>
            <w:r w:rsidR="00897A8B" w:rsidRPr="00CB149C">
              <w:rPr>
                <w:rFonts w:cs="Adobe Garamond Pro"/>
                <w:color w:val="000000"/>
                <w:sz w:val="24"/>
                <w:szCs w:val="24"/>
                <w:lang w:eastAsia="de-DE"/>
              </w:rPr>
              <w:t>ly</w:t>
            </w:r>
            <w:r w:rsidRPr="00CB149C">
              <w:rPr>
                <w:rFonts w:cs="Adobe Garamond Pro"/>
                <w:color w:val="000000"/>
                <w:sz w:val="24"/>
                <w:szCs w:val="24"/>
                <w:lang w:eastAsia="de-DE"/>
              </w:rPr>
              <w:t xml:space="preserve"> related to organizational citizenship behavior. The other Big Five factors have been shown to be related to more specific job performance: Managers perform better when being more extraverted, higher Emotional Stability and Agreeableness improve teamwork and interaction with others (e.g., clients), whereas higher Openness enhances training proficiency. In addition, job satisfaction is pre</w:t>
            </w:r>
            <w:r w:rsidR="008A64E8" w:rsidRPr="00CB149C">
              <w:rPr>
                <w:rFonts w:cs="Adobe Garamond Pro"/>
                <w:color w:val="000000"/>
                <w:sz w:val="24"/>
                <w:szCs w:val="24"/>
                <w:lang w:eastAsia="de-DE"/>
              </w:rPr>
              <w:t>dicted by each of the Big Five</w:t>
            </w:r>
            <w:r w:rsidRPr="00CB149C">
              <w:rPr>
                <w:rFonts w:cs="Adobe Garamond Pro"/>
                <w:color w:val="000000"/>
                <w:sz w:val="24"/>
                <w:szCs w:val="24"/>
                <w:lang w:eastAsia="de-DE"/>
              </w:rPr>
              <w:t xml:space="preserve"> personality traits except </w:t>
            </w:r>
            <w:r w:rsidR="005100A0" w:rsidRPr="00CB149C">
              <w:rPr>
                <w:rFonts w:cs="Adobe Garamond Pro"/>
                <w:color w:val="000000"/>
                <w:sz w:val="24"/>
                <w:szCs w:val="24"/>
                <w:lang w:eastAsia="de-DE"/>
              </w:rPr>
              <w:t>Openness</w:t>
            </w:r>
            <w:r w:rsidRPr="00CB149C">
              <w:rPr>
                <w:rFonts w:cs="Adobe Garamond Pro"/>
                <w:color w:val="000000"/>
                <w:sz w:val="24"/>
                <w:szCs w:val="24"/>
                <w:lang w:eastAsia="de-DE"/>
              </w:rPr>
              <w:t xml:space="preserve"> to </w:t>
            </w:r>
            <w:r w:rsidR="005100A0" w:rsidRPr="00CB149C">
              <w:rPr>
                <w:rFonts w:cs="Adobe Garamond Pro"/>
                <w:color w:val="000000"/>
                <w:sz w:val="24"/>
                <w:szCs w:val="24"/>
                <w:lang w:eastAsia="de-DE"/>
              </w:rPr>
              <w:t>E</w:t>
            </w:r>
            <w:r w:rsidRPr="00CB149C">
              <w:rPr>
                <w:rFonts w:cs="Adobe Garamond Pro"/>
                <w:color w:val="000000"/>
                <w:sz w:val="24"/>
                <w:szCs w:val="24"/>
                <w:lang w:eastAsia="de-DE"/>
              </w:rPr>
              <w:t>xperience (Judge &amp; Bono, 2001; Judge, Heller, &amp; Mount, 2002).</w:t>
            </w:r>
          </w:p>
          <w:p w:rsidR="00833A08" w:rsidRPr="00CB149C" w:rsidRDefault="00833A08" w:rsidP="00A45D9B">
            <w:pPr>
              <w:rPr>
                <w:rFonts w:cs="Adobe Garamond Pro"/>
                <w:color w:val="000000"/>
                <w:sz w:val="24"/>
                <w:szCs w:val="24"/>
                <w:lang w:eastAsia="de-DE"/>
              </w:rPr>
            </w:pPr>
          </w:p>
          <w:p w:rsidR="00AD15BA" w:rsidRPr="00CB149C" w:rsidRDefault="00974AF6" w:rsidP="00A45D9B">
            <w:pPr>
              <w:rPr>
                <w:sz w:val="24"/>
                <w:szCs w:val="24"/>
              </w:rPr>
            </w:pPr>
            <w:r w:rsidRPr="00CB149C">
              <w:rPr>
                <w:sz w:val="24"/>
                <w:szCs w:val="24"/>
              </w:rPr>
              <w:t>One longitudinal study employing a representative sample of United States citizens looked at the relationship of 9</w:t>
            </w:r>
            <w:r w:rsidRPr="00CB149C">
              <w:rPr>
                <w:sz w:val="24"/>
                <w:szCs w:val="24"/>
                <w:vertAlign w:val="superscript"/>
              </w:rPr>
              <w:t>th</w:t>
            </w:r>
            <w:r w:rsidRPr="00CB149C">
              <w:rPr>
                <w:sz w:val="24"/>
                <w:szCs w:val="24"/>
              </w:rPr>
              <w:t xml:space="preserve"> – 12</w:t>
            </w:r>
            <w:r w:rsidRPr="00CB149C">
              <w:rPr>
                <w:sz w:val="24"/>
                <w:szCs w:val="24"/>
                <w:vertAlign w:val="superscript"/>
              </w:rPr>
              <w:t>th</w:t>
            </w:r>
            <w:r w:rsidRPr="00CB149C">
              <w:rPr>
                <w:sz w:val="24"/>
                <w:szCs w:val="24"/>
              </w:rPr>
              <w:t xml:space="preserve"> grade students’ responses to a personality assessment and their income and occupational prestige 11 years later (Damian, et al., 2014). In this work, a 1 standard deviation increase in each Big Five personality factor was associated with increased </w:t>
            </w:r>
            <w:r w:rsidR="004C33E7" w:rsidRPr="00CB149C">
              <w:rPr>
                <w:sz w:val="24"/>
                <w:szCs w:val="24"/>
              </w:rPr>
              <w:t xml:space="preserve">annual </w:t>
            </w:r>
            <w:r w:rsidR="00DB4C07" w:rsidRPr="00CB149C">
              <w:rPr>
                <w:sz w:val="24"/>
                <w:szCs w:val="24"/>
              </w:rPr>
              <w:t>income</w:t>
            </w:r>
            <w:r w:rsidRPr="00CB149C">
              <w:rPr>
                <w:sz w:val="24"/>
                <w:szCs w:val="24"/>
              </w:rPr>
              <w:t xml:space="preserve"> and job prestige. The exact numbers for income are: Extraversion = $2,419 more </w:t>
            </w:r>
            <w:r w:rsidR="004C33E7" w:rsidRPr="00CB149C">
              <w:rPr>
                <w:sz w:val="24"/>
                <w:szCs w:val="24"/>
              </w:rPr>
              <w:t>annual income</w:t>
            </w:r>
            <w:r w:rsidRPr="00CB149C">
              <w:rPr>
                <w:sz w:val="24"/>
                <w:szCs w:val="24"/>
              </w:rPr>
              <w:t xml:space="preserve">, </w:t>
            </w:r>
            <w:r w:rsidR="005100A0" w:rsidRPr="00CB149C">
              <w:rPr>
                <w:sz w:val="24"/>
                <w:szCs w:val="24"/>
              </w:rPr>
              <w:t>Agreeableness</w:t>
            </w:r>
            <w:r w:rsidRPr="00CB149C">
              <w:rPr>
                <w:sz w:val="24"/>
                <w:szCs w:val="24"/>
              </w:rPr>
              <w:t xml:space="preserve"> = $</w:t>
            </w:r>
            <w:r w:rsidR="00DB4C07" w:rsidRPr="00CB149C">
              <w:rPr>
                <w:sz w:val="24"/>
                <w:szCs w:val="24"/>
              </w:rPr>
              <w:t>1,209</w:t>
            </w:r>
            <w:r w:rsidRPr="00CB149C">
              <w:rPr>
                <w:sz w:val="24"/>
                <w:szCs w:val="24"/>
              </w:rPr>
              <w:t xml:space="preserve">, </w:t>
            </w:r>
            <w:r w:rsidR="005100A0" w:rsidRPr="00CB149C">
              <w:rPr>
                <w:sz w:val="24"/>
                <w:szCs w:val="24"/>
              </w:rPr>
              <w:t>Conscientiousness</w:t>
            </w:r>
            <w:r w:rsidRPr="00CB149C">
              <w:rPr>
                <w:sz w:val="24"/>
                <w:szCs w:val="24"/>
              </w:rPr>
              <w:t xml:space="preserve"> = </w:t>
            </w:r>
            <w:r w:rsidR="00DB4C07" w:rsidRPr="00CB149C">
              <w:rPr>
                <w:sz w:val="24"/>
                <w:szCs w:val="24"/>
              </w:rPr>
              <w:t>$1,814</w:t>
            </w:r>
            <w:r w:rsidRPr="00CB149C">
              <w:rPr>
                <w:sz w:val="24"/>
                <w:szCs w:val="24"/>
              </w:rPr>
              <w:t xml:space="preserve">, </w:t>
            </w:r>
            <w:r w:rsidR="005100A0" w:rsidRPr="00CB149C">
              <w:rPr>
                <w:sz w:val="24"/>
                <w:szCs w:val="24"/>
              </w:rPr>
              <w:t>Emotional Stability</w:t>
            </w:r>
            <w:r w:rsidRPr="00CB149C">
              <w:rPr>
                <w:sz w:val="24"/>
                <w:szCs w:val="24"/>
              </w:rPr>
              <w:t xml:space="preserve"> = </w:t>
            </w:r>
            <w:r w:rsidR="00DB4C07" w:rsidRPr="00CB149C">
              <w:rPr>
                <w:sz w:val="24"/>
                <w:szCs w:val="24"/>
              </w:rPr>
              <w:t>$1,814</w:t>
            </w:r>
            <w:r w:rsidRPr="00CB149C">
              <w:rPr>
                <w:sz w:val="24"/>
                <w:szCs w:val="24"/>
              </w:rPr>
              <w:t xml:space="preserve">, and </w:t>
            </w:r>
            <w:r w:rsidR="005100A0" w:rsidRPr="00CB149C">
              <w:rPr>
                <w:sz w:val="24"/>
                <w:szCs w:val="24"/>
              </w:rPr>
              <w:t>Openness</w:t>
            </w:r>
            <w:r w:rsidRPr="00CB149C">
              <w:rPr>
                <w:sz w:val="24"/>
                <w:szCs w:val="24"/>
              </w:rPr>
              <w:t xml:space="preserve"> = </w:t>
            </w:r>
            <w:r w:rsidR="00DB4C07" w:rsidRPr="00CB149C">
              <w:rPr>
                <w:sz w:val="24"/>
                <w:szCs w:val="24"/>
              </w:rPr>
              <w:t>$1,209</w:t>
            </w:r>
            <w:r w:rsidRPr="00CB149C">
              <w:rPr>
                <w:sz w:val="24"/>
                <w:szCs w:val="24"/>
              </w:rPr>
              <w:t xml:space="preserve">. By point of comparison, going up 1 standard deviation in socioeconomic status was associated with </w:t>
            </w:r>
            <w:r w:rsidR="00DB4C07" w:rsidRPr="00CB149C">
              <w:rPr>
                <w:sz w:val="24"/>
                <w:szCs w:val="24"/>
              </w:rPr>
              <w:t xml:space="preserve">$4,233 in additional </w:t>
            </w:r>
            <w:r w:rsidR="004C33E7" w:rsidRPr="00CB149C">
              <w:rPr>
                <w:sz w:val="24"/>
                <w:szCs w:val="24"/>
              </w:rPr>
              <w:t xml:space="preserve">annual </w:t>
            </w:r>
            <w:r w:rsidR="00DB4C07" w:rsidRPr="00CB149C">
              <w:rPr>
                <w:sz w:val="24"/>
                <w:szCs w:val="24"/>
              </w:rPr>
              <w:t>income</w:t>
            </w:r>
            <w:r w:rsidR="00AD15BA" w:rsidRPr="00CB149C">
              <w:rPr>
                <w:sz w:val="24"/>
                <w:szCs w:val="24"/>
              </w:rPr>
              <w:t>.</w:t>
            </w:r>
          </w:p>
          <w:p w:rsidR="00AD15BA" w:rsidRPr="00CB149C" w:rsidRDefault="00AD15BA" w:rsidP="00A45D9B">
            <w:pPr>
              <w:rPr>
                <w:sz w:val="24"/>
                <w:szCs w:val="24"/>
              </w:rPr>
            </w:pPr>
          </w:p>
          <w:p w:rsidR="00A45D9B" w:rsidRPr="00CB149C" w:rsidRDefault="00A45D9B" w:rsidP="00A45D9B">
            <w:pPr>
              <w:rPr>
                <w:sz w:val="24"/>
                <w:szCs w:val="24"/>
              </w:rPr>
            </w:pPr>
            <w:r w:rsidRPr="00CB149C">
              <w:rPr>
                <w:rFonts w:cs="Times New Roman"/>
                <w:sz w:val="24"/>
                <w:szCs w:val="24"/>
              </w:rPr>
              <w:t xml:space="preserve">Finally, a study of a nationally representative sample of 18- and 19-year-old Swedish men found that a 25-minute interview designed to measure characteristics such as responsibility, independence, outgoingness, persistence, </w:t>
            </w:r>
            <w:r w:rsidR="005100A0" w:rsidRPr="00CB149C">
              <w:rPr>
                <w:rFonts w:cs="Times New Roman"/>
                <w:sz w:val="24"/>
                <w:szCs w:val="24"/>
              </w:rPr>
              <w:t>Emotional Stability</w:t>
            </w:r>
            <w:r w:rsidRPr="00CB149C">
              <w:rPr>
                <w:rFonts w:cs="Times New Roman"/>
                <w:sz w:val="24"/>
                <w:szCs w:val="24"/>
              </w:rPr>
              <w:t xml:space="preserve">, and initiative </w:t>
            </w:r>
            <w:r w:rsidRPr="00CB149C">
              <w:rPr>
                <w:rFonts w:cs="Times New Roman"/>
                <w:sz w:val="24"/>
                <w:szCs w:val="24"/>
              </w:rPr>
              <w:lastRenderedPageBreak/>
              <w:t>was a better predictor of wages and unemployment 14–21 years later than were measures of cognitive ability (Lindqvist &amp; Vestman, 2011).</w:t>
            </w:r>
          </w:p>
          <w:p w:rsidR="00A45D9B" w:rsidRPr="00CB149C" w:rsidRDefault="00A45D9B" w:rsidP="00A45D9B">
            <w:pPr>
              <w:pStyle w:val="ListParagraph"/>
              <w:spacing w:after="0" w:line="240" w:lineRule="auto"/>
              <w:ind w:left="0"/>
              <w:rPr>
                <w:sz w:val="24"/>
                <w:szCs w:val="24"/>
              </w:rPr>
            </w:pPr>
          </w:p>
          <w:p w:rsidR="00A45D9B" w:rsidRPr="00CB149C" w:rsidRDefault="00A45D9B" w:rsidP="00A45D9B">
            <w:pPr>
              <w:rPr>
                <w:b/>
                <w:sz w:val="24"/>
                <w:szCs w:val="24"/>
              </w:rPr>
            </w:pPr>
            <w:r w:rsidRPr="00CB149C">
              <w:rPr>
                <w:b/>
                <w:sz w:val="24"/>
                <w:szCs w:val="24"/>
              </w:rPr>
              <w:t>The Current Challenge</w:t>
            </w:r>
          </w:p>
          <w:p w:rsidR="00A45D9B" w:rsidRPr="00CB149C" w:rsidRDefault="00A45D9B" w:rsidP="00A45D9B">
            <w:pPr>
              <w:rPr>
                <w:rFonts w:cs="Times New Roman"/>
                <w:sz w:val="24"/>
                <w:szCs w:val="24"/>
                <w:lang w:eastAsia="de-DE"/>
              </w:rPr>
            </w:pPr>
            <w:r w:rsidRPr="00CB149C">
              <w:rPr>
                <w:rFonts w:cs="Times New Roman"/>
                <w:sz w:val="24"/>
                <w:szCs w:val="24"/>
                <w:lang w:eastAsia="de-DE"/>
              </w:rPr>
              <w:t xml:space="preserve">Noncognitive skills are clearly important for </w:t>
            </w:r>
            <w:r w:rsidR="00287664" w:rsidRPr="00CB149C">
              <w:rPr>
                <w:rFonts w:cs="Times New Roman"/>
                <w:sz w:val="24"/>
                <w:szCs w:val="24"/>
                <w:lang w:eastAsia="de-DE"/>
              </w:rPr>
              <w:t xml:space="preserve">career </w:t>
            </w:r>
            <w:r w:rsidRPr="00CB149C">
              <w:rPr>
                <w:rFonts w:cs="Times New Roman"/>
                <w:sz w:val="24"/>
                <w:szCs w:val="24"/>
                <w:lang w:eastAsia="de-DE"/>
              </w:rPr>
              <w:t xml:space="preserve">outcomes such as performance, counterproductive workplace behavior and satisfaction. However, most students are not assessed on their noncognitive skills in a reliable and valid manner. Thus, parents and teachers have little information on their students’ standings on these factors. As such, they have little information </w:t>
            </w:r>
            <w:r w:rsidR="00897A8B" w:rsidRPr="00CB149C">
              <w:rPr>
                <w:rFonts w:cs="Times New Roman"/>
                <w:sz w:val="24"/>
                <w:szCs w:val="24"/>
                <w:lang w:eastAsia="de-DE"/>
              </w:rPr>
              <w:t xml:space="preserve">on </w:t>
            </w:r>
            <w:r w:rsidRPr="00CB149C">
              <w:rPr>
                <w:rFonts w:cs="Times New Roman"/>
                <w:sz w:val="24"/>
                <w:szCs w:val="24"/>
                <w:lang w:eastAsia="de-DE"/>
              </w:rPr>
              <w:t>which to base interventions that can ultimately improve their work life.</w:t>
            </w:r>
          </w:p>
          <w:p w:rsidR="00A45D9B" w:rsidRPr="00CB149C" w:rsidRDefault="00A45D9B" w:rsidP="00A45D9B">
            <w:pPr>
              <w:rPr>
                <w:sz w:val="24"/>
                <w:szCs w:val="24"/>
              </w:rPr>
            </w:pPr>
          </w:p>
          <w:p w:rsidR="00A45D9B" w:rsidRPr="00CB149C" w:rsidRDefault="00A45D9B" w:rsidP="00A45D9B">
            <w:pPr>
              <w:rPr>
                <w:b/>
                <w:sz w:val="24"/>
                <w:szCs w:val="24"/>
              </w:rPr>
            </w:pPr>
            <w:r w:rsidRPr="00CB149C">
              <w:rPr>
                <w:b/>
                <w:sz w:val="24"/>
                <w:szCs w:val="24"/>
              </w:rPr>
              <w:t>The Solution</w:t>
            </w:r>
          </w:p>
          <w:p w:rsidR="0057292B" w:rsidRPr="00CB149C" w:rsidRDefault="00BD49EE" w:rsidP="00897A8B">
            <w:pPr>
              <w:rPr>
                <w:rFonts w:cs="Times New Roman"/>
                <w:sz w:val="24"/>
                <w:szCs w:val="24"/>
                <w:lang w:eastAsia="de-DE"/>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A45D9B" w:rsidRPr="00CB149C">
              <w:rPr>
                <w:rFonts w:cs="Times New Roman"/>
                <w:sz w:val="24"/>
                <w:szCs w:val="24"/>
                <w:lang w:eastAsia="de-DE"/>
              </w:rPr>
              <w:t>This will aid in the effective implementation of interventions that can result in increased work related outcomes.</w:t>
            </w:r>
          </w:p>
          <w:p w:rsidR="00AD15BA" w:rsidRPr="00CB149C" w:rsidRDefault="00AD15BA" w:rsidP="00897A8B">
            <w:pPr>
              <w:rPr>
                <w:rFonts w:cs="Times New Roman"/>
                <w:sz w:val="24"/>
                <w:szCs w:val="24"/>
                <w:lang w:eastAsia="de-DE"/>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16</w:t>
            </w:r>
          </w:p>
        </w:tc>
        <w:tc>
          <w:tcPr>
            <w:tcW w:w="9035" w:type="dxa"/>
          </w:tcPr>
          <w:p w:rsidR="00AA12B0" w:rsidRPr="00CB149C" w:rsidRDefault="00AA12B0" w:rsidP="00AD15BA">
            <w:pPr>
              <w:spacing w:line="259" w:lineRule="auto"/>
              <w:jc w:val="center"/>
              <w:rPr>
                <w:b/>
                <w:sz w:val="24"/>
                <w:szCs w:val="24"/>
              </w:rPr>
            </w:pPr>
            <w:r w:rsidRPr="00CB149C">
              <w:rPr>
                <w:b/>
                <w:sz w:val="24"/>
                <w:szCs w:val="24"/>
              </w:rPr>
              <w:t>Improved noncognitive skills lead to increased life satisfaction and well-being</w:t>
            </w:r>
          </w:p>
          <w:p w:rsidR="00AD15BA" w:rsidRPr="00CB149C" w:rsidRDefault="00AD15BA" w:rsidP="00AD15BA">
            <w:pPr>
              <w:rPr>
                <w:b/>
                <w:sz w:val="24"/>
                <w:szCs w:val="24"/>
              </w:rPr>
            </w:pPr>
          </w:p>
          <w:p w:rsidR="00A45D9B" w:rsidRPr="00CB149C" w:rsidRDefault="00A45D9B" w:rsidP="00AD15BA">
            <w:pPr>
              <w:rPr>
                <w:sz w:val="24"/>
                <w:szCs w:val="24"/>
              </w:rPr>
            </w:pPr>
            <w:r w:rsidRPr="00CB149C">
              <w:rPr>
                <w:b/>
                <w:sz w:val="24"/>
                <w:szCs w:val="24"/>
              </w:rPr>
              <w:t>Research/Logic argument</w:t>
            </w:r>
          </w:p>
          <w:p w:rsidR="00A45D9B" w:rsidRPr="00CB149C" w:rsidRDefault="00A45D9B" w:rsidP="00A45D9B">
            <w:pPr>
              <w:rPr>
                <w:rFonts w:cs="Times New Roman"/>
                <w:sz w:val="24"/>
                <w:szCs w:val="24"/>
                <w:lang w:eastAsia="de-DE"/>
              </w:rPr>
            </w:pPr>
            <w:r w:rsidRPr="00CB149C">
              <w:rPr>
                <w:rFonts w:cs="Times New Roman"/>
                <w:sz w:val="24"/>
                <w:szCs w:val="24"/>
                <w:lang w:eastAsia="de-DE"/>
              </w:rPr>
              <w:t>The relation between life satisfaction and noncognitive factors has been studied extensively. There is evidence o</w:t>
            </w:r>
            <w:r w:rsidR="00AA51D4" w:rsidRPr="00CB149C">
              <w:rPr>
                <w:rFonts w:cs="Times New Roman"/>
                <w:sz w:val="24"/>
                <w:szCs w:val="24"/>
                <w:lang w:eastAsia="de-DE"/>
              </w:rPr>
              <w:t>f</w:t>
            </w:r>
            <w:r w:rsidRPr="00CB149C">
              <w:rPr>
                <w:rFonts w:cs="Times New Roman"/>
                <w:sz w:val="24"/>
                <w:szCs w:val="24"/>
                <w:lang w:eastAsia="de-DE"/>
              </w:rPr>
              <w:t xml:space="preserve"> substantial effects of several of the Big Five Factors on overall life satisfaction. Meta-analysis shows that all of the Big Five factors</w:t>
            </w:r>
            <w:r w:rsidR="00CE5113" w:rsidRPr="00CB149C">
              <w:rPr>
                <w:rFonts w:cs="Times New Roman"/>
                <w:sz w:val="24"/>
                <w:szCs w:val="24"/>
                <w:lang w:eastAsia="de-DE"/>
              </w:rPr>
              <w:t>,</w:t>
            </w:r>
            <w:r w:rsidRPr="00CB149C">
              <w:rPr>
                <w:rFonts w:cs="Times New Roman"/>
                <w:sz w:val="24"/>
                <w:szCs w:val="24"/>
                <w:lang w:eastAsia="de-DE"/>
              </w:rPr>
              <w:t xml:space="preserve"> except </w:t>
            </w:r>
            <w:r w:rsidR="005100A0" w:rsidRPr="00CB149C">
              <w:rPr>
                <w:rFonts w:cs="Times New Roman"/>
                <w:sz w:val="24"/>
                <w:szCs w:val="24"/>
                <w:lang w:eastAsia="de-DE"/>
              </w:rPr>
              <w:t>Openness</w:t>
            </w:r>
            <w:r w:rsidR="00CE5113" w:rsidRPr="00CB149C">
              <w:rPr>
                <w:rFonts w:cs="Times New Roman"/>
                <w:sz w:val="24"/>
                <w:szCs w:val="24"/>
                <w:lang w:eastAsia="de-DE"/>
              </w:rPr>
              <w:t>,</w:t>
            </w:r>
            <w:r w:rsidRPr="00CB149C">
              <w:rPr>
                <w:rFonts w:cs="Times New Roman"/>
                <w:sz w:val="24"/>
                <w:szCs w:val="24"/>
                <w:lang w:eastAsia="de-DE"/>
              </w:rPr>
              <w:t xml:space="preserve"> are substantially related to longevity or mortality (Almlund, Duckworth, Heckman, &amp; Kautz, 2011; Borghans, Duckworth, Heckman, Weel, 2008; Roberts et al., 2007). </w:t>
            </w:r>
            <w:r w:rsidR="00C024F4" w:rsidRPr="00CB149C">
              <w:rPr>
                <w:rFonts w:cs="Times New Roman"/>
                <w:sz w:val="24"/>
                <w:szCs w:val="24"/>
                <w:lang w:eastAsia="de-DE"/>
              </w:rPr>
              <w:t>In addition, another meta-analysis found that</w:t>
            </w:r>
            <w:r w:rsidR="004E1422">
              <w:rPr>
                <w:rFonts w:cs="Times New Roman"/>
                <w:sz w:val="24"/>
                <w:szCs w:val="24"/>
                <w:lang w:eastAsia="de-DE"/>
              </w:rPr>
              <w:t xml:space="preserve"> low</w:t>
            </w:r>
            <w:r w:rsidR="00C024F4" w:rsidRPr="00CB149C">
              <w:rPr>
                <w:rFonts w:cs="Times New Roman"/>
                <w:sz w:val="24"/>
                <w:szCs w:val="24"/>
                <w:lang w:eastAsia="de-DE"/>
              </w:rPr>
              <w:t xml:space="preserve"> Conscientiousness is predictive of a number of risky health behaviors, such as tobacco and alcohol use, risky driving, and risky sexual behavior; </w:t>
            </w:r>
            <w:r w:rsidR="004E1422">
              <w:rPr>
                <w:rFonts w:cs="Times New Roman"/>
                <w:sz w:val="24"/>
                <w:szCs w:val="24"/>
                <w:lang w:eastAsia="de-DE"/>
              </w:rPr>
              <w:t>while high Conscientiousness is</w:t>
            </w:r>
            <w:r w:rsidR="00C024F4" w:rsidRPr="00CB149C">
              <w:rPr>
                <w:rFonts w:cs="Times New Roman"/>
                <w:sz w:val="24"/>
                <w:szCs w:val="24"/>
                <w:lang w:eastAsia="de-DE"/>
              </w:rPr>
              <w:t xml:space="preserve"> predictive of positive health behavior</w:t>
            </w:r>
            <w:r w:rsidR="004E1422">
              <w:rPr>
                <w:rFonts w:cs="Times New Roman"/>
                <w:sz w:val="24"/>
                <w:szCs w:val="24"/>
                <w:lang w:eastAsia="de-DE"/>
              </w:rPr>
              <w:t>s</w:t>
            </w:r>
            <w:r w:rsidR="00C024F4" w:rsidRPr="00CB149C">
              <w:rPr>
                <w:rFonts w:cs="Times New Roman"/>
                <w:sz w:val="24"/>
                <w:szCs w:val="24"/>
                <w:lang w:eastAsia="de-DE"/>
              </w:rPr>
              <w:t xml:space="preserve">, such as </w:t>
            </w:r>
            <w:r w:rsidR="004E1422">
              <w:rPr>
                <w:rFonts w:cs="Times New Roman"/>
                <w:sz w:val="24"/>
                <w:szCs w:val="24"/>
                <w:lang w:eastAsia="de-DE"/>
              </w:rPr>
              <w:t>exercising and eating right</w:t>
            </w:r>
            <w:r w:rsidR="00C024F4" w:rsidRPr="00CB149C">
              <w:rPr>
                <w:rFonts w:cs="Times New Roman"/>
                <w:sz w:val="24"/>
                <w:szCs w:val="24"/>
                <w:lang w:eastAsia="de-DE"/>
              </w:rPr>
              <w:t xml:space="preserve"> (</w:t>
            </w:r>
            <w:r w:rsidR="004E1422">
              <w:rPr>
                <w:rFonts w:cs="Times New Roman"/>
                <w:sz w:val="24"/>
                <w:szCs w:val="24"/>
                <w:lang w:eastAsia="de-DE"/>
              </w:rPr>
              <w:t xml:space="preserve">e.g., </w:t>
            </w:r>
            <w:r w:rsidR="00C024F4" w:rsidRPr="00CB149C">
              <w:rPr>
                <w:rFonts w:cs="Times New Roman"/>
                <w:sz w:val="24"/>
                <w:szCs w:val="24"/>
                <w:lang w:eastAsia="de-DE"/>
              </w:rPr>
              <w:t xml:space="preserve">Bogg &amp; Roberts, 2004). </w:t>
            </w:r>
            <w:r w:rsidRPr="00CB149C">
              <w:rPr>
                <w:rFonts w:cs="Times New Roman"/>
                <w:sz w:val="24"/>
                <w:szCs w:val="24"/>
                <w:lang w:eastAsia="de-DE"/>
              </w:rPr>
              <w:t xml:space="preserve">Extraversion, </w:t>
            </w:r>
            <w:r w:rsidR="008A64E8" w:rsidRPr="00CB149C">
              <w:rPr>
                <w:rFonts w:cs="Times New Roman"/>
                <w:sz w:val="24"/>
                <w:szCs w:val="24"/>
                <w:lang w:eastAsia="de-DE"/>
              </w:rPr>
              <w:t>Emotional Stability,</w:t>
            </w:r>
            <w:r w:rsidR="00287664" w:rsidRPr="00CB149C">
              <w:rPr>
                <w:rFonts w:cs="Times New Roman"/>
                <w:sz w:val="24"/>
                <w:szCs w:val="24"/>
                <w:lang w:eastAsia="de-DE"/>
              </w:rPr>
              <w:t xml:space="preserve"> </w:t>
            </w:r>
            <w:r w:rsidRPr="00CB149C">
              <w:rPr>
                <w:rFonts w:cs="Times New Roman"/>
                <w:sz w:val="24"/>
                <w:szCs w:val="24"/>
                <w:lang w:eastAsia="de-DE"/>
              </w:rPr>
              <w:t xml:space="preserve">and </w:t>
            </w:r>
            <w:r w:rsidR="005100A0" w:rsidRPr="00CB149C">
              <w:rPr>
                <w:rFonts w:cs="Times New Roman"/>
                <w:sz w:val="24"/>
                <w:szCs w:val="24"/>
                <w:lang w:eastAsia="de-DE"/>
              </w:rPr>
              <w:t>Conscientiousness</w:t>
            </w:r>
            <w:r w:rsidR="00287664" w:rsidRPr="00CB149C">
              <w:rPr>
                <w:rFonts w:cs="Times New Roman"/>
                <w:sz w:val="24"/>
                <w:szCs w:val="24"/>
                <w:lang w:eastAsia="de-DE"/>
              </w:rPr>
              <w:t xml:space="preserve"> </w:t>
            </w:r>
            <w:r w:rsidRPr="00CB149C">
              <w:rPr>
                <w:rFonts w:cs="Times New Roman"/>
                <w:sz w:val="24"/>
                <w:szCs w:val="24"/>
                <w:lang w:eastAsia="de-DE"/>
              </w:rPr>
              <w:t>are important predictors of happiness or overall life satisfaction (</w:t>
            </w:r>
            <w:r w:rsidRPr="00CB149C">
              <w:rPr>
                <w:rFonts w:cstheme="minorHAnsi"/>
                <w:sz w:val="24"/>
                <w:szCs w:val="24"/>
                <w:lang w:eastAsia="de-DE"/>
              </w:rPr>
              <w:t>Diener &amp; Lucas, 1999; Roberts et al. 2007)</w:t>
            </w:r>
            <w:r w:rsidRPr="00CB149C">
              <w:rPr>
                <w:rFonts w:cs="Times New Roman"/>
                <w:sz w:val="24"/>
                <w:szCs w:val="24"/>
                <w:lang w:eastAsia="de-DE"/>
              </w:rPr>
              <w:t>, particularly when measure</w:t>
            </w:r>
            <w:r w:rsidR="003F5929" w:rsidRPr="00CB149C">
              <w:rPr>
                <w:rFonts w:cs="Times New Roman"/>
                <w:sz w:val="24"/>
                <w:szCs w:val="24"/>
                <w:lang w:eastAsia="de-DE"/>
              </w:rPr>
              <w:t>d</w:t>
            </w:r>
            <w:r w:rsidRPr="00CB149C">
              <w:rPr>
                <w:rFonts w:cs="Times New Roman"/>
                <w:sz w:val="24"/>
                <w:szCs w:val="24"/>
                <w:lang w:eastAsia="de-DE"/>
              </w:rPr>
              <w:t xml:space="preserve"> </w:t>
            </w:r>
            <w:r w:rsidR="003F5929" w:rsidRPr="00CB149C">
              <w:rPr>
                <w:rFonts w:cs="Times New Roman"/>
                <w:sz w:val="24"/>
                <w:szCs w:val="24"/>
                <w:lang w:eastAsia="de-DE"/>
              </w:rPr>
              <w:t xml:space="preserve">at the </w:t>
            </w:r>
            <w:r w:rsidRPr="00CB149C">
              <w:rPr>
                <w:rFonts w:cs="Times New Roman"/>
                <w:sz w:val="24"/>
                <w:szCs w:val="24"/>
                <w:lang w:eastAsia="de-DE"/>
              </w:rPr>
              <w:t>facet</w:t>
            </w:r>
            <w:r w:rsidR="003F5929" w:rsidRPr="00CB149C">
              <w:rPr>
                <w:rFonts w:cs="Times New Roman"/>
                <w:sz w:val="24"/>
                <w:szCs w:val="24"/>
                <w:lang w:eastAsia="de-DE"/>
              </w:rPr>
              <w:t xml:space="preserve"> level</w:t>
            </w:r>
            <w:r w:rsidRPr="00CB149C">
              <w:rPr>
                <w:rFonts w:cs="Times New Roman"/>
                <w:sz w:val="24"/>
                <w:szCs w:val="24"/>
                <w:lang w:eastAsia="de-DE"/>
              </w:rPr>
              <w:t xml:space="preserve"> (Schimmack, Oishi, Furr, &amp; Funder, 2004; Schimmack, Radhakrishnan, Oishi, Dzokoto, &amp; Ahadi, 2002). These relations have the same magnitude as SES and cognitive ability (Roberts et. al, 2007). Taken together, they can account for life satisfaction variance up to 41% or 63% unattenuated (Steel, Schmidt, &amp; Schultz, 2008).</w:t>
            </w:r>
          </w:p>
          <w:p w:rsidR="00A45D9B" w:rsidRPr="00CB149C" w:rsidRDefault="00A45D9B" w:rsidP="00A45D9B">
            <w:pPr>
              <w:pStyle w:val="ListParagraph"/>
              <w:spacing w:after="0" w:line="240" w:lineRule="auto"/>
              <w:ind w:left="0"/>
              <w:rPr>
                <w:sz w:val="24"/>
                <w:szCs w:val="24"/>
              </w:rPr>
            </w:pPr>
          </w:p>
          <w:p w:rsidR="00A45D9B" w:rsidRPr="00CB149C" w:rsidRDefault="00A45D9B" w:rsidP="00A45D9B">
            <w:pPr>
              <w:rPr>
                <w:b/>
                <w:sz w:val="24"/>
                <w:szCs w:val="24"/>
              </w:rPr>
            </w:pPr>
            <w:r w:rsidRPr="00CB149C">
              <w:rPr>
                <w:b/>
                <w:sz w:val="24"/>
                <w:szCs w:val="24"/>
              </w:rPr>
              <w:t>The Current Challenge</w:t>
            </w:r>
          </w:p>
          <w:p w:rsidR="00A45D9B" w:rsidRPr="00CB149C" w:rsidRDefault="00A45D9B" w:rsidP="00A45D9B">
            <w:pPr>
              <w:rPr>
                <w:rFonts w:cs="Times New Roman"/>
                <w:sz w:val="24"/>
                <w:szCs w:val="24"/>
                <w:lang w:eastAsia="de-DE"/>
              </w:rPr>
            </w:pPr>
            <w:r w:rsidRPr="00CB149C">
              <w:rPr>
                <w:rFonts w:cs="Times New Roman"/>
                <w:sz w:val="24"/>
                <w:szCs w:val="24"/>
                <w:lang w:eastAsia="de-DE"/>
              </w:rPr>
              <w:t xml:space="preserve">Noncognitive skills are clearly important for life outcomes. However, most students are not assessed on their noncognitive skills in a reliable and valid manner. Thus, parents and teachers have little information on their students’ standings on these factors. As such, they have little information </w:t>
            </w:r>
            <w:r w:rsidR="00CE5113" w:rsidRPr="00CB149C">
              <w:rPr>
                <w:rFonts w:cs="Times New Roman"/>
                <w:sz w:val="24"/>
                <w:szCs w:val="24"/>
                <w:lang w:eastAsia="de-DE"/>
              </w:rPr>
              <w:t xml:space="preserve">on </w:t>
            </w:r>
            <w:r w:rsidRPr="00CB149C">
              <w:rPr>
                <w:rFonts w:cs="Times New Roman"/>
                <w:sz w:val="24"/>
                <w:szCs w:val="24"/>
                <w:lang w:eastAsia="de-DE"/>
              </w:rPr>
              <w:t>which to base interventions that can ultimately improve their life satisfaction</w:t>
            </w:r>
            <w:r w:rsidR="00287664" w:rsidRPr="00CB149C">
              <w:rPr>
                <w:rFonts w:cs="Times New Roman"/>
                <w:sz w:val="24"/>
                <w:szCs w:val="24"/>
                <w:lang w:eastAsia="de-DE"/>
              </w:rPr>
              <w:t xml:space="preserve"> and well-being</w:t>
            </w:r>
            <w:r w:rsidRPr="00CB149C">
              <w:rPr>
                <w:rFonts w:cs="Times New Roman"/>
                <w:sz w:val="24"/>
                <w:szCs w:val="24"/>
                <w:lang w:eastAsia="de-DE"/>
              </w:rPr>
              <w:t>.</w:t>
            </w:r>
          </w:p>
          <w:p w:rsidR="00A45D9B" w:rsidRPr="00CB149C" w:rsidRDefault="00A45D9B" w:rsidP="00A45D9B">
            <w:pPr>
              <w:rPr>
                <w:sz w:val="24"/>
                <w:szCs w:val="24"/>
              </w:rPr>
            </w:pPr>
          </w:p>
          <w:p w:rsidR="00A45D9B" w:rsidRPr="00CB149C" w:rsidRDefault="00A45D9B" w:rsidP="00A45D9B">
            <w:pPr>
              <w:rPr>
                <w:b/>
                <w:sz w:val="24"/>
                <w:szCs w:val="24"/>
              </w:rPr>
            </w:pPr>
            <w:r w:rsidRPr="00CB149C">
              <w:rPr>
                <w:b/>
                <w:sz w:val="24"/>
                <w:szCs w:val="24"/>
              </w:rPr>
              <w:lastRenderedPageBreak/>
              <w:t>The Solution</w:t>
            </w:r>
          </w:p>
          <w:p w:rsidR="0057292B" w:rsidRPr="00CB149C" w:rsidRDefault="00BD49EE" w:rsidP="00CE5113">
            <w:pPr>
              <w:rPr>
                <w:rFonts w:cs="Times New Roman"/>
                <w:sz w:val="24"/>
                <w:szCs w:val="24"/>
                <w:lang w:eastAsia="de-DE"/>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A45D9B" w:rsidRPr="00CB149C">
              <w:rPr>
                <w:rFonts w:cs="Times New Roman"/>
                <w:sz w:val="24"/>
                <w:szCs w:val="24"/>
                <w:lang w:eastAsia="de-DE"/>
              </w:rPr>
              <w:t>This will aid in the effective implementation of interventions that can result in increased life satisfaction and health related outcomes.</w:t>
            </w:r>
          </w:p>
          <w:p w:rsidR="00AD15BA" w:rsidRPr="00CB149C" w:rsidRDefault="00AD15BA" w:rsidP="00CE5113">
            <w:pPr>
              <w:rPr>
                <w:rFonts w:cs="Times New Roman"/>
                <w:sz w:val="24"/>
                <w:szCs w:val="24"/>
                <w:lang w:eastAsia="de-DE"/>
              </w:rPr>
            </w:pPr>
          </w:p>
        </w:tc>
      </w:tr>
      <w:tr w:rsidR="0057292B" w:rsidRPr="00CB149C" w:rsidTr="00D418B4">
        <w:tc>
          <w:tcPr>
            <w:tcW w:w="0" w:type="auto"/>
            <w:vAlign w:val="center"/>
          </w:tcPr>
          <w:p w:rsidR="0057292B" w:rsidRPr="00CB149C" w:rsidRDefault="0057292B" w:rsidP="0057292B">
            <w:pPr>
              <w:jc w:val="center"/>
              <w:rPr>
                <w:b/>
                <w:sz w:val="24"/>
                <w:szCs w:val="24"/>
              </w:rPr>
            </w:pPr>
            <w:r w:rsidRPr="00CB149C">
              <w:rPr>
                <w:b/>
                <w:sz w:val="24"/>
                <w:szCs w:val="24"/>
              </w:rPr>
              <w:lastRenderedPageBreak/>
              <w:t>17</w:t>
            </w:r>
          </w:p>
        </w:tc>
        <w:tc>
          <w:tcPr>
            <w:tcW w:w="9035" w:type="dxa"/>
          </w:tcPr>
          <w:p w:rsidR="006C6EE0" w:rsidRPr="00CB149C" w:rsidRDefault="006C6EE0" w:rsidP="00AD15BA">
            <w:pPr>
              <w:spacing w:line="259" w:lineRule="auto"/>
              <w:jc w:val="center"/>
              <w:rPr>
                <w:b/>
                <w:sz w:val="24"/>
                <w:szCs w:val="24"/>
              </w:rPr>
            </w:pPr>
            <w:r w:rsidRPr="00CB149C">
              <w:rPr>
                <w:b/>
                <w:sz w:val="24"/>
                <w:szCs w:val="24"/>
              </w:rPr>
              <w:t xml:space="preserve">Improved </w:t>
            </w:r>
            <w:r w:rsidR="00AA12B0" w:rsidRPr="00CB149C">
              <w:rPr>
                <w:b/>
                <w:sz w:val="24"/>
                <w:szCs w:val="24"/>
              </w:rPr>
              <w:t xml:space="preserve">job performance and satisfaction </w:t>
            </w:r>
            <w:r w:rsidRPr="00CB149C">
              <w:rPr>
                <w:b/>
                <w:sz w:val="24"/>
                <w:szCs w:val="24"/>
              </w:rPr>
              <w:t>lead to increased life satisfaction and well-being</w:t>
            </w:r>
          </w:p>
          <w:p w:rsidR="00AD15BA" w:rsidRPr="00CB149C" w:rsidRDefault="00AD15BA" w:rsidP="00AD15BA">
            <w:pPr>
              <w:rPr>
                <w:b/>
                <w:sz w:val="24"/>
                <w:szCs w:val="24"/>
              </w:rPr>
            </w:pPr>
          </w:p>
          <w:p w:rsidR="00A45D9B" w:rsidRPr="00CB149C" w:rsidRDefault="00A45D9B" w:rsidP="00AD15BA">
            <w:pPr>
              <w:rPr>
                <w:sz w:val="24"/>
                <w:szCs w:val="24"/>
              </w:rPr>
            </w:pPr>
            <w:r w:rsidRPr="00CB149C">
              <w:rPr>
                <w:b/>
                <w:sz w:val="24"/>
                <w:szCs w:val="24"/>
              </w:rPr>
              <w:t xml:space="preserve">Research/Logic </w:t>
            </w:r>
            <w:r w:rsidR="00AD15BA" w:rsidRPr="00CB149C">
              <w:rPr>
                <w:b/>
                <w:sz w:val="24"/>
                <w:szCs w:val="24"/>
              </w:rPr>
              <w:t>A</w:t>
            </w:r>
            <w:r w:rsidRPr="00CB149C">
              <w:rPr>
                <w:b/>
                <w:sz w:val="24"/>
                <w:szCs w:val="24"/>
              </w:rPr>
              <w:t>rgument</w:t>
            </w:r>
          </w:p>
          <w:p w:rsidR="00A45D9B" w:rsidRPr="00CB149C" w:rsidRDefault="00A45D9B" w:rsidP="00A45D9B">
            <w:pPr>
              <w:rPr>
                <w:sz w:val="24"/>
                <w:szCs w:val="24"/>
              </w:rPr>
            </w:pPr>
            <w:r w:rsidRPr="00CB149C">
              <w:rPr>
                <w:rFonts w:cs="Times New Roman"/>
                <w:sz w:val="24"/>
                <w:szCs w:val="24"/>
                <w:lang w:eastAsia="de-DE"/>
              </w:rPr>
              <w:t>Based on OECD statistics, the average working time in the United States is around 1</w:t>
            </w:r>
            <w:r w:rsidR="002C7F01" w:rsidRPr="00CB149C">
              <w:rPr>
                <w:rFonts w:cs="Times New Roman"/>
                <w:sz w:val="24"/>
                <w:szCs w:val="24"/>
                <w:lang w:eastAsia="de-DE"/>
              </w:rPr>
              <w:t>,</w:t>
            </w:r>
            <w:r w:rsidRPr="00CB149C">
              <w:rPr>
                <w:rFonts w:cs="Times New Roman"/>
                <w:sz w:val="24"/>
                <w:szCs w:val="24"/>
                <w:lang w:eastAsia="de-DE"/>
              </w:rPr>
              <w:t xml:space="preserve">800 hours per year in 2014. Since work life occupies a large proportion of life, the influence of job satisfaction on overall life satisfaction is non-trivial. There is substantial research evidence that job satisfaction is related to life satisfaction. </w:t>
            </w:r>
            <w:r w:rsidRPr="00CB149C">
              <w:rPr>
                <w:sz w:val="24"/>
                <w:szCs w:val="24"/>
              </w:rPr>
              <w:t>A meta-analysis covering more than 350 job-satisfaction/life-satisfaction relationships reported in 23 widely varying studies (Rice, Near, &amp; Hunt, 1980) show</w:t>
            </w:r>
            <w:r w:rsidR="003F5929" w:rsidRPr="00CB149C">
              <w:rPr>
                <w:sz w:val="24"/>
                <w:szCs w:val="24"/>
              </w:rPr>
              <w:t>ed</w:t>
            </w:r>
            <w:r w:rsidRPr="00CB149C">
              <w:rPr>
                <w:sz w:val="24"/>
                <w:szCs w:val="24"/>
              </w:rPr>
              <w:t xml:space="preserve"> that for more than 90% of the cases, the direction of this relationship is positive. </w:t>
            </w:r>
            <w:r w:rsidR="006F1393" w:rsidRPr="00CB149C">
              <w:rPr>
                <w:sz w:val="24"/>
                <w:szCs w:val="24"/>
              </w:rPr>
              <w:t xml:space="preserve">The other 10% of cases suffered from unreliable measurement of satisfaction. </w:t>
            </w:r>
            <w:r w:rsidRPr="00CB149C">
              <w:rPr>
                <w:sz w:val="24"/>
                <w:szCs w:val="24"/>
              </w:rPr>
              <w:t>The relationship between job satisfaction and overall life satisfaction is typically modest, with correlations around .3</w:t>
            </w:r>
            <w:r w:rsidR="00DF62B3" w:rsidRPr="00CB149C">
              <w:rPr>
                <w:sz w:val="24"/>
                <w:szCs w:val="24"/>
              </w:rPr>
              <w:t>0</w:t>
            </w:r>
            <w:r w:rsidRPr="00CB149C">
              <w:rPr>
                <w:sz w:val="24"/>
                <w:szCs w:val="24"/>
              </w:rPr>
              <w:t>.</w:t>
            </w:r>
          </w:p>
          <w:p w:rsidR="00A45D9B" w:rsidRPr="00CB149C" w:rsidRDefault="00A45D9B" w:rsidP="00A45D9B">
            <w:pPr>
              <w:pStyle w:val="ListParagraph"/>
              <w:spacing w:after="0" w:line="240" w:lineRule="auto"/>
              <w:ind w:left="0"/>
              <w:rPr>
                <w:sz w:val="24"/>
                <w:szCs w:val="24"/>
              </w:rPr>
            </w:pPr>
          </w:p>
          <w:p w:rsidR="00A45D9B" w:rsidRPr="00CB149C" w:rsidRDefault="00A45D9B" w:rsidP="00A45D9B">
            <w:pPr>
              <w:rPr>
                <w:b/>
                <w:sz w:val="24"/>
                <w:szCs w:val="24"/>
              </w:rPr>
            </w:pPr>
            <w:r w:rsidRPr="00CB149C">
              <w:rPr>
                <w:b/>
                <w:sz w:val="24"/>
                <w:szCs w:val="24"/>
              </w:rPr>
              <w:t>The Current Challenge</w:t>
            </w:r>
          </w:p>
          <w:p w:rsidR="00A45D9B" w:rsidRPr="00CB149C" w:rsidRDefault="00A45D9B" w:rsidP="00A45D9B">
            <w:pPr>
              <w:rPr>
                <w:rFonts w:cs="Times New Roman"/>
                <w:sz w:val="24"/>
                <w:szCs w:val="24"/>
                <w:lang w:eastAsia="de-DE"/>
              </w:rPr>
            </w:pPr>
            <w:r w:rsidRPr="00CB149C">
              <w:rPr>
                <w:rFonts w:cs="Times New Roman"/>
                <w:sz w:val="24"/>
                <w:szCs w:val="24"/>
                <w:lang w:eastAsia="de-DE"/>
              </w:rPr>
              <w:t>Job satisfaction plays an important role in overall life satisfaction. Job satisfaction is clearly not only dependent on monetary rewards, but also influenced by other factors. However, most of the relevant noncognitive skills are not assessed in a reliable and valid manner.</w:t>
            </w:r>
          </w:p>
          <w:p w:rsidR="00A45D9B" w:rsidRPr="00CB149C" w:rsidRDefault="00A45D9B" w:rsidP="00A45D9B">
            <w:pPr>
              <w:rPr>
                <w:sz w:val="24"/>
                <w:szCs w:val="24"/>
              </w:rPr>
            </w:pPr>
          </w:p>
          <w:p w:rsidR="00A45D9B" w:rsidRPr="00CB149C" w:rsidRDefault="00A45D9B" w:rsidP="00A45D9B">
            <w:pPr>
              <w:rPr>
                <w:b/>
                <w:sz w:val="24"/>
                <w:szCs w:val="24"/>
              </w:rPr>
            </w:pPr>
            <w:r w:rsidRPr="00CB149C">
              <w:rPr>
                <w:b/>
                <w:sz w:val="24"/>
                <w:szCs w:val="24"/>
              </w:rPr>
              <w:t>The Solution</w:t>
            </w:r>
          </w:p>
          <w:p w:rsidR="00AD15BA" w:rsidRPr="00CB149C" w:rsidRDefault="00BD49EE" w:rsidP="004E1422">
            <w:pPr>
              <w:rPr>
                <w:rFonts w:cs="Times New Roman"/>
                <w:sz w:val="24"/>
                <w:szCs w:val="24"/>
                <w:lang w:eastAsia="de-DE"/>
              </w:rPr>
            </w:pPr>
            <w:r w:rsidRPr="00CB149C">
              <w:rPr>
                <w:sz w:val="24"/>
                <w:szCs w:val="24"/>
              </w:rPr>
              <w:t>The Tessera</w:t>
            </w:r>
            <w:r w:rsidRPr="00CB149C">
              <w:rPr>
                <w:sz w:val="24"/>
                <w:szCs w:val="24"/>
                <w:vertAlign w:val="superscript"/>
              </w:rPr>
              <w:t>TM</w:t>
            </w:r>
            <w:r w:rsidRPr="00CB149C">
              <w:rPr>
                <w:sz w:val="24"/>
                <w:szCs w:val="24"/>
              </w:rPr>
              <w:t xml:space="preserve"> Noncognitive Assessment System reliably and validly assesses student noncognitive skills and provides feedback to </w:t>
            </w:r>
            <w:r>
              <w:rPr>
                <w:sz w:val="24"/>
                <w:szCs w:val="24"/>
              </w:rPr>
              <w:t xml:space="preserve">schools and </w:t>
            </w:r>
            <w:r w:rsidRPr="00CB149C">
              <w:rPr>
                <w:sz w:val="24"/>
                <w:szCs w:val="24"/>
              </w:rPr>
              <w:t>students</w:t>
            </w:r>
            <w:r>
              <w:rPr>
                <w:sz w:val="24"/>
                <w:szCs w:val="24"/>
              </w:rPr>
              <w:t xml:space="preserve"> that can be used by students, teachers, and parents. (Future iterations will include unique teacher and parent feedback)</w:t>
            </w:r>
            <w:r w:rsidRPr="00CB149C">
              <w:rPr>
                <w:sz w:val="24"/>
                <w:szCs w:val="24"/>
              </w:rPr>
              <w:t xml:space="preserve">. </w:t>
            </w:r>
            <w:r w:rsidR="00A45D9B" w:rsidRPr="00CB149C">
              <w:rPr>
                <w:rFonts w:cs="Times New Roman"/>
                <w:sz w:val="24"/>
                <w:szCs w:val="24"/>
                <w:lang w:eastAsia="de-DE"/>
              </w:rPr>
              <w:t xml:space="preserve">This will aid in the effective implementation of interventions that can result in increased </w:t>
            </w:r>
            <w:r w:rsidR="002C7F01" w:rsidRPr="00CB149C">
              <w:rPr>
                <w:rFonts w:cs="Times New Roman"/>
                <w:sz w:val="24"/>
                <w:szCs w:val="24"/>
                <w:lang w:eastAsia="de-DE"/>
              </w:rPr>
              <w:t>life satisfaction and well-being</w:t>
            </w:r>
            <w:r w:rsidR="00A45D9B" w:rsidRPr="00CB149C">
              <w:rPr>
                <w:rFonts w:cs="Times New Roman"/>
                <w:sz w:val="24"/>
                <w:szCs w:val="24"/>
                <w:lang w:eastAsia="de-DE"/>
              </w:rPr>
              <w:t>.</w:t>
            </w:r>
          </w:p>
        </w:tc>
      </w:tr>
    </w:tbl>
    <w:p w:rsidR="004E1422" w:rsidRDefault="004E1422"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A66727" w:rsidRDefault="00A66727" w:rsidP="003E07A1">
      <w:pPr>
        <w:spacing w:after="0" w:line="240" w:lineRule="auto"/>
        <w:jc w:val="center"/>
        <w:rPr>
          <w:b/>
          <w:sz w:val="24"/>
          <w:szCs w:val="24"/>
        </w:rPr>
      </w:pPr>
    </w:p>
    <w:p w:rsidR="00BD49EE" w:rsidRDefault="00BD49EE" w:rsidP="003E07A1">
      <w:pPr>
        <w:spacing w:after="0" w:line="240" w:lineRule="auto"/>
        <w:jc w:val="center"/>
        <w:rPr>
          <w:b/>
          <w:sz w:val="24"/>
          <w:szCs w:val="24"/>
        </w:rPr>
      </w:pPr>
      <w:r>
        <w:rPr>
          <w:b/>
          <w:sz w:val="24"/>
          <w:szCs w:val="24"/>
        </w:rPr>
        <w:lastRenderedPageBreak/>
        <w:t>Conclusion</w:t>
      </w:r>
    </w:p>
    <w:p w:rsidR="00BD49EE" w:rsidRDefault="00BD49EE" w:rsidP="003E07A1">
      <w:pPr>
        <w:spacing w:after="0" w:line="240" w:lineRule="auto"/>
        <w:jc w:val="center"/>
        <w:rPr>
          <w:b/>
          <w:sz w:val="24"/>
          <w:szCs w:val="24"/>
        </w:rPr>
      </w:pPr>
    </w:p>
    <w:p w:rsidR="00177D4F" w:rsidRPr="00A66727" w:rsidRDefault="009F0137" w:rsidP="00A66727">
      <w:r w:rsidRPr="001E72EA">
        <w:rPr>
          <w:sz w:val="24"/>
          <w:szCs w:val="24"/>
        </w:rPr>
        <w:t>Research has demonstrated that globally the most widely used and useful taxonomy for classifying noncognitive skills is the Big Five personality factors, and thus the creators of the Tessera</w:t>
      </w:r>
      <w:r w:rsidRPr="001E72EA">
        <w:rPr>
          <w:sz w:val="24"/>
          <w:szCs w:val="24"/>
          <w:vertAlign w:val="superscript"/>
        </w:rPr>
        <w:t>TM</w:t>
      </w:r>
      <w:r w:rsidRPr="001E72EA">
        <w:rPr>
          <w:sz w:val="24"/>
          <w:szCs w:val="24"/>
        </w:rPr>
        <w:t xml:space="preserve"> Noncognitive Assessment System adopted this framework as its organizing taxonomy.</w:t>
      </w:r>
      <w:r>
        <w:t xml:space="preserve"> </w:t>
      </w:r>
      <w:r w:rsidR="00177D4F">
        <w:rPr>
          <w:sz w:val="24"/>
          <w:szCs w:val="24"/>
        </w:rPr>
        <w:t xml:space="preserve">Decades of research has demonstrated that the Big Five personality factors predict a host of important outcomes, including improved performance in high school and college, increased retention in high school and college, increased career success, and increased well-being. To mitigate potential problems related to faking and/or lack of accurate self-insight the </w:t>
      </w:r>
      <w:r w:rsidR="00177D4F" w:rsidRPr="000A1364">
        <w:rPr>
          <w:sz w:val="24"/>
          <w:szCs w:val="24"/>
        </w:rPr>
        <w:t>Tessera</w:t>
      </w:r>
      <w:r w:rsidR="00177D4F" w:rsidRPr="000A1364">
        <w:rPr>
          <w:sz w:val="24"/>
          <w:szCs w:val="24"/>
          <w:vertAlign w:val="superscript"/>
        </w:rPr>
        <w:t>TM</w:t>
      </w:r>
      <w:r w:rsidR="00177D4F" w:rsidRPr="000A1364">
        <w:rPr>
          <w:sz w:val="24"/>
          <w:szCs w:val="24"/>
        </w:rPr>
        <w:t xml:space="preserve"> Noncognitive Assessment System</w:t>
      </w:r>
      <w:r w:rsidR="00177D4F">
        <w:rPr>
          <w:sz w:val="24"/>
          <w:szCs w:val="24"/>
        </w:rPr>
        <w:t xml:space="preserve"> utilizes three methods to assess noncognitive skills. This methodology leads to reliable and valid assessment of these noncognitive skills and the assessment, when used in conjunction with </w:t>
      </w:r>
      <w:r w:rsidR="00BB4900">
        <w:rPr>
          <w:sz w:val="24"/>
          <w:szCs w:val="24"/>
        </w:rPr>
        <w:t xml:space="preserve">the </w:t>
      </w:r>
      <w:r w:rsidR="00177D4F">
        <w:rPr>
          <w:sz w:val="24"/>
          <w:szCs w:val="24"/>
        </w:rPr>
        <w:t xml:space="preserve">school and student feedback reports, results in a powerful </w:t>
      </w:r>
      <w:r w:rsidR="00BB4900">
        <w:rPr>
          <w:sz w:val="24"/>
          <w:szCs w:val="24"/>
        </w:rPr>
        <w:t xml:space="preserve">system designed help </w:t>
      </w:r>
      <w:r w:rsidR="00177D4F">
        <w:rPr>
          <w:sz w:val="24"/>
          <w:szCs w:val="24"/>
        </w:rPr>
        <w:t xml:space="preserve">students achieve school, career, and personal success. </w:t>
      </w:r>
    </w:p>
    <w:p w:rsidR="00177D4F" w:rsidRPr="00D30B00" w:rsidRDefault="00177D4F" w:rsidP="00177D4F">
      <w:pPr>
        <w:spacing w:after="0" w:line="240" w:lineRule="auto"/>
        <w:rPr>
          <w:sz w:val="24"/>
          <w:szCs w:val="24"/>
        </w:rPr>
      </w:pPr>
    </w:p>
    <w:p w:rsidR="00BD49EE" w:rsidRDefault="00BD49EE" w:rsidP="00BD49EE">
      <w:pPr>
        <w:spacing w:after="0" w:line="240" w:lineRule="auto"/>
        <w:rPr>
          <w:sz w:val="24"/>
          <w:szCs w:val="24"/>
        </w:rPr>
      </w:pPr>
    </w:p>
    <w:p w:rsidR="00BB4900" w:rsidRDefault="00BB4900" w:rsidP="00BD49EE">
      <w:pPr>
        <w:spacing w:after="0" w:line="240" w:lineRule="auto"/>
        <w:rPr>
          <w:sz w:val="24"/>
          <w:szCs w:val="24"/>
        </w:rPr>
      </w:pPr>
    </w:p>
    <w:p w:rsidR="00BB4900" w:rsidRDefault="00BB4900" w:rsidP="00BD49EE">
      <w:pPr>
        <w:spacing w:after="0" w:line="240" w:lineRule="auto"/>
        <w:rPr>
          <w:sz w:val="24"/>
          <w:szCs w:val="24"/>
        </w:rPr>
      </w:pPr>
    </w:p>
    <w:p w:rsidR="00BB4900" w:rsidRDefault="00BB4900" w:rsidP="00BD49EE">
      <w:pPr>
        <w:spacing w:after="0" w:line="240" w:lineRule="auto"/>
        <w:rPr>
          <w:sz w:val="24"/>
          <w:szCs w:val="24"/>
        </w:rPr>
      </w:pPr>
    </w:p>
    <w:p w:rsidR="00BB4900" w:rsidRDefault="00BB4900" w:rsidP="00BD49EE">
      <w:pPr>
        <w:spacing w:after="0" w:line="240" w:lineRule="auto"/>
        <w:rPr>
          <w:sz w:val="24"/>
          <w:szCs w:val="24"/>
        </w:rPr>
      </w:pPr>
    </w:p>
    <w:p w:rsidR="00BB4900" w:rsidRDefault="00BB4900" w:rsidP="00BD49EE">
      <w:pPr>
        <w:spacing w:after="0" w:line="240" w:lineRule="auto"/>
        <w:rPr>
          <w:sz w:val="24"/>
          <w:szCs w:val="24"/>
        </w:rPr>
      </w:pPr>
    </w:p>
    <w:p w:rsidR="00BB4900" w:rsidRDefault="00BB4900"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p>
    <w:p w:rsidR="00A66727" w:rsidRDefault="00A66727" w:rsidP="00BD49EE">
      <w:pPr>
        <w:spacing w:after="0" w:line="240" w:lineRule="auto"/>
        <w:rPr>
          <w:sz w:val="24"/>
          <w:szCs w:val="24"/>
        </w:rPr>
      </w:pPr>
      <w:bookmarkStart w:id="0" w:name="_GoBack"/>
      <w:bookmarkEnd w:id="0"/>
    </w:p>
    <w:p w:rsidR="00BB4900" w:rsidRPr="00D30B00" w:rsidRDefault="00BB4900" w:rsidP="00BD49EE">
      <w:pPr>
        <w:spacing w:after="0" w:line="240" w:lineRule="auto"/>
        <w:rPr>
          <w:sz w:val="24"/>
          <w:szCs w:val="24"/>
        </w:rPr>
      </w:pPr>
    </w:p>
    <w:p w:rsidR="00BD49EE" w:rsidRDefault="00BD49EE" w:rsidP="003E07A1">
      <w:pPr>
        <w:spacing w:after="0" w:line="240" w:lineRule="auto"/>
        <w:jc w:val="center"/>
        <w:rPr>
          <w:b/>
          <w:sz w:val="24"/>
          <w:szCs w:val="24"/>
        </w:rPr>
      </w:pPr>
    </w:p>
    <w:p w:rsidR="007E36A8" w:rsidRPr="00CB149C" w:rsidRDefault="00A20DCB" w:rsidP="003E07A1">
      <w:pPr>
        <w:spacing w:after="0" w:line="240" w:lineRule="auto"/>
        <w:jc w:val="center"/>
        <w:rPr>
          <w:b/>
          <w:sz w:val="24"/>
          <w:szCs w:val="24"/>
        </w:rPr>
      </w:pPr>
      <w:r w:rsidRPr="00CB149C">
        <w:rPr>
          <w:b/>
          <w:sz w:val="24"/>
          <w:szCs w:val="24"/>
        </w:rPr>
        <w:lastRenderedPageBreak/>
        <w:t>R</w:t>
      </w:r>
      <w:r w:rsidR="003E07A1" w:rsidRPr="00CB149C">
        <w:rPr>
          <w:b/>
          <w:sz w:val="24"/>
          <w:szCs w:val="24"/>
        </w:rPr>
        <w:t>eferences</w:t>
      </w:r>
    </w:p>
    <w:p w:rsidR="00BD63F6" w:rsidRPr="00CB149C" w:rsidRDefault="00BD63F6" w:rsidP="003E07A1">
      <w:pPr>
        <w:spacing w:after="0" w:line="240" w:lineRule="auto"/>
        <w:jc w:val="center"/>
        <w:rPr>
          <w:b/>
          <w:sz w:val="24"/>
          <w:szCs w:val="24"/>
        </w:rPr>
      </w:pPr>
    </w:p>
    <w:p w:rsidR="001E38DD" w:rsidRDefault="00703761"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Ackerman, P. L., &amp; Heggestad, E. D. (1997). Intelligence, personality, and interests: evidence for overlapping traits.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Psychological Bulletin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121</w:t>
      </w:r>
      <w:r w:rsidRPr="004E1422">
        <w:rPr>
          <w:rFonts w:cs="Arial"/>
          <w:color w:val="222222"/>
          <w:sz w:val="24"/>
          <w:szCs w:val="24"/>
          <w:shd w:val="clear" w:color="auto" w:fill="FFFFFF"/>
        </w:rPr>
        <w:t>, 219</w:t>
      </w:r>
      <w:r w:rsidRPr="004E1422">
        <w:rPr>
          <w:rFonts w:cs="TimesNewRomanPSMT"/>
          <w:sz w:val="24"/>
          <w:szCs w:val="24"/>
        </w:rPr>
        <w:t>-245.</w:t>
      </w:r>
    </w:p>
    <w:p w:rsidR="001E38DD" w:rsidRDefault="00790DCB" w:rsidP="001E38DD">
      <w:pPr>
        <w:autoSpaceDE w:val="0"/>
        <w:autoSpaceDN w:val="0"/>
        <w:adjustRightInd w:val="0"/>
        <w:spacing w:after="0" w:line="240" w:lineRule="auto"/>
        <w:ind w:left="720" w:hanging="720"/>
        <w:rPr>
          <w:rFonts w:cs="TimesNewRomanPSMT"/>
          <w:sz w:val="24"/>
          <w:szCs w:val="24"/>
        </w:rPr>
      </w:pPr>
      <w:r w:rsidRPr="004E1422">
        <w:rPr>
          <w:rFonts w:cs="TimesNewRomanPSMT"/>
          <w:sz w:val="24"/>
          <w:szCs w:val="24"/>
        </w:rPr>
        <w:t xml:space="preserve">Adelman, C. (1999). </w:t>
      </w:r>
      <w:r w:rsidRPr="004E1422">
        <w:rPr>
          <w:rFonts w:cs="TimesNewRomanPS-ItalicMT"/>
          <w:i/>
          <w:iCs/>
          <w:sz w:val="24"/>
          <w:szCs w:val="24"/>
        </w:rPr>
        <w:t>Answers in the toolbox: Academic intensity</w:t>
      </w:r>
      <w:r w:rsidRPr="004E1422">
        <w:rPr>
          <w:rFonts w:cs="TimesNewRomanPSMT"/>
          <w:sz w:val="24"/>
          <w:szCs w:val="24"/>
        </w:rPr>
        <w:t xml:space="preserve">, </w:t>
      </w:r>
      <w:r w:rsidRPr="004E1422">
        <w:rPr>
          <w:rFonts w:cs="TimesNewRomanPS-ItalicMT"/>
          <w:i/>
          <w:iCs/>
          <w:sz w:val="24"/>
          <w:szCs w:val="24"/>
        </w:rPr>
        <w:t>attendance patterns</w:t>
      </w:r>
      <w:r w:rsidRPr="004E1422">
        <w:rPr>
          <w:rFonts w:cs="TimesNewRomanPSMT"/>
          <w:sz w:val="24"/>
          <w:szCs w:val="24"/>
        </w:rPr>
        <w:t xml:space="preserve">, </w:t>
      </w:r>
      <w:r w:rsidRPr="004E1422">
        <w:rPr>
          <w:rFonts w:cs="TimesNewRomanPS-ItalicMT"/>
          <w:i/>
          <w:iCs/>
          <w:sz w:val="24"/>
          <w:szCs w:val="24"/>
        </w:rPr>
        <w:t>and</w:t>
      </w:r>
      <w:r w:rsidR="00614F92" w:rsidRPr="004E1422">
        <w:rPr>
          <w:rFonts w:cs="TimesNewRomanPS-ItalicMT"/>
          <w:i/>
          <w:iCs/>
          <w:sz w:val="24"/>
          <w:szCs w:val="24"/>
        </w:rPr>
        <w:t xml:space="preserve"> </w:t>
      </w:r>
      <w:r w:rsidRPr="004E1422">
        <w:rPr>
          <w:rFonts w:cs="TimesNewRomanPS-ItalicMT"/>
          <w:i/>
          <w:iCs/>
          <w:sz w:val="24"/>
          <w:szCs w:val="24"/>
        </w:rPr>
        <w:t xml:space="preserve">bachelor’s degree attainment </w:t>
      </w:r>
      <w:r w:rsidRPr="004E1422">
        <w:rPr>
          <w:rFonts w:cs="TimesNewRomanPSMT"/>
          <w:sz w:val="24"/>
          <w:szCs w:val="24"/>
        </w:rPr>
        <w:t>(Document # PLLI 1999-8021). Washington, DC: U.S.</w:t>
      </w:r>
      <w:r w:rsidR="00614F92" w:rsidRPr="004E1422">
        <w:rPr>
          <w:rFonts w:cs="TimesNewRomanPSMT"/>
          <w:sz w:val="24"/>
          <w:szCs w:val="24"/>
        </w:rPr>
        <w:t xml:space="preserve"> </w:t>
      </w:r>
      <w:r w:rsidRPr="004E1422">
        <w:rPr>
          <w:rFonts w:cs="TimesNewRomanPSMT"/>
          <w:sz w:val="24"/>
          <w:szCs w:val="24"/>
        </w:rPr>
        <w:t>Department of Education.</w:t>
      </w:r>
    </w:p>
    <w:p w:rsidR="001E38DD" w:rsidRDefault="00790DCB" w:rsidP="001E38DD">
      <w:pPr>
        <w:autoSpaceDE w:val="0"/>
        <w:autoSpaceDN w:val="0"/>
        <w:adjustRightInd w:val="0"/>
        <w:spacing w:after="0" w:line="240" w:lineRule="auto"/>
        <w:ind w:left="720" w:hanging="720"/>
        <w:rPr>
          <w:rFonts w:cs="TimesNewRomanPSMT"/>
          <w:sz w:val="24"/>
          <w:szCs w:val="24"/>
        </w:rPr>
      </w:pPr>
      <w:r w:rsidRPr="004E1422">
        <w:rPr>
          <w:rFonts w:cs="TimesNewRomanPSMT"/>
          <w:sz w:val="24"/>
          <w:szCs w:val="24"/>
        </w:rPr>
        <w:t>Allen, J. D., &amp; Robbins, S. B. (2010). Effects of interest-major congruence, motivation, and</w:t>
      </w:r>
      <w:r w:rsidR="00614F92" w:rsidRPr="004E1422">
        <w:rPr>
          <w:rFonts w:cs="TimesNewRomanPSMT"/>
          <w:sz w:val="24"/>
          <w:szCs w:val="24"/>
        </w:rPr>
        <w:t xml:space="preserve"> </w:t>
      </w:r>
      <w:r w:rsidRPr="004E1422">
        <w:rPr>
          <w:rFonts w:cs="TimesNewRomanPSMT"/>
          <w:sz w:val="24"/>
          <w:szCs w:val="24"/>
        </w:rPr>
        <w:t xml:space="preserve">academic performance on timely degree attainment. </w:t>
      </w:r>
      <w:r w:rsidRPr="004E1422">
        <w:rPr>
          <w:rFonts w:cs="TimesNewRomanPS-ItalicMT"/>
          <w:i/>
          <w:iCs/>
          <w:sz w:val="24"/>
          <w:szCs w:val="24"/>
        </w:rPr>
        <w:t>Journal of Counseling Psychology</w:t>
      </w:r>
      <w:r w:rsidRPr="004E1422">
        <w:rPr>
          <w:rFonts w:cs="TimesNewRomanPSMT"/>
          <w:sz w:val="24"/>
          <w:szCs w:val="24"/>
        </w:rPr>
        <w:t>,</w:t>
      </w:r>
      <w:r w:rsidR="00614F92" w:rsidRPr="004E1422">
        <w:rPr>
          <w:rFonts w:cs="TimesNewRomanPSMT"/>
          <w:sz w:val="24"/>
          <w:szCs w:val="24"/>
        </w:rPr>
        <w:t xml:space="preserve"> </w:t>
      </w:r>
      <w:r w:rsidRPr="004E1422">
        <w:rPr>
          <w:rFonts w:cs="TimesNewRomanPS-ItalicMT"/>
          <w:i/>
          <w:iCs/>
          <w:sz w:val="24"/>
          <w:szCs w:val="24"/>
        </w:rPr>
        <w:t>57</w:t>
      </w:r>
      <w:r w:rsidRPr="004E1422">
        <w:rPr>
          <w:rFonts w:cs="TimesNewRomanPSMT"/>
          <w:sz w:val="24"/>
          <w:szCs w:val="24"/>
        </w:rPr>
        <w:t>, 23–35.</w:t>
      </w:r>
    </w:p>
    <w:p w:rsidR="001E38DD" w:rsidRDefault="00E348A2"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Allen, J., Robbins, S. B., Casillas, A., &amp; Oh, I. S. (2008). Third-year college retention and transfer: Effects of academic performance, motivation, and social connectedness.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Research in Higher Education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49</w:t>
      </w:r>
      <w:r w:rsidRPr="004E1422">
        <w:rPr>
          <w:rFonts w:cs="Arial"/>
          <w:color w:val="222222"/>
          <w:sz w:val="24"/>
          <w:szCs w:val="24"/>
          <w:shd w:val="clear" w:color="auto" w:fill="FFFFFF"/>
        </w:rPr>
        <w:t>, 647-664.</w:t>
      </w:r>
    </w:p>
    <w:p w:rsidR="001E38DD" w:rsidRDefault="00475373" w:rsidP="001E38DD">
      <w:pPr>
        <w:autoSpaceDE w:val="0"/>
        <w:autoSpaceDN w:val="0"/>
        <w:adjustRightInd w:val="0"/>
        <w:spacing w:after="0" w:line="240" w:lineRule="auto"/>
        <w:ind w:left="720" w:hanging="720"/>
        <w:rPr>
          <w:rFonts w:cs="TimesNewRomanPSMT"/>
          <w:sz w:val="24"/>
          <w:szCs w:val="24"/>
        </w:rPr>
      </w:pPr>
      <w:r w:rsidRPr="004E1422">
        <w:rPr>
          <w:sz w:val="24"/>
          <w:szCs w:val="24"/>
          <w:lang w:val="de-DE"/>
        </w:rPr>
        <w:t xml:space="preserve">Almlund, M., Duckworth, A., Heckman, J. J., &amp; Kautz, T. (2011). </w:t>
      </w:r>
      <w:r w:rsidRPr="004E1422">
        <w:rPr>
          <w:sz w:val="24"/>
          <w:szCs w:val="24"/>
        </w:rPr>
        <w:t xml:space="preserve">Personality Psychology and Economics. In E. A. Hanushek, S. Machin &amp; L. Woßmann (Eds.), </w:t>
      </w:r>
      <w:r w:rsidRPr="004E1422">
        <w:rPr>
          <w:i/>
          <w:sz w:val="24"/>
          <w:szCs w:val="24"/>
        </w:rPr>
        <w:t>Handbook of the Economics of Education</w:t>
      </w:r>
      <w:r w:rsidRPr="004E1422">
        <w:rPr>
          <w:sz w:val="24"/>
          <w:szCs w:val="24"/>
        </w:rPr>
        <w:t>. Vol. 4 (pp. 1–181). Amsterdam: Elsevier.</w:t>
      </w:r>
    </w:p>
    <w:p w:rsidR="001E38DD" w:rsidRDefault="00C54A37"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Argyris, C., &amp; Schon, D. A. (1974).</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Theory in Practice: Increasing Professional Effectiveness</w:t>
      </w:r>
      <w:r w:rsidRPr="004E1422">
        <w:rPr>
          <w:rFonts w:cs="Arial"/>
          <w:color w:val="222222"/>
          <w:sz w:val="24"/>
          <w:szCs w:val="24"/>
          <w:shd w:val="clear" w:color="auto" w:fill="FFFFFF"/>
        </w:rPr>
        <w:t>. Hoboken, N.J.: Jossey-Bass.</w:t>
      </w:r>
    </w:p>
    <w:p w:rsidR="001E38DD" w:rsidRDefault="0070746D"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Barrick, M. R., Mount, M. K., &amp; Judge, T. A. (2001). Personality and performance at the beginning of the new millennium: What do we know and where do we go next? </w:t>
      </w:r>
      <w:r w:rsidRPr="004E1422">
        <w:rPr>
          <w:rFonts w:cs="Arial"/>
          <w:i/>
          <w:iCs/>
          <w:color w:val="222222"/>
          <w:sz w:val="24"/>
          <w:szCs w:val="24"/>
          <w:shd w:val="clear" w:color="auto" w:fill="FFFFFF"/>
        </w:rPr>
        <w:t>International Journal of Selection and assessment</w:t>
      </w:r>
      <w:r w:rsidRPr="004E1422">
        <w:rPr>
          <w:rFonts w:cs="Arial"/>
          <w:color w:val="222222"/>
          <w:sz w:val="24"/>
          <w:szCs w:val="24"/>
          <w:shd w:val="clear" w:color="auto" w:fill="FFFFFF"/>
        </w:rPr>
        <w:t>, </w:t>
      </w:r>
      <w:r w:rsidRPr="004E1422">
        <w:rPr>
          <w:rFonts w:cs="Arial"/>
          <w:i/>
          <w:iCs/>
          <w:color w:val="222222"/>
          <w:sz w:val="24"/>
          <w:szCs w:val="24"/>
          <w:shd w:val="clear" w:color="auto" w:fill="FFFFFF"/>
        </w:rPr>
        <w:t>9</w:t>
      </w:r>
      <w:r w:rsidRPr="004E1422">
        <w:rPr>
          <w:rFonts w:cs="Arial"/>
          <w:color w:val="222222"/>
          <w:sz w:val="24"/>
          <w:szCs w:val="24"/>
          <w:shd w:val="clear" w:color="auto" w:fill="FFFFFF"/>
        </w:rPr>
        <w:t>, 9-30.</w:t>
      </w:r>
    </w:p>
    <w:p w:rsidR="001E38DD" w:rsidRDefault="0070746D"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Berry, C. M., Ones, D. S., &amp; Sackett, P. R. (2007). Interpersonal deviance, organizational deviance, and their common correlates: a review and meta-analysis. </w:t>
      </w:r>
      <w:r w:rsidRPr="004E1422">
        <w:rPr>
          <w:rFonts w:cs="Arial"/>
          <w:i/>
          <w:iCs/>
          <w:color w:val="222222"/>
          <w:sz w:val="24"/>
          <w:szCs w:val="24"/>
          <w:shd w:val="clear" w:color="auto" w:fill="FFFFFF"/>
        </w:rPr>
        <w:t xml:space="preserve">Journal of </w:t>
      </w:r>
      <w:r w:rsidR="00C03AE7" w:rsidRPr="004E1422">
        <w:rPr>
          <w:rFonts w:cs="Arial"/>
          <w:i/>
          <w:iCs/>
          <w:color w:val="222222"/>
          <w:sz w:val="24"/>
          <w:szCs w:val="24"/>
          <w:shd w:val="clear" w:color="auto" w:fill="FFFFFF"/>
        </w:rPr>
        <w:t>Applied P</w:t>
      </w:r>
      <w:r w:rsidRPr="004E1422">
        <w:rPr>
          <w:rFonts w:cs="Arial"/>
          <w:i/>
          <w:iCs/>
          <w:color w:val="222222"/>
          <w:sz w:val="24"/>
          <w:szCs w:val="24"/>
          <w:shd w:val="clear" w:color="auto" w:fill="FFFFFF"/>
        </w:rPr>
        <w:t>sychology</w:t>
      </w:r>
      <w:r w:rsidRPr="004E1422">
        <w:rPr>
          <w:rFonts w:cs="Arial"/>
          <w:color w:val="222222"/>
          <w:sz w:val="24"/>
          <w:szCs w:val="24"/>
          <w:shd w:val="clear" w:color="auto" w:fill="FFFFFF"/>
        </w:rPr>
        <w:t>, </w:t>
      </w:r>
      <w:r w:rsidRPr="004E1422">
        <w:rPr>
          <w:rFonts w:cs="Arial"/>
          <w:i/>
          <w:iCs/>
          <w:color w:val="222222"/>
          <w:sz w:val="24"/>
          <w:szCs w:val="24"/>
          <w:shd w:val="clear" w:color="auto" w:fill="FFFFFF"/>
        </w:rPr>
        <w:t>92</w:t>
      </w:r>
      <w:r w:rsidRPr="004E1422">
        <w:rPr>
          <w:rFonts w:cs="Arial"/>
          <w:color w:val="222222"/>
          <w:sz w:val="24"/>
          <w:szCs w:val="24"/>
          <w:shd w:val="clear" w:color="auto" w:fill="FFFFFF"/>
        </w:rPr>
        <w:t>, 410</w:t>
      </w:r>
      <w:r w:rsidR="00C03AE7" w:rsidRPr="004E1422">
        <w:rPr>
          <w:rFonts w:cs="Arial"/>
          <w:color w:val="222222"/>
          <w:sz w:val="24"/>
          <w:szCs w:val="24"/>
          <w:shd w:val="clear" w:color="auto" w:fill="FFFFFF"/>
        </w:rPr>
        <w:t>-424</w:t>
      </w:r>
      <w:r w:rsidRPr="004E1422">
        <w:rPr>
          <w:rFonts w:cs="Arial"/>
          <w:color w:val="222222"/>
          <w:sz w:val="24"/>
          <w:szCs w:val="24"/>
          <w:shd w:val="clear" w:color="auto" w:fill="FFFFFF"/>
        </w:rPr>
        <w:t>.</w:t>
      </w:r>
    </w:p>
    <w:p w:rsidR="001E38DD" w:rsidRDefault="00C024F4"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Bogg, T., &amp; Roberts, B. W. (2004). Conscientiousness and health-related behaviors: a meta-analysis of the leading behavioral contributors to mortality. </w:t>
      </w:r>
      <w:r w:rsidRPr="004E1422">
        <w:rPr>
          <w:rFonts w:cs="Arial"/>
          <w:i/>
          <w:color w:val="222222"/>
          <w:sz w:val="24"/>
          <w:szCs w:val="24"/>
          <w:shd w:val="clear" w:color="auto" w:fill="FFFFFF"/>
        </w:rPr>
        <w:t>Psychological Bulletin, 130,</w:t>
      </w:r>
      <w:r w:rsidRPr="004E1422">
        <w:rPr>
          <w:rFonts w:cs="Arial"/>
          <w:color w:val="222222"/>
          <w:sz w:val="24"/>
          <w:szCs w:val="24"/>
          <w:shd w:val="clear" w:color="auto" w:fill="FFFFFF"/>
        </w:rPr>
        <w:t xml:space="preserve"> 887-919.</w:t>
      </w:r>
    </w:p>
    <w:p w:rsidR="001E38DD" w:rsidRDefault="00475373"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Borghans, L., Duckworth, A. L., Heckman, J. J., &amp; Weel, T. B. (2008). The economics and psychology of personality traits. </w:t>
      </w:r>
      <w:r w:rsidRPr="004E1422">
        <w:rPr>
          <w:rFonts w:cs="Arial"/>
          <w:i/>
          <w:iCs/>
          <w:color w:val="222222"/>
          <w:sz w:val="24"/>
          <w:szCs w:val="24"/>
          <w:shd w:val="clear" w:color="auto" w:fill="FFFFFF"/>
        </w:rPr>
        <w:t>Journal of Human Resources</w:t>
      </w:r>
      <w:r w:rsidRPr="004E1422">
        <w:rPr>
          <w:rFonts w:cs="Arial"/>
          <w:color w:val="222222"/>
          <w:sz w:val="24"/>
          <w:szCs w:val="24"/>
          <w:shd w:val="clear" w:color="auto" w:fill="FFFFFF"/>
        </w:rPr>
        <w:t xml:space="preserve">, </w:t>
      </w:r>
      <w:r w:rsidRPr="004E1422">
        <w:rPr>
          <w:rFonts w:cs="Arial"/>
          <w:i/>
          <w:iCs/>
          <w:color w:val="222222"/>
          <w:sz w:val="24"/>
          <w:szCs w:val="24"/>
          <w:shd w:val="clear" w:color="auto" w:fill="FFFFFF"/>
        </w:rPr>
        <w:t>43</w:t>
      </w:r>
      <w:r w:rsidRPr="004E1422">
        <w:rPr>
          <w:rFonts w:cs="Arial"/>
          <w:color w:val="222222"/>
          <w:sz w:val="24"/>
          <w:szCs w:val="24"/>
          <w:shd w:val="clear" w:color="auto" w:fill="FFFFFF"/>
        </w:rPr>
        <w:t>, 972-1059.</w:t>
      </w:r>
    </w:p>
    <w:p w:rsidR="001E38DD" w:rsidRDefault="00074DB9"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Boyle, G. J., Matthews, G., &amp; Saklofske, D. H. (Eds.). (2008).</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The SAGE Handbook of Personality Theory and Assessment: Personality Measurement and Testing</w:t>
      </w:r>
      <w:r w:rsidRPr="004E1422">
        <w:rPr>
          <w:rStyle w:val="apple-converted-space"/>
          <w:rFonts w:cs="Arial"/>
          <w:color w:val="222222"/>
          <w:sz w:val="24"/>
          <w:szCs w:val="24"/>
          <w:shd w:val="clear" w:color="auto" w:fill="FFFFFF"/>
        </w:rPr>
        <w:t> </w:t>
      </w:r>
      <w:r w:rsidRPr="004E1422">
        <w:rPr>
          <w:rFonts w:cs="Arial"/>
          <w:color w:val="222222"/>
          <w:sz w:val="24"/>
          <w:szCs w:val="24"/>
          <w:shd w:val="clear" w:color="auto" w:fill="FFFFFF"/>
        </w:rPr>
        <w:t xml:space="preserve">(Vol. 2). </w:t>
      </w:r>
      <w:r w:rsidRPr="004E1422">
        <w:rPr>
          <w:rFonts w:cs="Arial"/>
          <w:color w:val="222222"/>
          <w:sz w:val="24"/>
          <w:szCs w:val="24"/>
          <w:shd w:val="clear" w:color="auto" w:fill="FFFFFF"/>
          <w:lang w:val="de-DE"/>
        </w:rPr>
        <w:t>Los Angeles: Sage.</w:t>
      </w:r>
    </w:p>
    <w:p w:rsidR="001E38DD" w:rsidRDefault="00F6267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lang w:val="de-DE"/>
        </w:rPr>
        <w:t xml:space="preserve">Brown, A., &amp; Maydeu-Olivares, A. (2011). Item response modeling of forced-choice questionnaires. </w:t>
      </w:r>
      <w:r w:rsidRPr="004E1422">
        <w:rPr>
          <w:rFonts w:cs="Arial"/>
          <w:i/>
          <w:color w:val="222222"/>
          <w:sz w:val="24"/>
          <w:szCs w:val="24"/>
          <w:shd w:val="clear" w:color="auto" w:fill="FFFFFF"/>
          <w:lang w:val="de-DE"/>
        </w:rPr>
        <w:t>Educational and Psychological measurement, 71,</w:t>
      </w:r>
      <w:r w:rsidRPr="004E1422">
        <w:rPr>
          <w:rFonts w:cs="Arial"/>
          <w:color w:val="222222"/>
          <w:sz w:val="24"/>
          <w:szCs w:val="24"/>
          <w:shd w:val="clear" w:color="auto" w:fill="FFFFFF"/>
          <w:lang w:val="de-DE"/>
        </w:rPr>
        <w:t xml:space="preserve"> 460-502.</w:t>
      </w:r>
    </w:p>
    <w:p w:rsidR="001E38DD" w:rsidRDefault="00B13729"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Burke, L. A., &amp; Williams, J. M. (2008). Developing young thinkers: An intervention aimed to enhance children's thinking skills.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Thinking Skills and Creativity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3</w:t>
      </w:r>
      <w:r w:rsidRPr="004E1422">
        <w:rPr>
          <w:rFonts w:cs="Arial"/>
          <w:color w:val="222222"/>
          <w:sz w:val="24"/>
          <w:szCs w:val="24"/>
          <w:shd w:val="clear" w:color="auto" w:fill="FFFFFF"/>
        </w:rPr>
        <w:t>, 104-124</w:t>
      </w:r>
    </w:p>
    <w:p w:rsidR="001E38DD" w:rsidRDefault="00BD63F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lang w:val="de-DE"/>
        </w:rPr>
        <w:t xml:space="preserve">Casillas, A., Robbins, S., Allen, J., Kuo, Y. L., Hanson, M. A., &amp; Schmeiser, C. (2012). </w:t>
      </w:r>
      <w:r w:rsidRPr="004E1422">
        <w:rPr>
          <w:rFonts w:cs="Arial"/>
          <w:color w:val="222222"/>
          <w:sz w:val="24"/>
          <w:szCs w:val="24"/>
          <w:shd w:val="clear" w:color="auto" w:fill="FFFFFF"/>
        </w:rPr>
        <w:t>Predicting early academic failure in high school from prior academic achievement, psychosocial characteristics, and behavior.</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Journal of Educational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104</w:t>
      </w:r>
      <w:r w:rsidRPr="004E1422">
        <w:rPr>
          <w:rFonts w:cs="Arial"/>
          <w:color w:val="222222"/>
          <w:sz w:val="24"/>
          <w:szCs w:val="24"/>
          <w:shd w:val="clear" w:color="auto" w:fill="FFFFFF"/>
        </w:rPr>
        <w:t>, 407-420</w:t>
      </w:r>
      <w:r w:rsidR="00614F92" w:rsidRPr="004E1422">
        <w:rPr>
          <w:rFonts w:cs="Arial"/>
          <w:color w:val="222222"/>
          <w:sz w:val="24"/>
          <w:szCs w:val="24"/>
          <w:shd w:val="clear" w:color="auto" w:fill="FFFFFF"/>
        </w:rPr>
        <w:t>.</w:t>
      </w:r>
    </w:p>
    <w:p w:rsidR="001E38DD" w:rsidRDefault="00E12C3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Credé, M., &amp; Kuncel, N. R. (2008). Study habits, skills, and attitudes: The third pillar supporting collegiate academic performance.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Perspectives on Psychological Science</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008A64E8" w:rsidRPr="004E1422">
        <w:rPr>
          <w:rFonts w:cs="Arial"/>
          <w:i/>
          <w:iCs/>
          <w:color w:val="222222"/>
          <w:sz w:val="24"/>
          <w:szCs w:val="24"/>
          <w:shd w:val="clear" w:color="auto" w:fill="FFFFFF"/>
        </w:rPr>
        <w:t>3</w:t>
      </w:r>
      <w:r w:rsidRPr="004E1422">
        <w:rPr>
          <w:rFonts w:cs="Arial"/>
          <w:color w:val="222222"/>
          <w:sz w:val="24"/>
          <w:szCs w:val="24"/>
          <w:shd w:val="clear" w:color="auto" w:fill="FFFFFF"/>
        </w:rPr>
        <w:t>, 425-453</w:t>
      </w:r>
    </w:p>
    <w:p w:rsidR="001E38DD" w:rsidRDefault="00E12C3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Credé, M., &amp; Niehorster, S. (2012). Adjustment to college as measured by the student adaptation to college questionnaire: a quantitative review of its structure and </w:t>
      </w:r>
      <w:r w:rsidRPr="004E1422">
        <w:rPr>
          <w:rFonts w:cs="Arial"/>
          <w:color w:val="222222"/>
          <w:sz w:val="24"/>
          <w:szCs w:val="24"/>
          <w:shd w:val="clear" w:color="auto" w:fill="FFFFFF"/>
        </w:rPr>
        <w:lastRenderedPageBreak/>
        <w:t>relationships with correlates and consequences.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Educational Psychology Review</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24</w:t>
      </w:r>
      <w:r w:rsidRPr="004E1422">
        <w:rPr>
          <w:rFonts w:cs="Arial"/>
          <w:color w:val="222222"/>
          <w:sz w:val="24"/>
          <w:szCs w:val="24"/>
          <w:shd w:val="clear" w:color="auto" w:fill="FFFFFF"/>
        </w:rPr>
        <w:t>, 133-165.</w:t>
      </w:r>
    </w:p>
    <w:p w:rsidR="001E38DD" w:rsidRDefault="00FF1BDC"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Damian, R. I., Su, R., Shanahan, M., Trautwein, U., &amp; Roberts, B. W. (2014). Can personality traits and intelligence compensate for background disadvantage? Predicting status attainment in adulthood. </w:t>
      </w:r>
      <w:r w:rsidRPr="004E1422">
        <w:rPr>
          <w:rFonts w:cs="Arial"/>
          <w:i/>
          <w:color w:val="222222"/>
          <w:sz w:val="24"/>
          <w:szCs w:val="24"/>
          <w:shd w:val="clear" w:color="auto" w:fill="FFFFFF"/>
        </w:rPr>
        <w:t>Journal of Personali</w:t>
      </w:r>
      <w:r w:rsidR="008A64E8" w:rsidRPr="004E1422">
        <w:rPr>
          <w:rFonts w:cs="Arial"/>
          <w:i/>
          <w:color w:val="222222"/>
          <w:sz w:val="24"/>
          <w:szCs w:val="24"/>
          <w:shd w:val="clear" w:color="auto" w:fill="FFFFFF"/>
        </w:rPr>
        <w:t>ty and Social Psychology, 109</w:t>
      </w:r>
      <w:r w:rsidRPr="004E1422">
        <w:rPr>
          <w:rFonts w:cs="Arial"/>
          <w:i/>
          <w:color w:val="222222"/>
          <w:sz w:val="24"/>
          <w:szCs w:val="24"/>
          <w:shd w:val="clear" w:color="auto" w:fill="FFFFFF"/>
        </w:rPr>
        <w:t xml:space="preserve">, </w:t>
      </w:r>
      <w:r w:rsidRPr="004E1422">
        <w:rPr>
          <w:rFonts w:cs="Arial"/>
          <w:color w:val="222222"/>
          <w:sz w:val="24"/>
          <w:szCs w:val="24"/>
          <w:shd w:val="clear" w:color="auto" w:fill="FFFFFF"/>
        </w:rPr>
        <w:t>473-489.</w:t>
      </w:r>
    </w:p>
    <w:p w:rsidR="001E38DD" w:rsidRDefault="009A32A4"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Duckworth, A. L., &amp; Yeager, D. S. (2015). Measurement matters: Assessing personal qualities other than cognitive ability for educational purposes. </w:t>
      </w:r>
      <w:r w:rsidRPr="004E1422">
        <w:rPr>
          <w:rFonts w:cs="Arial"/>
          <w:i/>
          <w:iCs/>
          <w:color w:val="222222"/>
          <w:sz w:val="24"/>
          <w:szCs w:val="24"/>
          <w:shd w:val="clear" w:color="auto" w:fill="FFFFFF"/>
        </w:rPr>
        <w:t>Educational Researcher</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44</w:t>
      </w:r>
      <w:r w:rsidRPr="004E1422">
        <w:rPr>
          <w:rFonts w:cs="Arial"/>
          <w:color w:val="222222"/>
          <w:sz w:val="24"/>
          <w:szCs w:val="24"/>
          <w:shd w:val="clear" w:color="auto" w:fill="FFFFFF"/>
        </w:rPr>
        <w:t>, 237-251.</w:t>
      </w:r>
    </w:p>
    <w:p w:rsidR="001E38DD" w:rsidRDefault="00EC32C8" w:rsidP="001E38DD">
      <w:pPr>
        <w:autoSpaceDE w:val="0"/>
        <w:autoSpaceDN w:val="0"/>
        <w:adjustRightInd w:val="0"/>
        <w:spacing w:after="0" w:line="240" w:lineRule="auto"/>
        <w:ind w:left="720" w:hanging="720"/>
        <w:rPr>
          <w:rFonts w:cs="TimesNewRomanPSMT"/>
          <w:sz w:val="24"/>
          <w:szCs w:val="24"/>
        </w:rPr>
      </w:pPr>
      <w:r w:rsidRPr="004E1422">
        <w:rPr>
          <w:rFonts w:eastAsia="ArialMT" w:cs="ArialMT"/>
          <w:sz w:val="24"/>
          <w:szCs w:val="24"/>
        </w:rPr>
        <w:t>De Fruyt,</w:t>
      </w:r>
      <w:r w:rsidR="001E38DD">
        <w:rPr>
          <w:rFonts w:eastAsia="ArialMT" w:cs="ArialMT"/>
          <w:sz w:val="24"/>
          <w:szCs w:val="24"/>
        </w:rPr>
        <w:t xml:space="preserve"> F.,</w:t>
      </w:r>
      <w:r w:rsidRPr="004E1422">
        <w:rPr>
          <w:rFonts w:eastAsia="ArialMT" w:cs="ArialMT"/>
          <w:sz w:val="24"/>
          <w:szCs w:val="24"/>
        </w:rPr>
        <w:t xml:space="preserve"> </w:t>
      </w:r>
      <w:r w:rsidR="001E38DD">
        <w:rPr>
          <w:rFonts w:eastAsia="ArialMT" w:cs="ArialMT"/>
          <w:sz w:val="24"/>
          <w:szCs w:val="24"/>
        </w:rPr>
        <w:t xml:space="preserve">Bart, W.,  &amp; </w:t>
      </w:r>
      <w:r w:rsidRPr="004E1422">
        <w:rPr>
          <w:rFonts w:eastAsia="ArialMT" w:cs="ArialMT"/>
          <w:sz w:val="24"/>
          <w:szCs w:val="24"/>
        </w:rPr>
        <w:t>John</w:t>
      </w:r>
      <w:r w:rsidR="001E38DD">
        <w:rPr>
          <w:rFonts w:eastAsia="ArialMT" w:cs="ArialMT"/>
          <w:sz w:val="24"/>
          <w:szCs w:val="24"/>
        </w:rPr>
        <w:t>, O. P.</w:t>
      </w:r>
      <w:r w:rsidRPr="004E1422">
        <w:rPr>
          <w:rFonts w:eastAsia="ArialMT" w:cs="ArialMT"/>
          <w:sz w:val="24"/>
          <w:szCs w:val="24"/>
        </w:rPr>
        <w:t xml:space="preserve"> (2015). Employability in the 21st Century: Complex</w:t>
      </w:r>
      <w:r w:rsidR="001E38DD">
        <w:rPr>
          <w:rFonts w:cs="TimesNewRomanPSMT"/>
          <w:sz w:val="24"/>
          <w:szCs w:val="24"/>
        </w:rPr>
        <w:t xml:space="preserve"> </w:t>
      </w:r>
      <w:r w:rsidRPr="004E1422">
        <w:rPr>
          <w:rFonts w:eastAsia="ArialMT" w:cs="ArialMT"/>
          <w:sz w:val="24"/>
          <w:szCs w:val="24"/>
        </w:rPr>
        <w:t>(</w:t>
      </w:r>
      <w:r w:rsidR="001E38DD">
        <w:rPr>
          <w:rFonts w:eastAsia="ArialMT" w:cs="ArialMT"/>
          <w:sz w:val="24"/>
          <w:szCs w:val="24"/>
        </w:rPr>
        <w:t>i</w:t>
      </w:r>
      <w:r w:rsidRPr="004E1422">
        <w:rPr>
          <w:rFonts w:eastAsia="ArialMT" w:cs="ArialMT"/>
          <w:sz w:val="24"/>
          <w:szCs w:val="24"/>
        </w:rPr>
        <w:t xml:space="preserve">nteractive) </w:t>
      </w:r>
      <w:r w:rsidR="001E38DD">
        <w:rPr>
          <w:rFonts w:eastAsia="ArialMT" w:cs="ArialMT"/>
          <w:sz w:val="24"/>
          <w:szCs w:val="24"/>
        </w:rPr>
        <w:t>p</w:t>
      </w:r>
      <w:r w:rsidRPr="004E1422">
        <w:rPr>
          <w:rFonts w:eastAsia="ArialMT" w:cs="ArialMT"/>
          <w:sz w:val="24"/>
          <w:szCs w:val="24"/>
        </w:rPr>
        <w:t xml:space="preserve">roblem </w:t>
      </w:r>
      <w:r w:rsidR="001E38DD">
        <w:rPr>
          <w:rFonts w:eastAsia="ArialMT" w:cs="ArialMT"/>
          <w:sz w:val="24"/>
          <w:szCs w:val="24"/>
        </w:rPr>
        <w:t>s</w:t>
      </w:r>
      <w:r w:rsidRPr="004E1422">
        <w:rPr>
          <w:rFonts w:eastAsia="ArialMT" w:cs="ArialMT"/>
          <w:sz w:val="24"/>
          <w:szCs w:val="24"/>
        </w:rPr>
        <w:t xml:space="preserve">olving and </w:t>
      </w:r>
      <w:r w:rsidR="001E38DD">
        <w:rPr>
          <w:rFonts w:eastAsia="ArialMT" w:cs="ArialMT"/>
          <w:sz w:val="24"/>
          <w:szCs w:val="24"/>
        </w:rPr>
        <w:t>o</w:t>
      </w:r>
      <w:r w:rsidRPr="004E1422">
        <w:rPr>
          <w:rFonts w:eastAsia="ArialMT" w:cs="ArialMT"/>
          <w:sz w:val="24"/>
          <w:szCs w:val="24"/>
        </w:rPr>
        <w:t xml:space="preserve">ther </w:t>
      </w:r>
      <w:r w:rsidR="001E38DD">
        <w:rPr>
          <w:rFonts w:eastAsia="ArialMT" w:cs="ArialMT"/>
          <w:sz w:val="24"/>
          <w:szCs w:val="24"/>
        </w:rPr>
        <w:t>e</w:t>
      </w:r>
      <w:r w:rsidRPr="004E1422">
        <w:rPr>
          <w:rFonts w:eastAsia="ArialMT" w:cs="ArialMT"/>
          <w:sz w:val="24"/>
          <w:szCs w:val="24"/>
        </w:rPr>
        <w:t xml:space="preserve">ssential </w:t>
      </w:r>
      <w:r w:rsidR="001E38DD">
        <w:rPr>
          <w:rFonts w:eastAsia="ArialMT" w:cs="ArialMT"/>
          <w:sz w:val="24"/>
          <w:szCs w:val="24"/>
        </w:rPr>
        <w:t>s</w:t>
      </w:r>
      <w:r w:rsidRPr="004E1422">
        <w:rPr>
          <w:rFonts w:eastAsia="ArialMT" w:cs="ArialMT"/>
          <w:sz w:val="24"/>
          <w:szCs w:val="24"/>
        </w:rPr>
        <w:t xml:space="preserve">kills. </w:t>
      </w:r>
      <w:r w:rsidRPr="004E1422">
        <w:rPr>
          <w:rFonts w:eastAsia="ArialMT" w:cs="ArialMT"/>
          <w:i/>
          <w:sz w:val="24"/>
          <w:szCs w:val="24"/>
        </w:rPr>
        <w:t>Industrial and Organizational Psychology, 8,</w:t>
      </w:r>
      <w:r w:rsidRPr="004E1422">
        <w:rPr>
          <w:rFonts w:eastAsia="ArialMT" w:cs="ArialMT"/>
          <w:sz w:val="24"/>
          <w:szCs w:val="24"/>
        </w:rPr>
        <w:t xml:space="preserve"> 276-281.</w:t>
      </w:r>
    </w:p>
    <w:p w:rsidR="001E38DD" w:rsidRDefault="00475373"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lang w:val="de-DE"/>
        </w:rPr>
        <w:t>Diener, E., &amp; Lucas, R. E. (1999).</w:t>
      </w:r>
      <w:r w:rsidRPr="004E1422">
        <w:rPr>
          <w:rFonts w:cs="Arial"/>
          <w:color w:val="222222"/>
          <w:sz w:val="24"/>
          <w:szCs w:val="24"/>
          <w:shd w:val="clear" w:color="auto" w:fill="FFFFFF"/>
        </w:rPr>
        <w:t xml:space="preserve"> Personality and Subjective Well-Being. </w:t>
      </w:r>
      <w:r w:rsidR="0092277D" w:rsidRPr="004E1422">
        <w:rPr>
          <w:rFonts w:cs="Arial"/>
          <w:color w:val="222222"/>
          <w:sz w:val="24"/>
          <w:szCs w:val="24"/>
          <w:shd w:val="clear" w:color="auto" w:fill="FFFFFF"/>
        </w:rPr>
        <w:t xml:space="preserve">In D. Kahneman, E. Diener, &amp; N. Schwarz (Eds.) </w:t>
      </w:r>
      <w:r w:rsidRPr="004E1422">
        <w:rPr>
          <w:rFonts w:cs="Arial"/>
          <w:i/>
          <w:iCs/>
          <w:color w:val="222222"/>
          <w:sz w:val="24"/>
          <w:szCs w:val="24"/>
          <w:shd w:val="clear" w:color="auto" w:fill="FFFFFF"/>
        </w:rPr>
        <w:t xml:space="preserve">Well-being: Foundations of </w:t>
      </w:r>
      <w:r w:rsidR="0092277D" w:rsidRPr="004E1422">
        <w:rPr>
          <w:rFonts w:cs="Arial"/>
          <w:i/>
          <w:iCs/>
          <w:color w:val="222222"/>
          <w:sz w:val="24"/>
          <w:szCs w:val="24"/>
          <w:shd w:val="clear" w:color="auto" w:fill="FFFFFF"/>
        </w:rPr>
        <w:t>H</w:t>
      </w:r>
      <w:r w:rsidRPr="004E1422">
        <w:rPr>
          <w:rFonts w:cs="Arial"/>
          <w:i/>
          <w:iCs/>
          <w:color w:val="222222"/>
          <w:sz w:val="24"/>
          <w:szCs w:val="24"/>
          <w:shd w:val="clear" w:color="auto" w:fill="FFFFFF"/>
        </w:rPr>
        <w:t xml:space="preserve">edonic </w:t>
      </w:r>
      <w:r w:rsidR="0092277D" w:rsidRPr="004E1422">
        <w:rPr>
          <w:rFonts w:cs="Arial"/>
          <w:i/>
          <w:iCs/>
          <w:color w:val="222222"/>
          <w:sz w:val="24"/>
          <w:szCs w:val="24"/>
          <w:shd w:val="clear" w:color="auto" w:fill="FFFFFF"/>
        </w:rPr>
        <w:t>P</w:t>
      </w:r>
      <w:r w:rsidRPr="004E1422">
        <w:rPr>
          <w:rFonts w:cs="Arial"/>
          <w:i/>
          <w:iCs/>
          <w:color w:val="222222"/>
          <w:sz w:val="24"/>
          <w:szCs w:val="24"/>
          <w:shd w:val="clear" w:color="auto" w:fill="FFFFFF"/>
        </w:rPr>
        <w:t>sychology</w:t>
      </w:r>
      <w:r w:rsidR="0092277D" w:rsidRPr="004E1422">
        <w:rPr>
          <w:rFonts w:cs="Arial"/>
          <w:color w:val="222222"/>
          <w:sz w:val="24"/>
          <w:szCs w:val="24"/>
          <w:shd w:val="clear" w:color="auto" w:fill="FFFFFF"/>
        </w:rPr>
        <w:t xml:space="preserve"> (pp.</w:t>
      </w:r>
      <w:r w:rsidRPr="004E1422">
        <w:rPr>
          <w:rFonts w:cs="Arial"/>
          <w:color w:val="222222"/>
          <w:sz w:val="24"/>
          <w:szCs w:val="24"/>
          <w:shd w:val="clear" w:color="auto" w:fill="FFFFFF"/>
        </w:rPr>
        <w:t xml:space="preserve"> 213</w:t>
      </w:r>
      <w:r w:rsidR="0092277D" w:rsidRPr="004E1422">
        <w:rPr>
          <w:rFonts w:cs="Arial"/>
          <w:color w:val="222222"/>
          <w:sz w:val="24"/>
          <w:szCs w:val="24"/>
          <w:shd w:val="clear" w:color="auto" w:fill="FFFFFF"/>
        </w:rPr>
        <w:t>-229)</w:t>
      </w:r>
      <w:r w:rsidRPr="004E1422">
        <w:rPr>
          <w:rFonts w:cs="Arial"/>
          <w:color w:val="222222"/>
          <w:sz w:val="24"/>
          <w:szCs w:val="24"/>
          <w:shd w:val="clear" w:color="auto" w:fill="FFFFFF"/>
        </w:rPr>
        <w:t>.</w:t>
      </w:r>
      <w:r w:rsidR="0092277D" w:rsidRPr="004E1422">
        <w:rPr>
          <w:rFonts w:cs="Arial"/>
          <w:color w:val="222222"/>
          <w:sz w:val="24"/>
          <w:szCs w:val="24"/>
          <w:shd w:val="clear" w:color="auto" w:fill="FFFFFF"/>
        </w:rPr>
        <w:t xml:space="preserve"> New York: Russell Sage. </w:t>
      </w:r>
    </w:p>
    <w:p w:rsidR="001E38DD" w:rsidRDefault="00E93C6E" w:rsidP="001E38DD">
      <w:pPr>
        <w:autoSpaceDE w:val="0"/>
        <w:autoSpaceDN w:val="0"/>
        <w:adjustRightInd w:val="0"/>
        <w:spacing w:after="0" w:line="240" w:lineRule="auto"/>
        <w:ind w:left="720" w:hanging="720"/>
        <w:rPr>
          <w:rStyle w:val="A4"/>
          <w:rFonts w:cs="TimesNewRomanPSMT"/>
          <w:color w:val="auto"/>
          <w:sz w:val="24"/>
          <w:szCs w:val="24"/>
        </w:rPr>
      </w:pPr>
      <w:r w:rsidRPr="004E1422">
        <w:rPr>
          <w:rStyle w:val="A4"/>
          <w:rFonts w:cstheme="minorHAnsi"/>
          <w:sz w:val="24"/>
          <w:szCs w:val="24"/>
        </w:rPr>
        <w:t xml:space="preserve">Durlak, J. A., Weissberg, R. P., &amp; Pachan, M. (2010). A meta-analysis of After-School Programs that seek to promote personal and social skills in children and adolescents. </w:t>
      </w:r>
      <w:r w:rsidRPr="004E1422">
        <w:rPr>
          <w:rStyle w:val="A4"/>
          <w:rFonts w:cstheme="minorHAnsi"/>
          <w:i/>
          <w:iCs/>
          <w:sz w:val="24"/>
          <w:szCs w:val="24"/>
        </w:rPr>
        <w:t>American Journal of Community Psychology, 45</w:t>
      </w:r>
      <w:r w:rsidRPr="004E1422">
        <w:rPr>
          <w:rStyle w:val="A4"/>
          <w:rFonts w:cstheme="minorHAnsi"/>
          <w:sz w:val="24"/>
          <w:szCs w:val="24"/>
        </w:rPr>
        <w:t>, 294-309.</w:t>
      </w:r>
    </w:p>
    <w:p w:rsidR="001E38DD" w:rsidRDefault="00D22CD5" w:rsidP="001E38DD">
      <w:pPr>
        <w:autoSpaceDE w:val="0"/>
        <w:autoSpaceDN w:val="0"/>
        <w:adjustRightInd w:val="0"/>
        <w:spacing w:after="0" w:line="240" w:lineRule="auto"/>
        <w:ind w:left="720" w:hanging="720"/>
        <w:rPr>
          <w:rFonts w:cs="TimesNewRomanPSMT"/>
          <w:sz w:val="24"/>
          <w:szCs w:val="24"/>
        </w:rPr>
      </w:pPr>
      <w:r w:rsidRPr="004E1422">
        <w:rPr>
          <w:rFonts w:cs="TimesNewRomanPSMT"/>
          <w:sz w:val="24"/>
          <w:szCs w:val="24"/>
        </w:rPr>
        <w:t>Goldberg, L. R., Sweeney, D., Merenda, P. F.</w:t>
      </w:r>
      <w:r w:rsidR="006C490D" w:rsidRPr="004E1422">
        <w:rPr>
          <w:rFonts w:cs="TimesNewRomanPSMT"/>
          <w:sz w:val="24"/>
          <w:szCs w:val="24"/>
        </w:rPr>
        <w:t>,</w:t>
      </w:r>
      <w:r w:rsidRPr="004E1422">
        <w:rPr>
          <w:rFonts w:cs="TimesNewRomanPSMT"/>
          <w:sz w:val="24"/>
          <w:szCs w:val="24"/>
        </w:rPr>
        <w:t xml:space="preserve"> &amp; Hughes, J. E. Jr. (1998). Demographic variables and personality: The effects of gender, age, education, and ethnic/racial status on self-descriptions of personality attributes. </w:t>
      </w:r>
      <w:r w:rsidRPr="004E1422">
        <w:rPr>
          <w:rFonts w:cs="Times New Roman"/>
          <w:i/>
          <w:iCs/>
          <w:sz w:val="24"/>
          <w:szCs w:val="24"/>
        </w:rPr>
        <w:t>Personality and Individual Differences</w:t>
      </w:r>
      <w:r w:rsidR="00614F92" w:rsidRPr="004E1422">
        <w:rPr>
          <w:rFonts w:cs="Times New Roman"/>
          <w:i/>
          <w:iCs/>
          <w:sz w:val="24"/>
          <w:szCs w:val="24"/>
        </w:rPr>
        <w:t>,</w:t>
      </w:r>
      <w:r w:rsidRPr="004E1422">
        <w:rPr>
          <w:rFonts w:cs="Times New Roman"/>
          <w:i/>
          <w:iCs/>
          <w:sz w:val="24"/>
          <w:szCs w:val="24"/>
        </w:rPr>
        <w:t xml:space="preserve"> </w:t>
      </w:r>
      <w:r w:rsidRPr="004E1422">
        <w:rPr>
          <w:rFonts w:cs="TimesNewRomanPS-BoldMT"/>
          <w:bCs/>
          <w:i/>
          <w:sz w:val="24"/>
          <w:szCs w:val="24"/>
        </w:rPr>
        <w:t>24</w:t>
      </w:r>
      <w:r w:rsidRPr="004E1422">
        <w:rPr>
          <w:rFonts w:cs="TimesNewRomanPSMT"/>
          <w:i/>
          <w:sz w:val="24"/>
          <w:szCs w:val="24"/>
        </w:rPr>
        <w:t>,</w:t>
      </w:r>
      <w:r w:rsidRPr="004E1422">
        <w:rPr>
          <w:rFonts w:cs="TimesNewRomanPSMT"/>
          <w:sz w:val="24"/>
          <w:szCs w:val="24"/>
        </w:rPr>
        <w:t xml:space="preserve"> 393-403</w:t>
      </w:r>
      <w:r w:rsidR="00614F92" w:rsidRPr="004E1422">
        <w:rPr>
          <w:rFonts w:cs="TimesNewRomanPSMT"/>
          <w:sz w:val="24"/>
          <w:szCs w:val="24"/>
        </w:rPr>
        <w:t>.</w:t>
      </w:r>
    </w:p>
    <w:p w:rsidR="001E38DD" w:rsidRDefault="00E93C6E" w:rsidP="001E38DD">
      <w:pPr>
        <w:autoSpaceDE w:val="0"/>
        <w:autoSpaceDN w:val="0"/>
        <w:adjustRightInd w:val="0"/>
        <w:spacing w:after="0" w:line="240" w:lineRule="auto"/>
        <w:ind w:left="720" w:hanging="720"/>
        <w:rPr>
          <w:sz w:val="24"/>
          <w:szCs w:val="24"/>
        </w:rPr>
      </w:pPr>
      <w:r w:rsidRPr="004E1422">
        <w:rPr>
          <w:sz w:val="24"/>
          <w:szCs w:val="24"/>
        </w:rPr>
        <w:t xml:space="preserve">Haller, E. P., Child, D. A., &amp; Walberg, H. J. (1988). Can comprehension be taught? A quantitative synthesis of “metacognitive” studies. </w:t>
      </w:r>
      <w:r w:rsidRPr="004E1422">
        <w:rPr>
          <w:i/>
          <w:sz w:val="24"/>
          <w:szCs w:val="24"/>
        </w:rPr>
        <w:t xml:space="preserve">Educational Researcher, 17, </w:t>
      </w:r>
      <w:r w:rsidRPr="004E1422">
        <w:rPr>
          <w:sz w:val="24"/>
          <w:szCs w:val="24"/>
        </w:rPr>
        <w:t>5-8.</w:t>
      </w:r>
    </w:p>
    <w:p w:rsidR="001E38DD" w:rsidRDefault="00E93C6E"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Hembree, R. (1988). Correlates, causes, effects, and treatment of test anxiety. </w:t>
      </w:r>
      <w:r w:rsidRPr="004E1422">
        <w:rPr>
          <w:i/>
          <w:iCs/>
          <w:sz w:val="24"/>
          <w:szCs w:val="24"/>
        </w:rPr>
        <w:t>Review of Educational Research</w:t>
      </w:r>
      <w:r w:rsidRPr="004E1422">
        <w:rPr>
          <w:sz w:val="24"/>
          <w:szCs w:val="24"/>
        </w:rPr>
        <w:t xml:space="preserve">, </w:t>
      </w:r>
      <w:r w:rsidRPr="004E1422">
        <w:rPr>
          <w:i/>
          <w:iCs/>
          <w:sz w:val="24"/>
          <w:szCs w:val="24"/>
        </w:rPr>
        <w:t>58</w:t>
      </w:r>
      <w:r w:rsidRPr="004E1422">
        <w:rPr>
          <w:sz w:val="24"/>
          <w:szCs w:val="24"/>
        </w:rPr>
        <w:t>, 7-77.</w:t>
      </w:r>
    </w:p>
    <w:p w:rsidR="001E38DD" w:rsidRDefault="00343BFB"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Hooper</w:t>
      </w:r>
      <w:r w:rsidR="00474D43" w:rsidRPr="004E1422">
        <w:rPr>
          <w:rFonts w:cs="Arial"/>
          <w:color w:val="222222"/>
          <w:sz w:val="24"/>
          <w:szCs w:val="24"/>
          <w:shd w:val="clear" w:color="auto" w:fill="FFFFFF"/>
        </w:rPr>
        <w:t xml:space="preserve">, A. C., Cullen, </w:t>
      </w:r>
      <w:r w:rsidRPr="004E1422">
        <w:rPr>
          <w:rFonts w:cs="Arial"/>
          <w:color w:val="222222"/>
          <w:sz w:val="24"/>
          <w:szCs w:val="24"/>
          <w:shd w:val="clear" w:color="auto" w:fill="FFFFFF"/>
        </w:rPr>
        <w:t>M. J., &amp; Sackett</w:t>
      </w:r>
      <w:r w:rsidR="00474D43" w:rsidRPr="004E1422">
        <w:rPr>
          <w:rFonts w:cs="Arial"/>
          <w:color w:val="222222"/>
          <w:sz w:val="24"/>
          <w:szCs w:val="24"/>
          <w:shd w:val="clear" w:color="auto" w:fill="FFFFFF"/>
        </w:rPr>
        <w:t>, P. R. (2006). Operational threats to the use of Situational Judgment Tests: Faking, coaching, and retesting issues. In J. Weekley and R. Ployhart (Eds.)</w:t>
      </w:r>
      <w:r w:rsidR="008A64E8" w:rsidRPr="004E1422">
        <w:rPr>
          <w:rFonts w:cs="Arial"/>
          <w:color w:val="222222"/>
          <w:sz w:val="24"/>
          <w:szCs w:val="24"/>
          <w:shd w:val="clear" w:color="auto" w:fill="FFFFFF"/>
        </w:rPr>
        <w:t>,</w:t>
      </w:r>
      <w:r w:rsidR="00474D43" w:rsidRPr="004E1422">
        <w:rPr>
          <w:rFonts w:cs="Arial"/>
          <w:i/>
          <w:color w:val="222222"/>
          <w:sz w:val="24"/>
          <w:szCs w:val="24"/>
          <w:shd w:val="clear" w:color="auto" w:fill="FFFFFF"/>
        </w:rPr>
        <w:t xml:space="preserve"> Situationa</w:t>
      </w:r>
      <w:r w:rsidR="00E24357" w:rsidRPr="004E1422">
        <w:rPr>
          <w:rFonts w:cs="Arial"/>
          <w:i/>
          <w:color w:val="222222"/>
          <w:sz w:val="24"/>
          <w:szCs w:val="24"/>
          <w:shd w:val="clear" w:color="auto" w:fill="FFFFFF"/>
        </w:rPr>
        <w:t>l Judgment Tests</w:t>
      </w:r>
      <w:r w:rsidR="00E24357" w:rsidRPr="004E1422">
        <w:rPr>
          <w:rFonts w:cs="Arial"/>
          <w:color w:val="222222"/>
          <w:sz w:val="24"/>
          <w:szCs w:val="24"/>
          <w:shd w:val="clear" w:color="auto" w:fill="FFFFFF"/>
        </w:rPr>
        <w:t xml:space="preserve"> (pp. 205 – 323</w:t>
      </w:r>
      <w:r w:rsidR="00474D43" w:rsidRPr="004E1422">
        <w:rPr>
          <w:rFonts w:cs="Arial"/>
          <w:color w:val="222222"/>
          <w:sz w:val="24"/>
          <w:szCs w:val="24"/>
          <w:shd w:val="clear" w:color="auto" w:fill="FFFFFF"/>
        </w:rPr>
        <w:t xml:space="preserve">). </w:t>
      </w:r>
      <w:r w:rsidR="00474D43" w:rsidRPr="004E1422">
        <w:rPr>
          <w:rFonts w:cs="Arial"/>
          <w:color w:val="222222"/>
          <w:sz w:val="24"/>
          <w:szCs w:val="24"/>
          <w:shd w:val="clear" w:color="auto" w:fill="FFFFFF"/>
          <w:lang w:val="de-DE"/>
        </w:rPr>
        <w:t xml:space="preserve">Mahwah, NJ : Lawrence </w:t>
      </w:r>
      <w:r w:rsidR="00E24357" w:rsidRPr="004E1422">
        <w:rPr>
          <w:rFonts w:cs="Arial"/>
          <w:color w:val="222222"/>
          <w:sz w:val="24"/>
          <w:szCs w:val="24"/>
          <w:shd w:val="clear" w:color="auto" w:fill="FFFFFF"/>
          <w:lang w:val="de-DE"/>
        </w:rPr>
        <w:t>Erlbaum.</w:t>
      </w:r>
    </w:p>
    <w:p w:rsidR="001E38DD" w:rsidRDefault="00E12C3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Hough, L. M., &amp; Oswald, F. L. (2008). Personality testing and industrial–organizational psychology: Reflections, progress, and prospects.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Industrial and Organizational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w:t>
      </w:r>
      <w:r w:rsidRPr="004E1422">
        <w:rPr>
          <w:rFonts w:cs="Arial"/>
          <w:color w:val="222222"/>
          <w:sz w:val="24"/>
          <w:szCs w:val="24"/>
          <w:shd w:val="clear" w:color="auto" w:fill="FFFFFF"/>
        </w:rPr>
        <w:t>, 272-290.</w:t>
      </w:r>
    </w:p>
    <w:p w:rsidR="001E38DD" w:rsidRDefault="00F57BD1"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lang w:val="de-DE"/>
        </w:rPr>
        <w:t xml:space="preserve">Hunter, J. E., &amp; Hunter, R. F. (1984). </w:t>
      </w:r>
      <w:r w:rsidRPr="004E1422">
        <w:rPr>
          <w:rFonts w:cs="Arial"/>
          <w:color w:val="222222"/>
          <w:sz w:val="24"/>
          <w:szCs w:val="24"/>
          <w:shd w:val="clear" w:color="auto" w:fill="FFFFFF"/>
        </w:rPr>
        <w:t xml:space="preserve">Validity and utility of alternative predictors of job </w:t>
      </w:r>
      <w:r w:rsidR="00833A08" w:rsidRPr="004E1422">
        <w:rPr>
          <w:rFonts w:cs="Arial"/>
          <w:color w:val="222222"/>
          <w:sz w:val="24"/>
          <w:szCs w:val="24"/>
          <w:shd w:val="clear" w:color="auto" w:fill="FFFFFF"/>
        </w:rPr>
        <w:t>p</w:t>
      </w:r>
      <w:r w:rsidRPr="004E1422">
        <w:rPr>
          <w:rFonts w:cs="Arial"/>
          <w:color w:val="222222"/>
          <w:sz w:val="24"/>
          <w:szCs w:val="24"/>
          <w:shd w:val="clear" w:color="auto" w:fill="FFFFFF"/>
        </w:rPr>
        <w:t>erformance.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Psychological Bulletin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96</w:t>
      </w:r>
      <w:r w:rsidRPr="004E1422">
        <w:rPr>
          <w:rFonts w:cs="Arial"/>
          <w:color w:val="222222"/>
          <w:sz w:val="24"/>
          <w:szCs w:val="24"/>
          <w:shd w:val="clear" w:color="auto" w:fill="FFFFFF"/>
        </w:rPr>
        <w:t>, 72-98.</w:t>
      </w:r>
    </w:p>
    <w:p w:rsidR="001E38DD" w:rsidRDefault="008F4F5B"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John, O. P., &amp; De Fruyt, F. D. (2015). </w:t>
      </w:r>
      <w:r w:rsidRPr="004E1422">
        <w:rPr>
          <w:i/>
          <w:sz w:val="24"/>
          <w:szCs w:val="24"/>
        </w:rPr>
        <w:t xml:space="preserve">Framework for the Longitudinal Study of Social and Emotional Skills in Cities. </w:t>
      </w:r>
      <w:r w:rsidRPr="004E1422">
        <w:rPr>
          <w:sz w:val="24"/>
          <w:szCs w:val="24"/>
        </w:rPr>
        <w:t>Retrieved from http://www.oecd.org/officialdocuments/publicdisplaydocumentpdf/?cote=EDU/CERI/CD(2015)13&amp;docLanguage=En</w:t>
      </w:r>
    </w:p>
    <w:p w:rsidR="001E38DD" w:rsidRDefault="0092277D"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Judge, T. A., &amp; Bono, J. E. (2001). Relationship of core self-evaluations traits—self-esteem, generalized self-efficacy, locus of control, and emotional stability—with job satisfaction and job performance: A meta-analysis. </w:t>
      </w:r>
      <w:r w:rsidRPr="004E1422">
        <w:rPr>
          <w:i/>
          <w:sz w:val="24"/>
          <w:szCs w:val="24"/>
        </w:rPr>
        <w:t>Journal of Applied Psychology, 86,</w:t>
      </w:r>
      <w:r w:rsidRPr="004E1422">
        <w:rPr>
          <w:sz w:val="24"/>
          <w:szCs w:val="24"/>
        </w:rPr>
        <w:t xml:space="preserve"> 80–92. </w:t>
      </w:r>
    </w:p>
    <w:p w:rsidR="001E38DD" w:rsidRDefault="00C03AE7"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Judge, T. A., Heller, D., &amp; Mount, M. K. (2002). Five-factor model of personality and job satisfaction: A meta-analysis. </w:t>
      </w:r>
      <w:r w:rsidRPr="004E1422">
        <w:rPr>
          <w:i/>
          <w:sz w:val="24"/>
          <w:szCs w:val="24"/>
        </w:rPr>
        <w:t>Journal of Applied Psychology, 87</w:t>
      </w:r>
      <w:r w:rsidRPr="004E1422">
        <w:rPr>
          <w:sz w:val="24"/>
          <w:szCs w:val="24"/>
        </w:rPr>
        <w:t>, 530–541.</w:t>
      </w:r>
    </w:p>
    <w:p w:rsidR="001E38DD" w:rsidRDefault="00475373" w:rsidP="001E38DD">
      <w:pPr>
        <w:autoSpaceDE w:val="0"/>
        <w:autoSpaceDN w:val="0"/>
        <w:adjustRightInd w:val="0"/>
        <w:spacing w:after="0" w:line="240" w:lineRule="auto"/>
        <w:ind w:left="720" w:hanging="720"/>
        <w:rPr>
          <w:rFonts w:cs="TimesNewRomanPSMT"/>
          <w:sz w:val="24"/>
          <w:szCs w:val="24"/>
        </w:rPr>
      </w:pPr>
      <w:r w:rsidRPr="004E1422">
        <w:rPr>
          <w:sz w:val="24"/>
          <w:szCs w:val="24"/>
        </w:rPr>
        <w:lastRenderedPageBreak/>
        <w:t xml:space="preserve">Judge, T. A., Klinger, R., Simon, L. S., &amp; Yang, I. W. F. (2008). The contributions of personality to organizational behavior and psychology: Findings, criticisms, and future research directions. </w:t>
      </w:r>
      <w:r w:rsidRPr="004E1422">
        <w:rPr>
          <w:i/>
          <w:sz w:val="24"/>
          <w:szCs w:val="24"/>
        </w:rPr>
        <w:t xml:space="preserve">Social and Personality Psychology Compass, 2, </w:t>
      </w:r>
      <w:r w:rsidRPr="004E1422">
        <w:rPr>
          <w:sz w:val="24"/>
          <w:szCs w:val="24"/>
        </w:rPr>
        <w:t>1982–2000.</w:t>
      </w:r>
    </w:p>
    <w:p w:rsidR="001E38DD" w:rsidRDefault="0070746D"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Judge, T. A., Rodell, J. B., Klinger, R. L., Simon, L. S., &amp; Crawford, E. R. (2013). Hierarchical representations of the five-factor model of personality in predicting job performance: integrating three organizing frameworks with two theoretical perspectives. </w:t>
      </w:r>
      <w:r w:rsidRPr="004E1422">
        <w:rPr>
          <w:rFonts w:cs="Arial"/>
          <w:i/>
          <w:iCs/>
          <w:color w:val="222222"/>
          <w:sz w:val="24"/>
          <w:szCs w:val="24"/>
          <w:shd w:val="clear" w:color="auto" w:fill="FFFFFF"/>
        </w:rPr>
        <w:t>Journal of Applied Psychology</w:t>
      </w:r>
      <w:r w:rsidRPr="004E1422">
        <w:rPr>
          <w:rFonts w:cs="Arial"/>
          <w:color w:val="222222"/>
          <w:sz w:val="24"/>
          <w:szCs w:val="24"/>
          <w:shd w:val="clear" w:color="auto" w:fill="FFFFFF"/>
        </w:rPr>
        <w:t>, </w:t>
      </w:r>
      <w:r w:rsidRPr="004E1422">
        <w:rPr>
          <w:rFonts w:cs="Arial"/>
          <w:i/>
          <w:iCs/>
          <w:color w:val="222222"/>
          <w:sz w:val="24"/>
          <w:szCs w:val="24"/>
          <w:shd w:val="clear" w:color="auto" w:fill="FFFFFF"/>
        </w:rPr>
        <w:t>98</w:t>
      </w:r>
      <w:r w:rsidRPr="004E1422">
        <w:rPr>
          <w:rFonts w:cs="Arial"/>
          <w:color w:val="222222"/>
          <w:sz w:val="24"/>
          <w:szCs w:val="24"/>
          <w:shd w:val="clear" w:color="auto" w:fill="FFFFFF"/>
        </w:rPr>
        <w:t>, 875.</w:t>
      </w:r>
    </w:p>
    <w:p w:rsidR="001E38DD" w:rsidRDefault="00741E4E"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Judge, T. A., Thoresen, C. J., Bono, J. E., &amp; Patton, G. K. (2001). The job satisfaction–job performance relationship: A qualitative and quantitative review. </w:t>
      </w:r>
      <w:r w:rsidRPr="004E1422">
        <w:rPr>
          <w:rFonts w:cs="Arial"/>
          <w:i/>
          <w:iCs/>
          <w:color w:val="222222"/>
          <w:sz w:val="24"/>
          <w:szCs w:val="24"/>
          <w:shd w:val="clear" w:color="auto" w:fill="FFFFFF"/>
        </w:rPr>
        <w:t>Psychological Bulletin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127</w:t>
      </w:r>
      <w:r w:rsidRPr="004E1422">
        <w:rPr>
          <w:rFonts w:cs="Arial"/>
          <w:color w:val="222222"/>
          <w:sz w:val="24"/>
          <w:szCs w:val="24"/>
          <w:shd w:val="clear" w:color="auto" w:fill="FFFFFF"/>
        </w:rPr>
        <w:t>, 376</w:t>
      </w:r>
      <w:r w:rsidR="00732338" w:rsidRPr="004E1422">
        <w:rPr>
          <w:rFonts w:cs="Arial"/>
          <w:color w:val="222222"/>
          <w:sz w:val="24"/>
          <w:szCs w:val="24"/>
          <w:shd w:val="clear" w:color="auto" w:fill="FFFFFF"/>
        </w:rPr>
        <w:t>-407.</w:t>
      </w:r>
    </w:p>
    <w:p w:rsidR="001E38DD" w:rsidRDefault="004E442D"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Kuncel, N. R., Hezlett, S. A., &amp; Ones, D. S. (2001). A comprehensive meta-analysis of the predictive validity of the graduate record examinations: implications for graduate student selection and performance.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Psychological Bulletin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127</w:t>
      </w:r>
      <w:r w:rsidRPr="004E1422">
        <w:rPr>
          <w:rFonts w:cs="Arial"/>
          <w:color w:val="222222"/>
          <w:sz w:val="24"/>
          <w:szCs w:val="24"/>
          <w:shd w:val="clear" w:color="auto" w:fill="FFFFFF"/>
        </w:rPr>
        <w:t>, 162-181.</w:t>
      </w:r>
    </w:p>
    <w:p w:rsidR="001E38DD" w:rsidRDefault="00C03AE7"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Kyllonen, P. C., Lipnevich, A. A., Burrus, J., &amp; Roberts, R. D. (2014). Personality, motivation, and college readiness: A prospectus for assessment and development. </w:t>
      </w:r>
      <w:r w:rsidR="00E12C36" w:rsidRPr="004E1422">
        <w:rPr>
          <w:rFonts w:cs="Arial"/>
          <w:i/>
          <w:color w:val="222222"/>
          <w:sz w:val="24"/>
          <w:szCs w:val="24"/>
          <w:shd w:val="clear" w:color="auto" w:fill="FFFFFF"/>
        </w:rPr>
        <w:t>ETS RR-14-06.</w:t>
      </w:r>
      <w:r w:rsidRPr="004E1422">
        <w:rPr>
          <w:rFonts w:cs="Arial"/>
          <w:color w:val="222222"/>
          <w:sz w:val="24"/>
          <w:szCs w:val="24"/>
          <w:shd w:val="clear" w:color="auto" w:fill="FFFFFF"/>
        </w:rPr>
        <w:t xml:space="preserve"> Princeton, NJ: Educational Testing Service.</w:t>
      </w:r>
    </w:p>
    <w:p w:rsidR="001E38DD" w:rsidRDefault="00475373"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Lindqvist, E., &amp; Vestman, R. (2011). The labor market returns to cognitive and noncognitive ability: Evidence from the Swedish enlistment. </w:t>
      </w:r>
      <w:r w:rsidRPr="004E1422">
        <w:rPr>
          <w:i/>
          <w:sz w:val="24"/>
          <w:szCs w:val="24"/>
        </w:rPr>
        <w:t>American Economic Journal: Applied Economics, 3,</w:t>
      </w:r>
      <w:r w:rsidRPr="004E1422">
        <w:rPr>
          <w:sz w:val="24"/>
          <w:szCs w:val="24"/>
        </w:rPr>
        <w:t xml:space="preserve"> 101–</w:t>
      </w:r>
      <w:r w:rsidR="00C03AE7" w:rsidRPr="004E1422">
        <w:rPr>
          <w:sz w:val="24"/>
          <w:szCs w:val="24"/>
        </w:rPr>
        <w:t>1</w:t>
      </w:r>
      <w:r w:rsidRPr="004E1422">
        <w:rPr>
          <w:sz w:val="24"/>
          <w:szCs w:val="24"/>
        </w:rPr>
        <w:t>28.</w:t>
      </w:r>
    </w:p>
    <w:p w:rsidR="001E38DD" w:rsidRDefault="00BD63F6"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MacCann, C., Duckworth, A. L., &amp; Roberts, R. D. (2009). Empirical identification of the major facets of conscientiousness.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Learning and Individual Differences</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19</w:t>
      </w:r>
      <w:r w:rsidRPr="004E1422">
        <w:rPr>
          <w:rFonts w:cs="Arial"/>
          <w:i/>
          <w:color w:val="222222"/>
          <w:sz w:val="24"/>
          <w:szCs w:val="24"/>
          <w:shd w:val="clear" w:color="auto" w:fill="FFFFFF"/>
        </w:rPr>
        <w:t>,</w:t>
      </w:r>
      <w:r w:rsidRPr="004E1422">
        <w:rPr>
          <w:rFonts w:cs="Arial"/>
          <w:color w:val="222222"/>
          <w:sz w:val="24"/>
          <w:szCs w:val="24"/>
          <w:shd w:val="clear" w:color="auto" w:fill="FFFFFF"/>
        </w:rPr>
        <w:t xml:space="preserve"> 451-458.</w:t>
      </w:r>
    </w:p>
    <w:p w:rsidR="001E38DD" w:rsidRDefault="00996F47" w:rsidP="001E38DD">
      <w:pPr>
        <w:autoSpaceDE w:val="0"/>
        <w:autoSpaceDN w:val="0"/>
        <w:adjustRightInd w:val="0"/>
        <w:spacing w:after="0" w:line="240" w:lineRule="auto"/>
        <w:ind w:left="720" w:hanging="720"/>
        <w:rPr>
          <w:rFonts w:cs="TimesNewRomanPSMT"/>
          <w:sz w:val="24"/>
          <w:szCs w:val="24"/>
        </w:rPr>
      </w:pPr>
      <w:r w:rsidRPr="004E1422">
        <w:rPr>
          <w:rFonts w:cs="Akzidenz-Grotesk Std Light"/>
          <w:color w:val="000000"/>
          <w:sz w:val="24"/>
          <w:szCs w:val="24"/>
        </w:rPr>
        <w:t>Mattern, K.</w:t>
      </w:r>
      <w:r w:rsidR="00C03AE7" w:rsidRPr="004E1422">
        <w:rPr>
          <w:rFonts w:cs="Akzidenz-Grotesk Std Light"/>
          <w:color w:val="000000"/>
          <w:sz w:val="24"/>
          <w:szCs w:val="24"/>
        </w:rPr>
        <w:t xml:space="preserve"> </w:t>
      </w:r>
      <w:r w:rsidRPr="004E1422">
        <w:rPr>
          <w:rFonts w:cs="Akzidenz-Grotesk Std Light"/>
          <w:color w:val="000000"/>
          <w:sz w:val="24"/>
          <w:szCs w:val="24"/>
        </w:rPr>
        <w:t>D.</w:t>
      </w:r>
      <w:r w:rsidR="00614F92" w:rsidRPr="004E1422">
        <w:rPr>
          <w:rFonts w:cs="Akzidenz-Grotesk Std Light"/>
          <w:color w:val="000000"/>
          <w:sz w:val="24"/>
          <w:szCs w:val="24"/>
        </w:rPr>
        <w:t xml:space="preserve">, </w:t>
      </w:r>
      <w:r w:rsidRPr="004E1422">
        <w:rPr>
          <w:rFonts w:cs="Akzidenz-Grotesk Std Light"/>
          <w:color w:val="000000"/>
          <w:sz w:val="24"/>
          <w:szCs w:val="24"/>
        </w:rPr>
        <w:t>&amp;</w:t>
      </w:r>
      <w:r w:rsidR="00614F92" w:rsidRPr="004E1422">
        <w:rPr>
          <w:rFonts w:cs="Akzidenz-Grotesk Std Light"/>
          <w:color w:val="000000"/>
          <w:sz w:val="24"/>
          <w:szCs w:val="24"/>
        </w:rPr>
        <w:t xml:space="preserve"> Patterson, B.</w:t>
      </w:r>
      <w:r w:rsidR="00C03AE7" w:rsidRPr="004E1422">
        <w:rPr>
          <w:rFonts w:cs="Akzidenz-Grotesk Std Light"/>
          <w:color w:val="000000"/>
          <w:sz w:val="24"/>
          <w:szCs w:val="24"/>
        </w:rPr>
        <w:t xml:space="preserve"> </w:t>
      </w:r>
      <w:r w:rsidR="00614F92" w:rsidRPr="004E1422">
        <w:rPr>
          <w:rFonts w:cs="Akzidenz-Grotesk Std Light"/>
          <w:color w:val="000000"/>
          <w:sz w:val="24"/>
          <w:szCs w:val="24"/>
        </w:rPr>
        <w:t>F. (2011</w:t>
      </w:r>
      <w:r w:rsidRPr="004E1422">
        <w:rPr>
          <w:rFonts w:cs="Akzidenz-Grotesk Std Light"/>
          <w:color w:val="000000"/>
          <w:sz w:val="24"/>
          <w:szCs w:val="24"/>
        </w:rPr>
        <w:t>).</w:t>
      </w:r>
      <w:r w:rsidRPr="004E1422">
        <w:rPr>
          <w:rFonts w:cs="Akzidenz-Grotesk Std Light"/>
          <w:i/>
          <w:color w:val="000000"/>
          <w:sz w:val="24"/>
          <w:szCs w:val="24"/>
        </w:rPr>
        <w:t>The Validity of the SAT for Predicting Fourth-Year Grades: 2006 SAT Validity Sample.</w:t>
      </w:r>
      <w:r w:rsidR="00614F92" w:rsidRPr="004E1422">
        <w:rPr>
          <w:rFonts w:cs="Akzidenz-Grotesk Std Light"/>
          <w:i/>
          <w:color w:val="000000"/>
          <w:sz w:val="24"/>
          <w:szCs w:val="24"/>
        </w:rPr>
        <w:t xml:space="preserve"> </w:t>
      </w:r>
      <w:r w:rsidRPr="004E1422">
        <w:rPr>
          <w:rFonts w:cs="Akzidenz-Grotesk Std Light"/>
          <w:color w:val="000000"/>
          <w:sz w:val="24"/>
          <w:szCs w:val="24"/>
        </w:rPr>
        <w:t>(College Board Statistical Report 2011-7). New York, NY: The College Board.</w:t>
      </w:r>
    </w:p>
    <w:p w:rsidR="001E38DD" w:rsidRDefault="00B56C60" w:rsidP="001E38DD">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lang w:val="de-DE"/>
        </w:rPr>
        <w:t xml:space="preserve">McAbee, S. T., &amp; Oswald, F. L. (2013). </w:t>
      </w:r>
      <w:r w:rsidRPr="004E1422">
        <w:rPr>
          <w:rFonts w:cs="Arial"/>
          <w:color w:val="222222"/>
          <w:sz w:val="24"/>
          <w:szCs w:val="24"/>
          <w:shd w:val="clear" w:color="auto" w:fill="FFFFFF"/>
        </w:rPr>
        <w:t xml:space="preserve">The criterion-related validity of personality measures for predicting GPA: A meta-analytic validity competition. </w:t>
      </w:r>
      <w:r w:rsidRPr="004E1422">
        <w:rPr>
          <w:rFonts w:cs="Arial"/>
          <w:i/>
          <w:iCs/>
          <w:color w:val="222222"/>
          <w:sz w:val="24"/>
          <w:szCs w:val="24"/>
          <w:shd w:val="clear" w:color="auto" w:fill="FFFFFF"/>
        </w:rPr>
        <w:t>Psychological Assessment</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25</w:t>
      </w:r>
      <w:r w:rsidRPr="004E1422">
        <w:rPr>
          <w:rFonts w:cs="Arial"/>
          <w:color w:val="222222"/>
          <w:sz w:val="24"/>
          <w:szCs w:val="24"/>
          <w:shd w:val="clear" w:color="auto" w:fill="FFFFFF"/>
        </w:rPr>
        <w:t>, 532-544.</w:t>
      </w:r>
      <w:r w:rsidRPr="004E1422">
        <w:rPr>
          <w:sz w:val="24"/>
          <w:szCs w:val="24"/>
        </w:rPr>
        <w:t xml:space="preserve"> </w:t>
      </w:r>
    </w:p>
    <w:p w:rsidR="001E38DD" w:rsidRDefault="00543957" w:rsidP="001E38DD">
      <w:pPr>
        <w:autoSpaceDE w:val="0"/>
        <w:autoSpaceDN w:val="0"/>
        <w:adjustRightInd w:val="0"/>
        <w:spacing w:after="0" w:line="240" w:lineRule="auto"/>
        <w:ind w:left="720" w:hanging="720"/>
        <w:rPr>
          <w:rFonts w:cs="TimesNewRomanPSMT"/>
          <w:sz w:val="24"/>
          <w:szCs w:val="24"/>
        </w:rPr>
      </w:pPr>
      <w:r w:rsidRPr="004E1422">
        <w:rPr>
          <w:sz w:val="24"/>
          <w:szCs w:val="24"/>
        </w:rPr>
        <w:t xml:space="preserve">Moore, J. L., Way, J. D., Casillas, A., Burrus, J., Allen, J., &amp; Hanson, M. A. (in press). Effects of psychosocial characteristics of middle school students on high school grades and on-time graduation. </w:t>
      </w:r>
      <w:r w:rsidRPr="004E1422">
        <w:rPr>
          <w:i/>
          <w:sz w:val="24"/>
          <w:szCs w:val="24"/>
        </w:rPr>
        <w:t xml:space="preserve">European Journal of Personality Assessment. </w:t>
      </w:r>
    </w:p>
    <w:p w:rsidR="001E38DD" w:rsidRDefault="00790DCB" w:rsidP="001E38DD">
      <w:pPr>
        <w:autoSpaceDE w:val="0"/>
        <w:autoSpaceDN w:val="0"/>
        <w:adjustRightInd w:val="0"/>
        <w:spacing w:after="0" w:line="240" w:lineRule="auto"/>
        <w:ind w:left="720" w:hanging="720"/>
        <w:rPr>
          <w:rFonts w:cs="TimesNewRomanPSMT"/>
          <w:sz w:val="24"/>
          <w:szCs w:val="24"/>
        </w:rPr>
      </w:pPr>
      <w:r w:rsidRPr="004E1422">
        <w:rPr>
          <w:rFonts w:cs="TimesNewRomanPSMT"/>
          <w:sz w:val="24"/>
          <w:szCs w:val="24"/>
        </w:rPr>
        <w:t>Murtaugh, P. A., Burns, L. D., &amp; Schuster, J. (1999). Predicting the retention of university</w:t>
      </w:r>
      <w:r w:rsidR="00614F92" w:rsidRPr="004E1422">
        <w:rPr>
          <w:rFonts w:cs="TimesNewRomanPSMT"/>
          <w:sz w:val="24"/>
          <w:szCs w:val="24"/>
        </w:rPr>
        <w:t xml:space="preserve"> </w:t>
      </w:r>
      <w:r w:rsidRPr="004E1422">
        <w:rPr>
          <w:rFonts w:cs="TimesNewRomanPSMT"/>
          <w:sz w:val="24"/>
          <w:szCs w:val="24"/>
        </w:rPr>
        <w:t xml:space="preserve">students. </w:t>
      </w:r>
      <w:r w:rsidRPr="004E1422">
        <w:rPr>
          <w:rFonts w:cs="TimesNewRomanPS-ItalicMT"/>
          <w:i/>
          <w:iCs/>
          <w:sz w:val="24"/>
          <w:szCs w:val="24"/>
        </w:rPr>
        <w:t>Research in Higher Education</w:t>
      </w:r>
      <w:r w:rsidRPr="004E1422">
        <w:rPr>
          <w:rFonts w:cs="TimesNewRomanPSMT"/>
          <w:sz w:val="24"/>
          <w:szCs w:val="24"/>
        </w:rPr>
        <w:t xml:space="preserve">, </w:t>
      </w:r>
      <w:r w:rsidRPr="004E1422">
        <w:rPr>
          <w:rFonts w:cs="TimesNewRomanPS-ItalicMT"/>
          <w:i/>
          <w:iCs/>
          <w:sz w:val="24"/>
          <w:szCs w:val="24"/>
        </w:rPr>
        <w:t>40</w:t>
      </w:r>
      <w:r w:rsidRPr="004E1422">
        <w:rPr>
          <w:rFonts w:cs="TimesNewRomanPSMT"/>
          <w:sz w:val="24"/>
          <w:szCs w:val="24"/>
        </w:rPr>
        <w:t>, 355–371.</w:t>
      </w:r>
    </w:p>
    <w:p w:rsidR="00235C1B" w:rsidRDefault="003D47DF" w:rsidP="00235C1B">
      <w:pPr>
        <w:autoSpaceDE w:val="0"/>
        <w:autoSpaceDN w:val="0"/>
        <w:adjustRightInd w:val="0"/>
        <w:spacing w:after="0" w:line="240" w:lineRule="auto"/>
        <w:ind w:left="720" w:hanging="720"/>
        <w:rPr>
          <w:rFonts w:cs="TimesNewRomanPSMT"/>
          <w:sz w:val="24"/>
          <w:szCs w:val="24"/>
        </w:rPr>
      </w:pPr>
      <w:r w:rsidRPr="004E1422">
        <w:rPr>
          <w:rFonts w:cs="MyriadPro-Regular"/>
          <w:sz w:val="24"/>
          <w:szCs w:val="24"/>
        </w:rPr>
        <w:t xml:space="preserve">Neild, R. C., &amp; Balfanz, R. (2006). </w:t>
      </w:r>
      <w:r w:rsidRPr="004E1422">
        <w:rPr>
          <w:rFonts w:cs="MyriadPro-It"/>
          <w:i/>
          <w:iCs/>
          <w:sz w:val="24"/>
          <w:szCs w:val="24"/>
        </w:rPr>
        <w:t>Unfulfilled promise: The dimensions and characteristics of</w:t>
      </w:r>
      <w:r w:rsidR="00235C1B">
        <w:rPr>
          <w:rFonts w:cs="TimesNewRomanPSMT"/>
          <w:sz w:val="24"/>
          <w:szCs w:val="24"/>
        </w:rPr>
        <w:t xml:space="preserve"> </w:t>
      </w:r>
      <w:r w:rsidRPr="004E1422">
        <w:rPr>
          <w:rFonts w:cs="MyriadPro-It"/>
          <w:i/>
          <w:iCs/>
          <w:sz w:val="24"/>
          <w:szCs w:val="24"/>
        </w:rPr>
        <w:t xml:space="preserve">Philadelphia’s dropout crisis, 2000–2005. </w:t>
      </w:r>
      <w:r w:rsidRPr="004E1422">
        <w:rPr>
          <w:rFonts w:cs="MyriadPro-Regular"/>
          <w:sz w:val="24"/>
          <w:szCs w:val="24"/>
        </w:rPr>
        <w:t xml:space="preserve">Retrieved from </w:t>
      </w:r>
      <w:r w:rsidR="00614F92" w:rsidRPr="004E1422">
        <w:rPr>
          <w:rFonts w:cs="MyriadPro-Regular"/>
          <w:sz w:val="24"/>
          <w:szCs w:val="24"/>
        </w:rPr>
        <w:t>h</w:t>
      </w:r>
      <w:r w:rsidRPr="004E1422">
        <w:rPr>
          <w:rFonts w:cs="MyriadPro-Semibold"/>
          <w:sz w:val="24"/>
          <w:szCs w:val="24"/>
        </w:rPr>
        <w:t>ttp://www.csos.jhu.edu/new/Neild_Balfanz_06.pdf</w:t>
      </w:r>
      <w:r w:rsidRPr="004E1422">
        <w:rPr>
          <w:rFonts w:cs="MyriadPro-Regular"/>
          <w:sz w:val="24"/>
          <w:szCs w:val="24"/>
        </w:rPr>
        <w:t>.</w:t>
      </w:r>
    </w:p>
    <w:p w:rsidR="00235C1B" w:rsidRDefault="00365201" w:rsidP="00235C1B">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 xml:space="preserve">Noftle, E. E., &amp; Robins, R. W. (2007). Personality predictors of academic outcomes: </w:t>
      </w:r>
      <w:r w:rsidR="00614F92" w:rsidRPr="004E1422">
        <w:rPr>
          <w:rFonts w:cs="Arial"/>
          <w:color w:val="222222"/>
          <w:sz w:val="24"/>
          <w:szCs w:val="24"/>
          <w:shd w:val="clear" w:color="auto" w:fill="FFFFFF"/>
        </w:rPr>
        <w:t>B</w:t>
      </w:r>
      <w:r w:rsidRPr="004E1422">
        <w:rPr>
          <w:rFonts w:cs="Arial"/>
          <w:color w:val="222222"/>
          <w:sz w:val="24"/>
          <w:szCs w:val="24"/>
          <w:shd w:val="clear" w:color="auto" w:fill="FFFFFF"/>
        </w:rPr>
        <w:t>ig five correlates of GPA and SAT scores.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Journal of Personality and Social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93</w:t>
      </w:r>
      <w:r w:rsidRPr="004E1422">
        <w:rPr>
          <w:rFonts w:cs="Arial"/>
          <w:color w:val="222222"/>
          <w:sz w:val="24"/>
          <w:szCs w:val="24"/>
          <w:shd w:val="clear" w:color="auto" w:fill="FFFFFF"/>
        </w:rPr>
        <w:t xml:space="preserve">, 116-130.  </w:t>
      </w:r>
    </w:p>
    <w:p w:rsidR="00235C1B" w:rsidRDefault="00475373"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Nye, C. D., Su, R., Rounds, J., &amp; Drasgow, F. (2012). Vocational interests and performance a quantitative summary of over 60 years of research. </w:t>
      </w:r>
      <w:r w:rsidRPr="004E1422">
        <w:rPr>
          <w:i/>
          <w:sz w:val="24"/>
          <w:szCs w:val="24"/>
        </w:rPr>
        <w:t>Perspectives on Psychological Science, 7</w:t>
      </w:r>
      <w:r w:rsidRPr="004E1422">
        <w:rPr>
          <w:sz w:val="24"/>
          <w:szCs w:val="24"/>
        </w:rPr>
        <w:t>, 384–403.</w:t>
      </w:r>
    </w:p>
    <w:p w:rsidR="00235C1B" w:rsidRDefault="0070746D" w:rsidP="00235C1B">
      <w:pPr>
        <w:autoSpaceDE w:val="0"/>
        <w:autoSpaceDN w:val="0"/>
        <w:adjustRightInd w:val="0"/>
        <w:spacing w:after="0" w:line="240" w:lineRule="auto"/>
        <w:ind w:left="720" w:hanging="720"/>
        <w:rPr>
          <w:rFonts w:cs="TimesNewRomanPSMT"/>
          <w:sz w:val="24"/>
          <w:szCs w:val="24"/>
        </w:rPr>
      </w:pPr>
      <w:r w:rsidRPr="004E1422">
        <w:rPr>
          <w:sz w:val="24"/>
          <w:szCs w:val="24"/>
          <w:lang w:val="de-DE"/>
        </w:rPr>
        <w:t xml:space="preserve">Ones, D. S., Viswesvaran, C., &amp; Schmidt, F. L. (1993). </w:t>
      </w:r>
      <w:r w:rsidRPr="004E1422">
        <w:rPr>
          <w:sz w:val="24"/>
          <w:szCs w:val="24"/>
        </w:rPr>
        <w:t>Comprehensive meta-analysis of integrity test validities: Findings and implications for personnel selection and theories of job performance</w:t>
      </w:r>
      <w:r w:rsidRPr="004E1422">
        <w:rPr>
          <w:i/>
          <w:sz w:val="24"/>
          <w:szCs w:val="24"/>
        </w:rPr>
        <w:t xml:space="preserve">. Journal of Applied Psychology, 78, </w:t>
      </w:r>
      <w:r w:rsidRPr="004E1422">
        <w:rPr>
          <w:sz w:val="24"/>
          <w:szCs w:val="24"/>
        </w:rPr>
        <w:t>679–703.</w:t>
      </w:r>
    </w:p>
    <w:p w:rsidR="00235C1B" w:rsidRDefault="00321687" w:rsidP="00235C1B">
      <w:pPr>
        <w:autoSpaceDE w:val="0"/>
        <w:autoSpaceDN w:val="0"/>
        <w:adjustRightInd w:val="0"/>
        <w:spacing w:after="0" w:line="240" w:lineRule="auto"/>
        <w:ind w:left="720" w:hanging="720"/>
        <w:rPr>
          <w:rFonts w:cs="TimesNewRomanPSMT"/>
          <w:sz w:val="24"/>
          <w:szCs w:val="24"/>
        </w:rPr>
      </w:pPr>
      <w:r w:rsidRPr="004E1422">
        <w:rPr>
          <w:sz w:val="24"/>
          <w:szCs w:val="24"/>
        </w:rPr>
        <w:lastRenderedPageBreak/>
        <w:t xml:space="preserve">Oswald, F. L., &amp; Hough, L. M. (2010). Personality and its assessment in organizations: Theoretical and empirical developments. In S. Zedeck (Ed.), </w:t>
      </w:r>
      <w:r w:rsidRPr="004E1422">
        <w:rPr>
          <w:i/>
          <w:sz w:val="24"/>
          <w:szCs w:val="24"/>
        </w:rPr>
        <w:t>APA handbook of industrial and organizational psychology: Vol. 2. Selecting and developing members for the organization</w:t>
      </w:r>
      <w:r w:rsidRPr="004E1422">
        <w:rPr>
          <w:sz w:val="24"/>
          <w:szCs w:val="24"/>
        </w:rPr>
        <w:t xml:space="preserve"> (pp. 153–184). Washington, DC: American Psychological Association</w:t>
      </w:r>
    </w:p>
    <w:p w:rsidR="00235C1B" w:rsidRDefault="00565F97" w:rsidP="00235C1B">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Ozer, D. J., &amp; Benet-Martinez, V. (2006). Personality and the prediction of consequential outcomes.</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Annual Review of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57</w:t>
      </w:r>
      <w:r w:rsidRPr="004E1422">
        <w:rPr>
          <w:rFonts w:cs="Arial"/>
          <w:color w:val="222222"/>
          <w:sz w:val="24"/>
          <w:szCs w:val="24"/>
          <w:shd w:val="clear" w:color="auto" w:fill="FFFFFF"/>
        </w:rPr>
        <w:t>, 401-421.</w:t>
      </w:r>
      <w:r w:rsidRPr="004E1422">
        <w:rPr>
          <w:rFonts w:cs="TimesNewRomanPSMT"/>
          <w:sz w:val="24"/>
          <w:szCs w:val="24"/>
        </w:rPr>
        <w:t xml:space="preserve"> </w:t>
      </w:r>
    </w:p>
    <w:p w:rsidR="00235C1B" w:rsidRDefault="00790DCB" w:rsidP="00235C1B">
      <w:pPr>
        <w:autoSpaceDE w:val="0"/>
        <w:autoSpaceDN w:val="0"/>
        <w:adjustRightInd w:val="0"/>
        <w:spacing w:after="0" w:line="240" w:lineRule="auto"/>
        <w:ind w:left="720" w:hanging="720"/>
        <w:rPr>
          <w:rFonts w:cs="TimesNewRomanPSMT"/>
          <w:sz w:val="24"/>
          <w:szCs w:val="24"/>
        </w:rPr>
      </w:pPr>
      <w:r w:rsidRPr="004E1422">
        <w:rPr>
          <w:rFonts w:cs="TimesNewRomanPSMT"/>
          <w:sz w:val="24"/>
          <w:szCs w:val="24"/>
        </w:rPr>
        <w:t xml:space="preserve">Pascarella, E. T., &amp; Terenzini, P. T. (2005). </w:t>
      </w:r>
      <w:r w:rsidRPr="004E1422">
        <w:rPr>
          <w:rFonts w:cs="TimesNewRomanPS-ItalicMT"/>
          <w:i/>
          <w:iCs/>
          <w:sz w:val="24"/>
          <w:szCs w:val="24"/>
        </w:rPr>
        <w:t>How college affects students: A third decade of</w:t>
      </w:r>
      <w:r w:rsidR="00614F92" w:rsidRPr="004E1422">
        <w:rPr>
          <w:rFonts w:cs="TimesNewRomanPS-ItalicMT"/>
          <w:i/>
          <w:iCs/>
          <w:sz w:val="24"/>
          <w:szCs w:val="24"/>
        </w:rPr>
        <w:t xml:space="preserve"> </w:t>
      </w:r>
      <w:r w:rsidRPr="004E1422">
        <w:rPr>
          <w:rFonts w:cs="TimesNewRomanPS-ItalicMT"/>
          <w:i/>
          <w:iCs/>
          <w:sz w:val="24"/>
          <w:szCs w:val="24"/>
        </w:rPr>
        <w:t xml:space="preserve">research </w:t>
      </w:r>
      <w:r w:rsidRPr="004E1422">
        <w:rPr>
          <w:rFonts w:cs="TimesNewRomanPSMT"/>
          <w:sz w:val="24"/>
          <w:szCs w:val="24"/>
        </w:rPr>
        <w:t>(Vol. 2)</w:t>
      </w:r>
      <w:r w:rsidRPr="004E1422">
        <w:rPr>
          <w:rFonts w:cs="TimesNewRomanPS-ItalicMT"/>
          <w:i/>
          <w:iCs/>
          <w:sz w:val="24"/>
          <w:szCs w:val="24"/>
        </w:rPr>
        <w:t xml:space="preserve">. </w:t>
      </w:r>
      <w:r w:rsidRPr="004E1422">
        <w:rPr>
          <w:rFonts w:cs="TimesNewRomanPSMT"/>
          <w:sz w:val="24"/>
          <w:szCs w:val="24"/>
        </w:rPr>
        <w:t>San Francisco, CA: Jossey-Bass.</w:t>
      </w:r>
    </w:p>
    <w:p w:rsidR="00235C1B" w:rsidRPr="00235C1B" w:rsidRDefault="00235C1B" w:rsidP="00235C1B">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t>Poropat, A. E. (2014). A meta</w:t>
      </w:r>
      <w:r w:rsidRPr="004E1422">
        <w:rPr>
          <w:rFonts w:cs="Cambria Math"/>
          <w:color w:val="222222"/>
          <w:sz w:val="24"/>
          <w:szCs w:val="24"/>
          <w:shd w:val="clear" w:color="auto" w:fill="FFFFFF"/>
        </w:rPr>
        <w:t>‐</w:t>
      </w:r>
      <w:r w:rsidRPr="004E1422">
        <w:rPr>
          <w:rFonts w:cs="Arial"/>
          <w:color w:val="222222"/>
          <w:sz w:val="24"/>
          <w:szCs w:val="24"/>
          <w:shd w:val="clear" w:color="auto" w:fill="FFFFFF"/>
        </w:rPr>
        <w:t>analysis of adult</w:t>
      </w:r>
      <w:r w:rsidRPr="004E1422">
        <w:rPr>
          <w:rFonts w:cs="Cambria Math"/>
          <w:color w:val="222222"/>
          <w:sz w:val="24"/>
          <w:szCs w:val="24"/>
          <w:shd w:val="clear" w:color="auto" w:fill="FFFFFF"/>
        </w:rPr>
        <w:t>‐</w:t>
      </w:r>
      <w:r w:rsidRPr="004E1422">
        <w:rPr>
          <w:rFonts w:cs="Arial"/>
          <w:color w:val="222222"/>
          <w:sz w:val="24"/>
          <w:szCs w:val="24"/>
          <w:shd w:val="clear" w:color="auto" w:fill="FFFFFF"/>
        </w:rPr>
        <w:t>rated child personality and academic performance in primary education.</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British Journal of Educational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84</w:t>
      </w:r>
      <w:r w:rsidRPr="004E1422">
        <w:rPr>
          <w:rFonts w:cs="Arial"/>
          <w:i/>
          <w:color w:val="222222"/>
          <w:sz w:val="24"/>
          <w:szCs w:val="24"/>
          <w:shd w:val="clear" w:color="auto" w:fill="FFFFFF"/>
        </w:rPr>
        <w:t>,</w:t>
      </w:r>
      <w:r w:rsidRPr="004E1422">
        <w:rPr>
          <w:rFonts w:cs="Arial"/>
          <w:color w:val="222222"/>
          <w:sz w:val="24"/>
          <w:szCs w:val="24"/>
          <w:shd w:val="clear" w:color="auto" w:fill="FFFFFF"/>
        </w:rPr>
        <w:t xml:space="preserve"> 239-252.</w:t>
      </w:r>
    </w:p>
    <w:p w:rsidR="00235C1B" w:rsidRDefault="003E07A1" w:rsidP="00235C1B">
      <w:pPr>
        <w:autoSpaceDE w:val="0"/>
        <w:autoSpaceDN w:val="0"/>
        <w:adjustRightInd w:val="0"/>
        <w:spacing w:after="0" w:line="240" w:lineRule="auto"/>
        <w:ind w:left="720" w:hanging="720"/>
        <w:rPr>
          <w:rFonts w:cs="Arial"/>
          <w:color w:val="222222"/>
          <w:sz w:val="24"/>
          <w:szCs w:val="24"/>
          <w:shd w:val="clear" w:color="auto" w:fill="FFFFFF"/>
        </w:rPr>
      </w:pPr>
      <w:r w:rsidRPr="004E1422">
        <w:rPr>
          <w:rFonts w:cs="Arial"/>
          <w:color w:val="222222"/>
          <w:sz w:val="24"/>
          <w:szCs w:val="24"/>
          <w:shd w:val="clear" w:color="auto" w:fill="FFFFFF"/>
        </w:rPr>
        <w:t xml:space="preserve">Poropat, A. E. (2009). A meta-analysis of the five-factor model of personality and academic </w:t>
      </w:r>
      <w:r w:rsidR="003D47DF" w:rsidRPr="004E1422">
        <w:rPr>
          <w:rFonts w:cs="Arial"/>
          <w:color w:val="222222"/>
          <w:sz w:val="24"/>
          <w:szCs w:val="24"/>
          <w:shd w:val="clear" w:color="auto" w:fill="FFFFFF"/>
        </w:rPr>
        <w:t>p</w:t>
      </w:r>
      <w:r w:rsidRPr="004E1422">
        <w:rPr>
          <w:rFonts w:cs="Arial"/>
          <w:color w:val="222222"/>
          <w:sz w:val="24"/>
          <w:szCs w:val="24"/>
          <w:shd w:val="clear" w:color="auto" w:fill="FFFFFF"/>
        </w:rPr>
        <w:t>erformance.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Psychological Bulletin</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135</w:t>
      </w:r>
      <w:r w:rsidRPr="004E1422">
        <w:rPr>
          <w:rFonts w:cs="Arial"/>
          <w:i/>
          <w:color w:val="222222"/>
          <w:sz w:val="24"/>
          <w:szCs w:val="24"/>
          <w:shd w:val="clear" w:color="auto" w:fill="FFFFFF"/>
        </w:rPr>
        <w:t>,</w:t>
      </w:r>
      <w:r w:rsidRPr="004E1422">
        <w:rPr>
          <w:rFonts w:cs="Arial"/>
          <w:color w:val="222222"/>
          <w:sz w:val="24"/>
          <w:szCs w:val="24"/>
          <w:shd w:val="clear" w:color="auto" w:fill="FFFFFF"/>
        </w:rPr>
        <w:t xml:space="preserve"> 322-338.</w:t>
      </w:r>
    </w:p>
    <w:p w:rsidR="00235C1B" w:rsidRDefault="00A31CEE" w:rsidP="00235C1B">
      <w:pPr>
        <w:autoSpaceDE w:val="0"/>
        <w:autoSpaceDN w:val="0"/>
        <w:adjustRightInd w:val="0"/>
        <w:spacing w:after="0" w:line="240" w:lineRule="auto"/>
        <w:ind w:left="720" w:hanging="720"/>
        <w:rPr>
          <w:sz w:val="24"/>
          <w:szCs w:val="24"/>
        </w:rPr>
      </w:pPr>
      <w:r w:rsidRPr="004E1422">
        <w:rPr>
          <w:sz w:val="24"/>
          <w:szCs w:val="24"/>
        </w:rPr>
        <w:t xml:space="preserve">Prinzie, P., &amp; Deković, M. (2008). Continuity and change of childhood personality characteristics through the lens of teachers. </w:t>
      </w:r>
      <w:r w:rsidRPr="004E1422">
        <w:rPr>
          <w:i/>
          <w:iCs/>
          <w:sz w:val="24"/>
          <w:szCs w:val="24"/>
        </w:rPr>
        <w:t>Personality and Individual Differences</w:t>
      </w:r>
      <w:r w:rsidRPr="004E1422">
        <w:rPr>
          <w:sz w:val="24"/>
          <w:szCs w:val="24"/>
        </w:rPr>
        <w:t xml:space="preserve">, </w:t>
      </w:r>
      <w:r w:rsidRPr="004E1422">
        <w:rPr>
          <w:i/>
          <w:iCs/>
          <w:sz w:val="24"/>
          <w:szCs w:val="24"/>
        </w:rPr>
        <w:t>45</w:t>
      </w:r>
      <w:r w:rsidRPr="004E1422">
        <w:rPr>
          <w:sz w:val="24"/>
          <w:szCs w:val="24"/>
        </w:rPr>
        <w:t>, 82-88.</w:t>
      </w:r>
    </w:p>
    <w:p w:rsidR="00235C1B" w:rsidRDefault="00A31CEE"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Pullmann, H., Raudsepp, L., &amp; Allik, J. (2006). Stability and change in adolescents' personality: A longitudinal study. </w:t>
      </w:r>
      <w:r w:rsidRPr="004E1422">
        <w:rPr>
          <w:i/>
          <w:iCs/>
          <w:sz w:val="24"/>
          <w:szCs w:val="24"/>
        </w:rPr>
        <w:t>European Journal of Personality</w:t>
      </w:r>
      <w:r w:rsidRPr="004E1422">
        <w:rPr>
          <w:sz w:val="24"/>
          <w:szCs w:val="24"/>
        </w:rPr>
        <w:t xml:space="preserve">, </w:t>
      </w:r>
      <w:r w:rsidRPr="004E1422">
        <w:rPr>
          <w:i/>
          <w:iCs/>
          <w:sz w:val="24"/>
          <w:szCs w:val="24"/>
        </w:rPr>
        <w:t>20</w:t>
      </w:r>
      <w:r w:rsidRPr="004E1422">
        <w:rPr>
          <w:sz w:val="24"/>
          <w:szCs w:val="24"/>
        </w:rPr>
        <w:t>, 447-459.</w:t>
      </w:r>
    </w:p>
    <w:p w:rsidR="00235C1B" w:rsidRDefault="00996F47" w:rsidP="00235C1B">
      <w:pPr>
        <w:autoSpaceDE w:val="0"/>
        <w:autoSpaceDN w:val="0"/>
        <w:adjustRightInd w:val="0"/>
        <w:spacing w:after="0" w:line="240" w:lineRule="auto"/>
        <w:ind w:left="720" w:hanging="720"/>
        <w:rPr>
          <w:rFonts w:cs="TimesNewRomanPSMT"/>
          <w:sz w:val="24"/>
          <w:szCs w:val="24"/>
        </w:rPr>
      </w:pPr>
      <w:r w:rsidRPr="004E1422">
        <w:rPr>
          <w:rFonts w:cs="Akzidenz-Grotesk Std Light"/>
          <w:color w:val="000000"/>
          <w:sz w:val="24"/>
          <w:szCs w:val="24"/>
        </w:rPr>
        <w:t>Radunzel, J., &amp; Noble, J.</w:t>
      </w:r>
      <w:r w:rsidR="004F6C28" w:rsidRPr="004E1422">
        <w:rPr>
          <w:rFonts w:cs="Akzidenz-Grotesk Std Light"/>
          <w:color w:val="000000"/>
          <w:sz w:val="24"/>
          <w:szCs w:val="24"/>
        </w:rPr>
        <w:t xml:space="preserve"> </w:t>
      </w:r>
      <w:r w:rsidRPr="004E1422">
        <w:rPr>
          <w:rFonts w:cs="Akzidenz-Grotesk Std Light"/>
          <w:color w:val="000000"/>
          <w:sz w:val="24"/>
          <w:szCs w:val="24"/>
        </w:rPr>
        <w:t>(2012).</w:t>
      </w:r>
      <w:r w:rsidR="00614F92" w:rsidRPr="004E1422">
        <w:rPr>
          <w:rFonts w:cs="Akzidenz-Grotesk Std Light"/>
          <w:color w:val="000000"/>
          <w:sz w:val="24"/>
          <w:szCs w:val="24"/>
        </w:rPr>
        <w:t xml:space="preserve"> </w:t>
      </w:r>
      <w:r w:rsidRPr="004E1422">
        <w:rPr>
          <w:rFonts w:cs="Akzidenz-Grotesk Std Light"/>
          <w:i/>
          <w:color w:val="000000"/>
          <w:sz w:val="24"/>
          <w:szCs w:val="24"/>
        </w:rPr>
        <w:t>Predicting long-term college success through degree completion using ACT composite score, ACT benchmarks, and high school grade point average</w:t>
      </w:r>
      <w:r w:rsidR="00614F92" w:rsidRPr="004E1422">
        <w:rPr>
          <w:rFonts w:cs="Akzidenz-Grotesk Std Light"/>
          <w:i/>
          <w:color w:val="000000"/>
          <w:sz w:val="24"/>
          <w:szCs w:val="24"/>
        </w:rPr>
        <w:t>.</w:t>
      </w:r>
      <w:r w:rsidRPr="004E1422">
        <w:rPr>
          <w:rFonts w:cs="Akzidenz-Grotesk Std Light"/>
          <w:color w:val="000000"/>
          <w:sz w:val="24"/>
          <w:szCs w:val="24"/>
        </w:rPr>
        <w:t xml:space="preserve"> (Research Report 2012-5).</w:t>
      </w:r>
      <w:r w:rsidR="00614F92" w:rsidRPr="004E1422">
        <w:rPr>
          <w:rFonts w:cs="Akzidenz-Grotesk Std Light"/>
          <w:color w:val="000000"/>
          <w:sz w:val="24"/>
          <w:szCs w:val="24"/>
        </w:rPr>
        <w:t xml:space="preserve"> </w:t>
      </w:r>
      <w:r w:rsidRPr="004E1422">
        <w:rPr>
          <w:rFonts w:cs="Akzidenz-Grotesk Std Light"/>
          <w:color w:val="000000"/>
          <w:sz w:val="24"/>
          <w:szCs w:val="24"/>
        </w:rPr>
        <w:t xml:space="preserve">Retrieved </w:t>
      </w:r>
      <w:r w:rsidRPr="004E1422">
        <w:rPr>
          <w:rFonts w:cs="Akzidenz-Grotesk Std Light"/>
          <w:sz w:val="24"/>
          <w:szCs w:val="24"/>
        </w:rPr>
        <w:t xml:space="preserve">from </w:t>
      </w:r>
      <w:r w:rsidRPr="004E1422">
        <w:rPr>
          <w:rFonts w:cs="Akzidenz-Grotesk Std Regular"/>
          <w:sz w:val="24"/>
          <w:szCs w:val="24"/>
        </w:rPr>
        <w:t xml:space="preserve">http://media.act.org/documents/ACT_RR2012-5.pdf </w:t>
      </w:r>
    </w:p>
    <w:p w:rsidR="00235C1B" w:rsidRDefault="00996F47" w:rsidP="00235C1B">
      <w:pPr>
        <w:autoSpaceDE w:val="0"/>
        <w:autoSpaceDN w:val="0"/>
        <w:adjustRightInd w:val="0"/>
        <w:spacing w:after="0" w:line="240" w:lineRule="auto"/>
        <w:ind w:left="720" w:hanging="720"/>
        <w:rPr>
          <w:rFonts w:cs="Akzidenz-Grotesk Std Light"/>
          <w:color w:val="000000"/>
          <w:sz w:val="24"/>
          <w:szCs w:val="24"/>
        </w:rPr>
      </w:pPr>
      <w:r w:rsidRPr="004E1422">
        <w:rPr>
          <w:rFonts w:cs="Akzidenz-Grotesk Std Light"/>
          <w:color w:val="000000"/>
          <w:sz w:val="24"/>
          <w:szCs w:val="24"/>
        </w:rPr>
        <w:t>Richardson, M., Abraham, C., &amp; Bond, R.</w:t>
      </w:r>
      <w:r w:rsidR="00614F92" w:rsidRPr="004E1422">
        <w:rPr>
          <w:rFonts w:cs="Akzidenz-Grotesk Std Light"/>
          <w:color w:val="000000"/>
          <w:sz w:val="24"/>
          <w:szCs w:val="24"/>
        </w:rPr>
        <w:t xml:space="preserve"> </w:t>
      </w:r>
      <w:r w:rsidRPr="004E1422">
        <w:rPr>
          <w:rFonts w:cs="Akzidenz-Grotesk Std Light"/>
          <w:color w:val="000000"/>
          <w:sz w:val="24"/>
          <w:szCs w:val="24"/>
        </w:rPr>
        <w:t>(2012).</w:t>
      </w:r>
      <w:r w:rsidR="00614F92" w:rsidRPr="004E1422">
        <w:rPr>
          <w:rFonts w:cs="Akzidenz-Grotesk Std Light"/>
          <w:color w:val="000000"/>
          <w:sz w:val="24"/>
          <w:szCs w:val="24"/>
        </w:rPr>
        <w:t xml:space="preserve"> </w:t>
      </w:r>
      <w:r w:rsidRPr="004E1422">
        <w:rPr>
          <w:rFonts w:cs="Akzidenz-Grotesk Std Light"/>
          <w:color w:val="000000"/>
          <w:sz w:val="24"/>
          <w:szCs w:val="24"/>
        </w:rPr>
        <w:t xml:space="preserve">Psychological correlates of university students’ academic performance: a systematic review and meta-analysis. </w:t>
      </w:r>
      <w:r w:rsidRPr="004E1422">
        <w:rPr>
          <w:rFonts w:cs="Akzidenz-Grotesk Std Light"/>
          <w:i/>
          <w:iCs/>
          <w:color w:val="000000"/>
          <w:sz w:val="24"/>
          <w:szCs w:val="24"/>
        </w:rPr>
        <w:t>Psychological Bulletin</w:t>
      </w:r>
      <w:r w:rsidRPr="004E1422">
        <w:rPr>
          <w:rFonts w:cs="Akzidenz-Grotesk Std Light"/>
          <w:color w:val="000000"/>
          <w:sz w:val="24"/>
          <w:szCs w:val="24"/>
        </w:rPr>
        <w:t xml:space="preserve">, </w:t>
      </w:r>
      <w:r w:rsidRPr="004E1422">
        <w:rPr>
          <w:rFonts w:cs="Akzidenz-Grotesk Std Light"/>
          <w:i/>
          <w:iCs/>
          <w:color w:val="000000"/>
          <w:sz w:val="24"/>
          <w:szCs w:val="24"/>
        </w:rPr>
        <w:t>138</w:t>
      </w:r>
      <w:r w:rsidRPr="004E1422">
        <w:rPr>
          <w:rFonts w:cs="Akzidenz-Grotesk Std Light"/>
          <w:color w:val="000000"/>
          <w:sz w:val="24"/>
          <w:szCs w:val="24"/>
        </w:rPr>
        <w:t>, 353–387.</w:t>
      </w:r>
    </w:p>
    <w:p w:rsidR="00235C1B" w:rsidRDefault="00996F47" w:rsidP="00235C1B">
      <w:pPr>
        <w:autoSpaceDE w:val="0"/>
        <w:autoSpaceDN w:val="0"/>
        <w:adjustRightInd w:val="0"/>
        <w:spacing w:after="0" w:line="240" w:lineRule="auto"/>
        <w:ind w:left="720" w:hanging="720"/>
        <w:rPr>
          <w:rFonts w:cs="TimesNewRomanPSMT"/>
          <w:sz w:val="24"/>
          <w:szCs w:val="24"/>
        </w:rPr>
      </w:pPr>
      <w:r w:rsidRPr="00235C1B">
        <w:rPr>
          <w:rFonts w:cs="Akzidenz-Grotesk Std Light"/>
          <w:color w:val="000000"/>
          <w:sz w:val="24"/>
          <w:szCs w:val="24"/>
        </w:rPr>
        <w:t>Robbins, S.B., Lauver, K., Le, H., Davis, D., Langley, R., &amp; Carlstrom, A.</w:t>
      </w:r>
      <w:r w:rsidR="00614F92" w:rsidRPr="00235C1B">
        <w:rPr>
          <w:rFonts w:cs="Akzidenz-Grotesk Std Light"/>
          <w:color w:val="000000"/>
          <w:sz w:val="24"/>
          <w:szCs w:val="24"/>
        </w:rPr>
        <w:t xml:space="preserve"> </w:t>
      </w:r>
      <w:r w:rsidRPr="00235C1B">
        <w:rPr>
          <w:rFonts w:cs="Akzidenz-Grotesk Std Light"/>
          <w:color w:val="000000"/>
          <w:sz w:val="24"/>
          <w:szCs w:val="24"/>
        </w:rPr>
        <w:t>(2004).</w:t>
      </w:r>
      <w:r w:rsidR="0020603F" w:rsidRPr="00235C1B">
        <w:rPr>
          <w:rFonts w:cs="Akzidenz-Grotesk Std Light"/>
          <w:color w:val="000000"/>
          <w:sz w:val="24"/>
          <w:szCs w:val="24"/>
        </w:rPr>
        <w:t xml:space="preserve"> </w:t>
      </w:r>
      <w:r w:rsidRPr="00235C1B">
        <w:rPr>
          <w:rFonts w:cs="Akzidenz-Grotesk Std Light"/>
          <w:color w:val="000000"/>
          <w:sz w:val="24"/>
          <w:szCs w:val="24"/>
        </w:rPr>
        <w:t>Do psychosocial and study skill factors predict college outcomes? A meta-analysis.</w:t>
      </w:r>
      <w:r w:rsidR="00EA1B08" w:rsidRPr="00235C1B">
        <w:rPr>
          <w:rFonts w:cs="Akzidenz-Grotesk Std Light"/>
          <w:color w:val="000000"/>
          <w:sz w:val="24"/>
          <w:szCs w:val="24"/>
        </w:rPr>
        <w:t xml:space="preserve"> </w:t>
      </w:r>
      <w:r w:rsidR="00614F92" w:rsidRPr="00235C1B">
        <w:rPr>
          <w:rFonts w:cs="Akzidenz-Grotesk Std Light"/>
          <w:i/>
          <w:iCs/>
          <w:color w:val="000000"/>
          <w:sz w:val="24"/>
          <w:szCs w:val="24"/>
        </w:rPr>
        <w:t>Psychological B</w:t>
      </w:r>
      <w:r w:rsidRPr="00235C1B">
        <w:rPr>
          <w:rFonts w:cs="Akzidenz-Grotesk Std Light"/>
          <w:i/>
          <w:iCs/>
          <w:color w:val="000000"/>
          <w:sz w:val="24"/>
          <w:szCs w:val="24"/>
        </w:rPr>
        <w:t>ulletin, 130</w:t>
      </w:r>
      <w:r w:rsidRPr="00235C1B">
        <w:rPr>
          <w:rFonts w:cs="Akzidenz-Grotesk Std Light"/>
          <w:i/>
          <w:color w:val="000000"/>
          <w:sz w:val="24"/>
          <w:szCs w:val="24"/>
        </w:rPr>
        <w:t>,</w:t>
      </w:r>
      <w:r w:rsidRPr="00235C1B">
        <w:rPr>
          <w:rFonts w:cs="Akzidenz-Grotesk Std Light"/>
          <w:color w:val="000000"/>
          <w:sz w:val="24"/>
          <w:szCs w:val="24"/>
        </w:rPr>
        <w:t xml:space="preserve"> 261</w:t>
      </w:r>
      <w:r w:rsidR="00614F92" w:rsidRPr="00235C1B">
        <w:rPr>
          <w:rFonts w:cs="Akzidenz-Grotesk Std Light"/>
          <w:color w:val="000000"/>
          <w:sz w:val="24"/>
          <w:szCs w:val="24"/>
        </w:rPr>
        <w:t>-288</w:t>
      </w:r>
      <w:r w:rsidRPr="00235C1B">
        <w:rPr>
          <w:rFonts w:cs="Akzidenz-Grotesk Std Light"/>
          <w:color w:val="000000"/>
          <w:sz w:val="24"/>
          <w:szCs w:val="24"/>
        </w:rPr>
        <w:t>.</w:t>
      </w:r>
    </w:p>
    <w:p w:rsidR="00235C1B" w:rsidRDefault="00996F47" w:rsidP="00235C1B">
      <w:pPr>
        <w:autoSpaceDE w:val="0"/>
        <w:autoSpaceDN w:val="0"/>
        <w:adjustRightInd w:val="0"/>
        <w:spacing w:after="0" w:line="240" w:lineRule="auto"/>
        <w:ind w:left="720" w:hanging="720"/>
        <w:rPr>
          <w:rFonts w:cs="TimesNewRomanPSMT"/>
          <w:sz w:val="24"/>
          <w:szCs w:val="24"/>
        </w:rPr>
      </w:pPr>
      <w:r w:rsidRPr="004E1422">
        <w:rPr>
          <w:rFonts w:cs="Akzidenz-Grotesk Std Light"/>
          <w:color w:val="000000"/>
          <w:sz w:val="24"/>
          <w:szCs w:val="24"/>
        </w:rPr>
        <w:t>Roberts, B.</w:t>
      </w:r>
      <w:r w:rsidR="00614F92" w:rsidRPr="004E1422">
        <w:rPr>
          <w:rFonts w:cs="Akzidenz-Grotesk Std Light"/>
          <w:color w:val="000000"/>
          <w:sz w:val="24"/>
          <w:szCs w:val="24"/>
        </w:rPr>
        <w:t xml:space="preserve"> </w:t>
      </w:r>
      <w:r w:rsidRPr="004E1422">
        <w:rPr>
          <w:rFonts w:cs="Akzidenz-Grotesk Std Light"/>
          <w:color w:val="000000"/>
          <w:sz w:val="24"/>
          <w:szCs w:val="24"/>
        </w:rPr>
        <w:t>W., Kuncel, N.</w:t>
      </w:r>
      <w:r w:rsidR="00614F92" w:rsidRPr="004E1422">
        <w:rPr>
          <w:rFonts w:cs="Akzidenz-Grotesk Std Light"/>
          <w:color w:val="000000"/>
          <w:sz w:val="24"/>
          <w:szCs w:val="24"/>
        </w:rPr>
        <w:t xml:space="preserve"> </w:t>
      </w:r>
      <w:r w:rsidRPr="004E1422">
        <w:rPr>
          <w:rFonts w:cs="Akzidenz-Grotesk Std Light"/>
          <w:color w:val="000000"/>
          <w:sz w:val="24"/>
          <w:szCs w:val="24"/>
        </w:rPr>
        <w:t>R., Shiner, R., Caspi, A., &amp; Goldberg, L.</w:t>
      </w:r>
      <w:r w:rsidR="00614F92" w:rsidRPr="004E1422">
        <w:rPr>
          <w:rFonts w:cs="Akzidenz-Grotesk Std Light"/>
          <w:color w:val="000000"/>
          <w:sz w:val="24"/>
          <w:szCs w:val="24"/>
        </w:rPr>
        <w:t xml:space="preserve"> </w:t>
      </w:r>
      <w:r w:rsidRPr="004E1422">
        <w:rPr>
          <w:rFonts w:cs="Akzidenz-Grotesk Std Light"/>
          <w:color w:val="000000"/>
          <w:sz w:val="24"/>
          <w:szCs w:val="24"/>
        </w:rPr>
        <w:t>R.</w:t>
      </w:r>
      <w:r w:rsidR="00614F92" w:rsidRPr="004E1422">
        <w:rPr>
          <w:rFonts w:cs="Akzidenz-Grotesk Std Light"/>
          <w:color w:val="000000"/>
          <w:sz w:val="24"/>
          <w:szCs w:val="24"/>
        </w:rPr>
        <w:t xml:space="preserve"> </w:t>
      </w:r>
      <w:r w:rsidRPr="004E1422">
        <w:rPr>
          <w:rFonts w:cs="Akzidenz-Grotesk Std Light"/>
          <w:color w:val="000000"/>
          <w:sz w:val="24"/>
          <w:szCs w:val="24"/>
        </w:rPr>
        <w:t>(2007).</w:t>
      </w:r>
      <w:r w:rsidR="00614F92" w:rsidRPr="004E1422">
        <w:rPr>
          <w:rFonts w:cs="Akzidenz-Grotesk Std Light"/>
          <w:color w:val="000000"/>
          <w:sz w:val="24"/>
          <w:szCs w:val="24"/>
        </w:rPr>
        <w:t xml:space="preserve"> </w:t>
      </w:r>
      <w:r w:rsidRPr="004E1422">
        <w:rPr>
          <w:rFonts w:cs="Akzidenz-Grotesk Std Light"/>
          <w:color w:val="000000"/>
          <w:sz w:val="24"/>
          <w:szCs w:val="24"/>
        </w:rPr>
        <w:t xml:space="preserve">The power of personality: The comparative validity of personality traits, socioeconomic status, and cognitive ability for predicting important life outcomes. </w:t>
      </w:r>
      <w:r w:rsidRPr="004E1422">
        <w:rPr>
          <w:rFonts w:cs="Akzidenz-Grotesk Std Light"/>
          <w:i/>
          <w:iCs/>
          <w:color w:val="000000"/>
          <w:sz w:val="24"/>
          <w:szCs w:val="24"/>
        </w:rPr>
        <w:t>Perspectives on Psychological Science</w:t>
      </w:r>
      <w:r w:rsidRPr="004E1422">
        <w:rPr>
          <w:rFonts w:cs="Akzidenz-Grotesk Std Light"/>
          <w:color w:val="000000"/>
          <w:sz w:val="24"/>
          <w:szCs w:val="24"/>
        </w:rPr>
        <w:t xml:space="preserve">, </w:t>
      </w:r>
      <w:r w:rsidRPr="004E1422">
        <w:rPr>
          <w:rFonts w:cs="Akzidenz-Grotesk Std Light"/>
          <w:i/>
          <w:iCs/>
          <w:color w:val="000000"/>
          <w:sz w:val="24"/>
          <w:szCs w:val="24"/>
        </w:rPr>
        <w:t>2</w:t>
      </w:r>
      <w:r w:rsidRPr="004E1422">
        <w:rPr>
          <w:rFonts w:cs="Akzidenz-Grotesk Std Light"/>
          <w:color w:val="000000"/>
          <w:sz w:val="24"/>
          <w:szCs w:val="24"/>
        </w:rPr>
        <w:t>, 313–345.</w:t>
      </w:r>
    </w:p>
    <w:p w:rsidR="00235C1B" w:rsidRDefault="005123C7"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Roberts, B.W., Luo, J., Chow, P., Su, R., &amp; Hill, P. L. (2015). </w:t>
      </w:r>
      <w:r w:rsidRPr="004E1422">
        <w:rPr>
          <w:i/>
          <w:sz w:val="24"/>
          <w:szCs w:val="24"/>
        </w:rPr>
        <w:t xml:space="preserve">A Systematic Review of Personality Trait Change through Intervention. </w:t>
      </w:r>
      <w:r w:rsidRPr="004E1422">
        <w:rPr>
          <w:sz w:val="24"/>
          <w:szCs w:val="24"/>
        </w:rPr>
        <w:t>Unpublished manuscript.</w:t>
      </w:r>
    </w:p>
    <w:p w:rsidR="00235C1B" w:rsidRDefault="00A31CEE"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Roberts, B. W., Walton, K. E., &amp; Viechtbauer, W. (2006). Patterns of mean-level change in personality traits across the life course: A meta-analysis of longitudinal studies. </w:t>
      </w:r>
      <w:r w:rsidRPr="004E1422">
        <w:rPr>
          <w:i/>
          <w:sz w:val="24"/>
          <w:szCs w:val="24"/>
        </w:rPr>
        <w:t>Psychological Bulletin</w:t>
      </w:r>
      <w:r w:rsidRPr="004E1422">
        <w:rPr>
          <w:sz w:val="24"/>
          <w:szCs w:val="24"/>
        </w:rPr>
        <w:t xml:space="preserve">, </w:t>
      </w:r>
      <w:r w:rsidRPr="004E1422">
        <w:rPr>
          <w:i/>
          <w:sz w:val="24"/>
          <w:szCs w:val="24"/>
        </w:rPr>
        <w:t>132</w:t>
      </w:r>
      <w:r w:rsidRPr="004E1422">
        <w:rPr>
          <w:sz w:val="24"/>
          <w:szCs w:val="24"/>
        </w:rPr>
        <w:t>, 1-25.</w:t>
      </w:r>
    </w:p>
    <w:p w:rsidR="00235C1B" w:rsidRDefault="006A6EF9" w:rsidP="00235C1B">
      <w:pPr>
        <w:autoSpaceDE w:val="0"/>
        <w:autoSpaceDN w:val="0"/>
        <w:adjustRightInd w:val="0"/>
        <w:spacing w:after="0" w:line="240" w:lineRule="auto"/>
        <w:ind w:left="720" w:hanging="720"/>
        <w:rPr>
          <w:rFonts w:cs="TimesNewRomanPSMT"/>
          <w:sz w:val="24"/>
          <w:szCs w:val="24"/>
        </w:rPr>
      </w:pPr>
      <w:r w:rsidRPr="004E1422">
        <w:rPr>
          <w:rFonts w:cs="MyriadPro-Regular"/>
          <w:sz w:val="24"/>
          <w:szCs w:val="24"/>
        </w:rPr>
        <w:t xml:space="preserve">Roberts, R. D., Martin, J. E., &amp; Olaru, G. (2015). </w:t>
      </w:r>
      <w:r w:rsidR="00E12C36" w:rsidRPr="004E1422">
        <w:rPr>
          <w:rFonts w:cs="MyriadPro-Regular"/>
          <w:i/>
          <w:sz w:val="24"/>
          <w:szCs w:val="24"/>
        </w:rPr>
        <w:t>A Rosetta stone for noncognitive skills: Understanding, assessing, and enhancing noncognitive skills in primary and secondary education.</w:t>
      </w:r>
      <w:r w:rsidRPr="004E1422">
        <w:rPr>
          <w:rFonts w:cs="MyriadPro-Regular"/>
          <w:sz w:val="24"/>
          <w:szCs w:val="24"/>
        </w:rPr>
        <w:t xml:space="preserve"> Retrieved from: http://www.proexam.org/images/resources/A_Rosetta_Stone_for_Noncognitive_Skills.pdf</w:t>
      </w:r>
    </w:p>
    <w:p w:rsidR="00235C1B" w:rsidRDefault="003D47DF" w:rsidP="00235C1B">
      <w:pPr>
        <w:autoSpaceDE w:val="0"/>
        <w:autoSpaceDN w:val="0"/>
        <w:adjustRightInd w:val="0"/>
        <w:spacing w:after="0" w:line="240" w:lineRule="auto"/>
        <w:ind w:left="720" w:hanging="720"/>
        <w:rPr>
          <w:rFonts w:cs="TimesNewRomanPSMT"/>
          <w:sz w:val="24"/>
          <w:szCs w:val="24"/>
        </w:rPr>
      </w:pPr>
      <w:r w:rsidRPr="004E1422">
        <w:rPr>
          <w:rFonts w:cs="MyriadPro-Regular"/>
          <w:sz w:val="24"/>
          <w:szCs w:val="24"/>
        </w:rPr>
        <w:t xml:space="preserve">Roderick, M. (1994). Grade retention and school dropout: Investigating the association. </w:t>
      </w:r>
      <w:r w:rsidRPr="004E1422">
        <w:rPr>
          <w:rFonts w:cs="MyriadPro-It"/>
          <w:i/>
          <w:iCs/>
          <w:sz w:val="24"/>
          <w:szCs w:val="24"/>
        </w:rPr>
        <w:t xml:space="preserve">American Education Research Journal, 31, </w:t>
      </w:r>
      <w:r w:rsidRPr="004E1422">
        <w:rPr>
          <w:rFonts w:cs="MyriadPro-Regular"/>
          <w:sz w:val="24"/>
          <w:szCs w:val="24"/>
        </w:rPr>
        <w:t>729–759</w:t>
      </w:r>
      <w:r w:rsidR="00614F92" w:rsidRPr="004E1422">
        <w:rPr>
          <w:rFonts w:cs="MyriadPro-Regular"/>
          <w:sz w:val="24"/>
          <w:szCs w:val="24"/>
        </w:rPr>
        <w:t>.</w:t>
      </w:r>
    </w:p>
    <w:p w:rsidR="00235C1B" w:rsidRDefault="004E442D" w:rsidP="00235C1B">
      <w:pPr>
        <w:autoSpaceDE w:val="0"/>
        <w:autoSpaceDN w:val="0"/>
        <w:adjustRightInd w:val="0"/>
        <w:spacing w:after="0" w:line="240" w:lineRule="auto"/>
        <w:ind w:left="720" w:hanging="720"/>
        <w:rPr>
          <w:rFonts w:cs="TimesNewRomanPSMT"/>
          <w:sz w:val="24"/>
          <w:szCs w:val="24"/>
        </w:rPr>
      </w:pPr>
      <w:r w:rsidRPr="004E1422">
        <w:rPr>
          <w:rFonts w:cs="Arial"/>
          <w:color w:val="222222"/>
          <w:sz w:val="24"/>
          <w:szCs w:val="24"/>
          <w:shd w:val="clear" w:color="auto" w:fill="FFFFFF"/>
        </w:rPr>
        <w:lastRenderedPageBreak/>
        <w:t>Roth, P. L., BeVier, C. A., Switzer III, F. S., &amp; Schippmann, J. S. (1996). Meta-analyzing the relationship between grades and job performance.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Journal of Applied Psychology</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81</w:t>
      </w:r>
      <w:r w:rsidRPr="004E1422">
        <w:rPr>
          <w:rFonts w:cs="Arial"/>
          <w:color w:val="222222"/>
          <w:sz w:val="24"/>
          <w:szCs w:val="24"/>
          <w:shd w:val="clear" w:color="auto" w:fill="FFFFFF"/>
        </w:rPr>
        <w:t>, 548-556.</w:t>
      </w:r>
    </w:p>
    <w:p w:rsidR="00235C1B" w:rsidRDefault="00C56E76" w:rsidP="00235C1B">
      <w:pPr>
        <w:autoSpaceDE w:val="0"/>
        <w:autoSpaceDN w:val="0"/>
        <w:adjustRightInd w:val="0"/>
        <w:spacing w:after="0" w:line="240" w:lineRule="auto"/>
        <w:ind w:left="720" w:hanging="720"/>
        <w:rPr>
          <w:rFonts w:cs="TimesNewRomanPSMT"/>
          <w:sz w:val="24"/>
          <w:szCs w:val="24"/>
        </w:rPr>
      </w:pPr>
      <w:r w:rsidRPr="004E1422">
        <w:rPr>
          <w:rFonts w:cstheme="minorHAnsi"/>
          <w:color w:val="211D1E"/>
          <w:sz w:val="24"/>
          <w:szCs w:val="24"/>
        </w:rPr>
        <w:t xml:space="preserve">Sackett, P. R., &amp; Walmsley, P. T. (2014). Which personality attributes are most important in the workplace? </w:t>
      </w:r>
      <w:r w:rsidRPr="004E1422">
        <w:rPr>
          <w:rFonts w:cstheme="minorHAnsi"/>
          <w:i/>
          <w:iCs/>
          <w:color w:val="211D1E"/>
          <w:sz w:val="24"/>
          <w:szCs w:val="24"/>
        </w:rPr>
        <w:t>Perspectives on Psychological Science, 9</w:t>
      </w:r>
      <w:r w:rsidRPr="004E1422">
        <w:rPr>
          <w:rFonts w:cstheme="minorHAnsi"/>
          <w:color w:val="211D1E"/>
          <w:sz w:val="24"/>
          <w:szCs w:val="24"/>
        </w:rPr>
        <w:t>, 538-551.</w:t>
      </w:r>
    </w:p>
    <w:p w:rsidR="00235C1B" w:rsidRDefault="00475373" w:rsidP="00235C1B">
      <w:pPr>
        <w:autoSpaceDE w:val="0"/>
        <w:autoSpaceDN w:val="0"/>
        <w:adjustRightInd w:val="0"/>
        <w:spacing w:after="0" w:line="240" w:lineRule="auto"/>
        <w:ind w:left="720" w:hanging="720"/>
        <w:rPr>
          <w:rFonts w:cs="TimesNewRomanPSMT"/>
          <w:sz w:val="24"/>
          <w:szCs w:val="24"/>
        </w:rPr>
      </w:pPr>
      <w:r w:rsidRPr="004E1422">
        <w:rPr>
          <w:rFonts w:cs="MyriadPro-Regular"/>
          <w:sz w:val="24"/>
          <w:szCs w:val="24"/>
        </w:rPr>
        <w:t>Schimmack, U., Oishi, S., Furr, R. M., &amp; Funder, D. C. (2004). Personality and life satisfaction: A facet-level analysis. </w:t>
      </w:r>
      <w:r w:rsidRPr="004E1422">
        <w:rPr>
          <w:rFonts w:cs="MyriadPro-Regular"/>
          <w:i/>
          <w:iCs/>
          <w:sz w:val="24"/>
          <w:szCs w:val="24"/>
        </w:rPr>
        <w:t xml:space="preserve">Personality and </w:t>
      </w:r>
      <w:r w:rsidR="0092277D" w:rsidRPr="004E1422">
        <w:rPr>
          <w:rFonts w:cs="MyriadPro-Regular"/>
          <w:i/>
          <w:iCs/>
          <w:sz w:val="24"/>
          <w:szCs w:val="24"/>
        </w:rPr>
        <w:t>S</w:t>
      </w:r>
      <w:r w:rsidRPr="004E1422">
        <w:rPr>
          <w:rFonts w:cs="MyriadPro-Regular"/>
          <w:i/>
          <w:iCs/>
          <w:sz w:val="24"/>
          <w:szCs w:val="24"/>
        </w:rPr>
        <w:t xml:space="preserve">ocial </w:t>
      </w:r>
      <w:r w:rsidR="0092277D" w:rsidRPr="004E1422">
        <w:rPr>
          <w:rFonts w:cs="MyriadPro-Regular"/>
          <w:i/>
          <w:iCs/>
          <w:sz w:val="24"/>
          <w:szCs w:val="24"/>
        </w:rPr>
        <w:t>Psychology B</w:t>
      </w:r>
      <w:r w:rsidRPr="004E1422">
        <w:rPr>
          <w:rFonts w:cs="MyriadPro-Regular"/>
          <w:i/>
          <w:iCs/>
          <w:sz w:val="24"/>
          <w:szCs w:val="24"/>
        </w:rPr>
        <w:t>ulletin</w:t>
      </w:r>
      <w:r w:rsidRPr="004E1422">
        <w:rPr>
          <w:rFonts w:cs="MyriadPro-Regular"/>
          <w:sz w:val="24"/>
          <w:szCs w:val="24"/>
        </w:rPr>
        <w:t>, </w:t>
      </w:r>
      <w:r w:rsidRPr="004E1422">
        <w:rPr>
          <w:rFonts w:cs="MyriadPro-Regular"/>
          <w:i/>
          <w:iCs/>
          <w:sz w:val="24"/>
          <w:szCs w:val="24"/>
        </w:rPr>
        <w:t>30</w:t>
      </w:r>
      <w:r w:rsidRPr="004E1422">
        <w:rPr>
          <w:rFonts w:cs="MyriadPro-Regular"/>
          <w:sz w:val="24"/>
          <w:szCs w:val="24"/>
        </w:rPr>
        <w:t>, 1062-1075.</w:t>
      </w:r>
    </w:p>
    <w:p w:rsidR="00235C1B" w:rsidRDefault="00475373" w:rsidP="00235C1B">
      <w:pPr>
        <w:autoSpaceDE w:val="0"/>
        <w:autoSpaceDN w:val="0"/>
        <w:adjustRightInd w:val="0"/>
        <w:spacing w:after="0" w:line="240" w:lineRule="auto"/>
        <w:ind w:left="720" w:hanging="720"/>
        <w:rPr>
          <w:rFonts w:cs="MyriadPro-Regular"/>
          <w:sz w:val="24"/>
          <w:szCs w:val="24"/>
        </w:rPr>
      </w:pPr>
      <w:r w:rsidRPr="004E1422">
        <w:rPr>
          <w:rFonts w:cs="MyriadPro-Regular"/>
          <w:sz w:val="24"/>
          <w:szCs w:val="24"/>
        </w:rPr>
        <w:t>Schimmack, U., Radhakrishnan, P., Oishi, S., Dzokoto, V., &amp; Ahadi, S. (2002). Culture, personality, and subjective well-being: integrating process models of life satisfaction. </w:t>
      </w:r>
      <w:r w:rsidRPr="004E1422">
        <w:rPr>
          <w:rFonts w:cs="MyriadPro-Regular"/>
          <w:i/>
          <w:iCs/>
          <w:sz w:val="24"/>
          <w:szCs w:val="24"/>
        </w:rPr>
        <w:t xml:space="preserve">Journal of </w:t>
      </w:r>
      <w:r w:rsidR="0020603F" w:rsidRPr="004E1422">
        <w:rPr>
          <w:rFonts w:cs="MyriadPro-Regular"/>
          <w:i/>
          <w:iCs/>
          <w:sz w:val="24"/>
          <w:szCs w:val="24"/>
        </w:rPr>
        <w:t>P</w:t>
      </w:r>
      <w:r w:rsidRPr="004E1422">
        <w:rPr>
          <w:rFonts w:cs="MyriadPro-Regular"/>
          <w:i/>
          <w:iCs/>
          <w:sz w:val="24"/>
          <w:szCs w:val="24"/>
        </w:rPr>
        <w:t xml:space="preserve">ersonality and </w:t>
      </w:r>
      <w:r w:rsidR="0020603F" w:rsidRPr="004E1422">
        <w:rPr>
          <w:rFonts w:cs="MyriadPro-Regular"/>
          <w:i/>
          <w:iCs/>
          <w:sz w:val="24"/>
          <w:szCs w:val="24"/>
        </w:rPr>
        <w:t>S</w:t>
      </w:r>
      <w:r w:rsidRPr="004E1422">
        <w:rPr>
          <w:rFonts w:cs="MyriadPro-Regular"/>
          <w:i/>
          <w:iCs/>
          <w:sz w:val="24"/>
          <w:szCs w:val="24"/>
        </w:rPr>
        <w:t xml:space="preserve">ocial </w:t>
      </w:r>
      <w:r w:rsidR="0092277D" w:rsidRPr="004E1422">
        <w:rPr>
          <w:rFonts w:cs="MyriadPro-Regular"/>
          <w:i/>
          <w:iCs/>
          <w:sz w:val="24"/>
          <w:szCs w:val="24"/>
        </w:rPr>
        <w:t>P</w:t>
      </w:r>
      <w:r w:rsidRPr="004E1422">
        <w:rPr>
          <w:rFonts w:cs="MyriadPro-Regular"/>
          <w:i/>
          <w:iCs/>
          <w:sz w:val="24"/>
          <w:szCs w:val="24"/>
        </w:rPr>
        <w:t>sychology</w:t>
      </w:r>
      <w:r w:rsidRPr="004E1422">
        <w:rPr>
          <w:rFonts w:cs="MyriadPro-Regular"/>
          <w:sz w:val="24"/>
          <w:szCs w:val="24"/>
        </w:rPr>
        <w:t>, </w:t>
      </w:r>
      <w:r w:rsidRPr="004E1422">
        <w:rPr>
          <w:rFonts w:cs="MyriadPro-Regular"/>
          <w:i/>
          <w:iCs/>
          <w:sz w:val="24"/>
          <w:szCs w:val="24"/>
        </w:rPr>
        <w:t>82</w:t>
      </w:r>
      <w:r w:rsidRPr="004E1422">
        <w:rPr>
          <w:rFonts w:cs="MyriadPro-Regular"/>
          <w:sz w:val="24"/>
          <w:szCs w:val="24"/>
        </w:rPr>
        <w:t>, 582.</w:t>
      </w:r>
    </w:p>
    <w:p w:rsidR="00235C1B" w:rsidRDefault="00E93C6E" w:rsidP="00235C1B">
      <w:pPr>
        <w:autoSpaceDE w:val="0"/>
        <w:autoSpaceDN w:val="0"/>
        <w:adjustRightInd w:val="0"/>
        <w:spacing w:after="0" w:line="240" w:lineRule="auto"/>
        <w:ind w:left="720" w:hanging="720"/>
        <w:rPr>
          <w:rFonts w:cs="TimesNewRomanPSMT"/>
          <w:sz w:val="24"/>
          <w:szCs w:val="24"/>
        </w:rPr>
      </w:pPr>
      <w:r w:rsidRPr="004E1422">
        <w:rPr>
          <w:sz w:val="24"/>
          <w:szCs w:val="24"/>
          <w:shd w:val="clear" w:color="auto" w:fill="FFFFFF"/>
        </w:rPr>
        <w:t>Soto, C. J., John, O. P., Gosling, S. D., &amp; Potter, J. (2011). Age differences in personality traits from 10 to 65: Big Five domains and facets in a large cross-sectional sample.</w:t>
      </w:r>
      <w:r w:rsidRPr="004E1422">
        <w:rPr>
          <w:rStyle w:val="apple-converted-space"/>
          <w:sz w:val="24"/>
          <w:szCs w:val="24"/>
          <w:shd w:val="clear" w:color="auto" w:fill="FFFFFF"/>
        </w:rPr>
        <w:t> </w:t>
      </w:r>
      <w:r w:rsidRPr="004E1422">
        <w:rPr>
          <w:i/>
          <w:iCs/>
          <w:sz w:val="24"/>
          <w:szCs w:val="24"/>
          <w:shd w:val="clear" w:color="auto" w:fill="FFFFFF"/>
        </w:rPr>
        <w:t>Journal of Personality and Social Psychology</w:t>
      </w:r>
      <w:r w:rsidRPr="004E1422">
        <w:rPr>
          <w:sz w:val="24"/>
          <w:szCs w:val="24"/>
          <w:shd w:val="clear" w:color="auto" w:fill="FFFFFF"/>
        </w:rPr>
        <w:t>,</w:t>
      </w:r>
      <w:r w:rsidRPr="004E1422">
        <w:rPr>
          <w:rStyle w:val="apple-converted-space"/>
          <w:sz w:val="24"/>
          <w:szCs w:val="24"/>
          <w:shd w:val="clear" w:color="auto" w:fill="FFFFFF"/>
        </w:rPr>
        <w:t> </w:t>
      </w:r>
      <w:r w:rsidRPr="004E1422">
        <w:rPr>
          <w:i/>
          <w:iCs/>
          <w:sz w:val="24"/>
          <w:szCs w:val="24"/>
          <w:shd w:val="clear" w:color="auto" w:fill="FFFFFF"/>
        </w:rPr>
        <w:t>100</w:t>
      </w:r>
      <w:r w:rsidRPr="004E1422">
        <w:rPr>
          <w:sz w:val="24"/>
          <w:szCs w:val="24"/>
          <w:shd w:val="clear" w:color="auto" w:fill="FFFFFF"/>
        </w:rPr>
        <w:t>, 330 - 348.</w:t>
      </w:r>
    </w:p>
    <w:p w:rsidR="00235C1B" w:rsidRPr="00235C1B" w:rsidRDefault="00235C1B" w:rsidP="00235C1B">
      <w:pPr>
        <w:autoSpaceDE w:val="0"/>
        <w:autoSpaceDN w:val="0"/>
        <w:adjustRightInd w:val="0"/>
        <w:spacing w:after="0" w:line="240" w:lineRule="auto"/>
        <w:ind w:left="720" w:hanging="720"/>
        <w:rPr>
          <w:rFonts w:cs="TimesNewRomanPSMT"/>
          <w:sz w:val="24"/>
          <w:szCs w:val="24"/>
        </w:rPr>
      </w:pPr>
      <w:r w:rsidRPr="004E1422">
        <w:rPr>
          <w:rFonts w:cs="MyriadPro-Regular"/>
          <w:sz w:val="24"/>
          <w:szCs w:val="24"/>
          <w:lang w:val="de-DE"/>
        </w:rPr>
        <w:t xml:space="preserve">Stark, S., Chernyshenko, O.S., &amp; Drasgow, F. (2011). Constructing fake-resistant personality tests using item response theory: High stakes personality testing with multidimensional pairwise preferences.  In M. Ziegler, C. MacCann, &amp; R. D. Roberts (Eds.),  </w:t>
      </w:r>
      <w:r w:rsidRPr="004E1422">
        <w:rPr>
          <w:rFonts w:cs="MyriadPro-Regular"/>
          <w:i/>
          <w:sz w:val="24"/>
          <w:szCs w:val="24"/>
          <w:lang w:val="de-DE"/>
        </w:rPr>
        <w:t xml:space="preserve">New Perspectives on Faking in Personality Assessments </w:t>
      </w:r>
      <w:r w:rsidRPr="004E1422">
        <w:rPr>
          <w:rFonts w:cs="MyriadPro-Regular"/>
          <w:sz w:val="24"/>
          <w:szCs w:val="24"/>
          <w:lang w:val="de-DE"/>
        </w:rPr>
        <w:t>(pp. 214-239). New York, NY: Oxford University Press.</w:t>
      </w:r>
    </w:p>
    <w:p w:rsidR="00235C1B" w:rsidRDefault="00E24357" w:rsidP="00235C1B">
      <w:pPr>
        <w:autoSpaceDE w:val="0"/>
        <w:autoSpaceDN w:val="0"/>
        <w:adjustRightInd w:val="0"/>
        <w:spacing w:after="0" w:line="240" w:lineRule="auto"/>
        <w:ind w:left="720" w:hanging="720"/>
        <w:rPr>
          <w:rFonts w:cs="TimesNewRomanPSMT"/>
          <w:sz w:val="24"/>
          <w:szCs w:val="24"/>
        </w:rPr>
      </w:pPr>
      <w:r w:rsidRPr="004E1422">
        <w:rPr>
          <w:rFonts w:cstheme="minorHAnsi"/>
          <w:sz w:val="24"/>
          <w:szCs w:val="24"/>
        </w:rPr>
        <w:t xml:space="preserve">Stark, S. , Chernyshenko , O. S. , &amp; Drasgow , F. (2005). An IRT approach to constructing and scoring pairwise preference items involving stimuli on different dimensions: An application to the problem of faking in personality assessment. </w:t>
      </w:r>
      <w:r w:rsidRPr="004E1422">
        <w:rPr>
          <w:rFonts w:cstheme="minorHAnsi"/>
          <w:i/>
          <w:sz w:val="24"/>
          <w:szCs w:val="24"/>
        </w:rPr>
        <w:t>Applie</w:t>
      </w:r>
      <w:r w:rsidR="00C56E76" w:rsidRPr="004E1422">
        <w:rPr>
          <w:rFonts w:cstheme="minorHAnsi"/>
          <w:i/>
          <w:sz w:val="24"/>
          <w:szCs w:val="24"/>
        </w:rPr>
        <w:t>d Psychological Measurement, 29</w:t>
      </w:r>
      <w:r w:rsidRPr="004E1422">
        <w:rPr>
          <w:rFonts w:cstheme="minorHAnsi"/>
          <w:i/>
          <w:sz w:val="24"/>
          <w:szCs w:val="24"/>
        </w:rPr>
        <w:t>,</w:t>
      </w:r>
      <w:r w:rsidRPr="004E1422">
        <w:rPr>
          <w:rFonts w:cstheme="minorHAnsi"/>
          <w:sz w:val="24"/>
          <w:szCs w:val="24"/>
        </w:rPr>
        <w:t xml:space="preserve"> 184 – 201.</w:t>
      </w:r>
    </w:p>
    <w:p w:rsidR="00235C1B" w:rsidRDefault="00475373" w:rsidP="00235C1B">
      <w:pPr>
        <w:autoSpaceDE w:val="0"/>
        <w:autoSpaceDN w:val="0"/>
        <w:adjustRightInd w:val="0"/>
        <w:spacing w:after="0" w:line="240" w:lineRule="auto"/>
        <w:ind w:left="720" w:hanging="720"/>
        <w:rPr>
          <w:rFonts w:cs="MyriadPro-Regular"/>
          <w:sz w:val="24"/>
          <w:szCs w:val="24"/>
        </w:rPr>
      </w:pPr>
      <w:r w:rsidRPr="004E1422">
        <w:rPr>
          <w:rFonts w:cs="MyriadPro-Regular"/>
          <w:sz w:val="24"/>
          <w:szCs w:val="24"/>
          <w:lang w:val="de-DE"/>
        </w:rPr>
        <w:t xml:space="preserve">Steel, P., Schmidt, J., &amp; Shultz, J. (2008). </w:t>
      </w:r>
      <w:r w:rsidRPr="004E1422">
        <w:rPr>
          <w:rFonts w:cs="MyriadPro-Regular"/>
          <w:sz w:val="24"/>
          <w:szCs w:val="24"/>
        </w:rPr>
        <w:t>Refining the relationship between personality and subjective well-being. </w:t>
      </w:r>
      <w:r w:rsidRPr="004E1422">
        <w:rPr>
          <w:rFonts w:cs="MyriadPro-Regular"/>
          <w:i/>
          <w:iCs/>
          <w:sz w:val="24"/>
          <w:szCs w:val="24"/>
        </w:rPr>
        <w:t xml:space="preserve">Psychological </w:t>
      </w:r>
      <w:r w:rsidR="0092277D" w:rsidRPr="004E1422">
        <w:rPr>
          <w:rFonts w:cs="MyriadPro-Regular"/>
          <w:i/>
          <w:iCs/>
          <w:sz w:val="24"/>
          <w:szCs w:val="24"/>
        </w:rPr>
        <w:t>B</w:t>
      </w:r>
      <w:r w:rsidRPr="004E1422">
        <w:rPr>
          <w:rFonts w:cs="MyriadPro-Regular"/>
          <w:i/>
          <w:iCs/>
          <w:sz w:val="24"/>
          <w:szCs w:val="24"/>
        </w:rPr>
        <w:t>ulletin</w:t>
      </w:r>
      <w:r w:rsidRPr="004E1422">
        <w:rPr>
          <w:rFonts w:cs="MyriadPro-Regular"/>
          <w:sz w:val="24"/>
          <w:szCs w:val="24"/>
        </w:rPr>
        <w:t>, </w:t>
      </w:r>
      <w:r w:rsidRPr="004E1422">
        <w:rPr>
          <w:rFonts w:cs="MyriadPro-Regular"/>
          <w:i/>
          <w:iCs/>
          <w:sz w:val="24"/>
          <w:szCs w:val="24"/>
        </w:rPr>
        <w:t>134</w:t>
      </w:r>
      <w:r w:rsidRPr="004E1422">
        <w:rPr>
          <w:rFonts w:cs="MyriadPro-Regular"/>
          <w:sz w:val="24"/>
          <w:szCs w:val="24"/>
        </w:rPr>
        <w:t>, 138</w:t>
      </w:r>
      <w:r w:rsidR="0092277D" w:rsidRPr="004E1422">
        <w:rPr>
          <w:rFonts w:cs="MyriadPro-Regular"/>
          <w:sz w:val="24"/>
          <w:szCs w:val="24"/>
        </w:rPr>
        <w:t>-161</w:t>
      </w:r>
      <w:r w:rsidRPr="004E1422">
        <w:rPr>
          <w:rFonts w:cs="MyriadPro-Regular"/>
          <w:sz w:val="24"/>
          <w:szCs w:val="24"/>
        </w:rPr>
        <w:t>.</w:t>
      </w:r>
      <w:bookmarkStart w:id="1" w:name="_ENREF_117"/>
    </w:p>
    <w:p w:rsidR="00235C1B" w:rsidRDefault="00432AB7" w:rsidP="00235C1B">
      <w:pPr>
        <w:autoSpaceDE w:val="0"/>
        <w:autoSpaceDN w:val="0"/>
        <w:adjustRightInd w:val="0"/>
        <w:spacing w:after="0" w:line="240" w:lineRule="auto"/>
        <w:ind w:left="720" w:hanging="720"/>
        <w:rPr>
          <w:rFonts w:cs="Arial"/>
          <w:color w:val="222222"/>
          <w:sz w:val="24"/>
          <w:szCs w:val="24"/>
          <w:shd w:val="clear" w:color="auto" w:fill="FFFFFF"/>
        </w:rPr>
      </w:pPr>
      <w:r w:rsidRPr="004E1422">
        <w:rPr>
          <w:rFonts w:cs="Arial"/>
          <w:color w:val="222222"/>
          <w:sz w:val="24"/>
          <w:szCs w:val="24"/>
          <w:shd w:val="clear" w:color="auto" w:fill="FFFFFF"/>
        </w:rPr>
        <w:t>Thomas, L. L., Kuncel, N. R., &amp; Credé, M. (2007). Noncognitive variables in college admissions: The case of the Non-Cognitive Questionnaire.</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Educational and Psychological Measurement</w:t>
      </w:r>
      <w:r w:rsidRPr="004E1422">
        <w:rPr>
          <w:rFonts w:cs="Arial"/>
          <w:color w:val="222222"/>
          <w:sz w:val="24"/>
          <w:szCs w:val="24"/>
          <w:shd w:val="clear" w:color="auto" w:fill="FFFFFF"/>
        </w:rPr>
        <w:t>,</w:t>
      </w:r>
      <w:r w:rsidRPr="004E1422">
        <w:rPr>
          <w:rStyle w:val="apple-converted-space"/>
          <w:rFonts w:cs="Arial"/>
          <w:color w:val="222222"/>
          <w:sz w:val="24"/>
          <w:szCs w:val="24"/>
          <w:shd w:val="clear" w:color="auto" w:fill="FFFFFF"/>
        </w:rPr>
        <w:t> </w:t>
      </w:r>
      <w:r w:rsidRPr="004E1422">
        <w:rPr>
          <w:rFonts w:cs="Arial"/>
          <w:i/>
          <w:iCs/>
          <w:color w:val="222222"/>
          <w:sz w:val="24"/>
          <w:szCs w:val="24"/>
          <w:shd w:val="clear" w:color="auto" w:fill="FFFFFF"/>
        </w:rPr>
        <w:t>67</w:t>
      </w:r>
      <w:r w:rsidRPr="004E1422">
        <w:rPr>
          <w:rFonts w:cs="Arial"/>
          <w:color w:val="222222"/>
          <w:sz w:val="24"/>
          <w:szCs w:val="24"/>
          <w:shd w:val="clear" w:color="auto" w:fill="FFFFFF"/>
        </w:rPr>
        <w:t>, 635-657</w:t>
      </w:r>
    </w:p>
    <w:p w:rsidR="00235C1B" w:rsidRDefault="009A2D0E"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Tominey, S. L., &amp; McClelland, M. M. (2011). Red light, purple light: Findings from a randomized trial using circle time games to improve behavioral self-regulation in preschool. </w:t>
      </w:r>
      <w:r w:rsidRPr="004E1422">
        <w:rPr>
          <w:i/>
          <w:sz w:val="24"/>
          <w:szCs w:val="24"/>
        </w:rPr>
        <w:t>Early Education and Development, 22</w:t>
      </w:r>
      <w:r w:rsidRPr="004E1422">
        <w:rPr>
          <w:sz w:val="24"/>
          <w:szCs w:val="24"/>
        </w:rPr>
        <w:t>, 489-519.</w:t>
      </w:r>
      <w:bookmarkEnd w:id="1"/>
    </w:p>
    <w:p w:rsidR="00235C1B" w:rsidRDefault="00475373" w:rsidP="00235C1B">
      <w:pPr>
        <w:autoSpaceDE w:val="0"/>
        <w:autoSpaceDN w:val="0"/>
        <w:adjustRightInd w:val="0"/>
        <w:spacing w:after="0" w:line="240" w:lineRule="auto"/>
        <w:ind w:left="720" w:hanging="720"/>
        <w:rPr>
          <w:rFonts w:cs="TimesNewRomanPSMT"/>
          <w:sz w:val="24"/>
          <w:szCs w:val="24"/>
        </w:rPr>
      </w:pPr>
      <w:r w:rsidRPr="004E1422">
        <w:rPr>
          <w:sz w:val="24"/>
          <w:szCs w:val="24"/>
        </w:rPr>
        <w:t xml:space="preserve">Van Iddekinge, C. H., Roth, P. L., Raymark, P. H., &amp; Odle-Dusseau (2012). The criterion-related validity of integrity tests: An updated meta-analysis. </w:t>
      </w:r>
      <w:r w:rsidRPr="004E1422">
        <w:rPr>
          <w:i/>
          <w:sz w:val="24"/>
          <w:szCs w:val="24"/>
        </w:rPr>
        <w:t>Journal of Applied Psychology, 97,</w:t>
      </w:r>
      <w:r w:rsidRPr="004E1422">
        <w:rPr>
          <w:sz w:val="24"/>
          <w:szCs w:val="24"/>
        </w:rPr>
        <w:t xml:space="preserve"> 499–530.</w:t>
      </w:r>
    </w:p>
    <w:p w:rsidR="005F2F77" w:rsidRPr="00235C1B" w:rsidRDefault="005F2F77" w:rsidP="00235C1B">
      <w:pPr>
        <w:autoSpaceDE w:val="0"/>
        <w:autoSpaceDN w:val="0"/>
        <w:adjustRightInd w:val="0"/>
        <w:spacing w:after="0" w:line="240" w:lineRule="auto"/>
        <w:ind w:left="720" w:hanging="720"/>
        <w:rPr>
          <w:rFonts w:cs="TimesNewRomanPSMT"/>
          <w:sz w:val="24"/>
          <w:szCs w:val="24"/>
        </w:rPr>
      </w:pPr>
      <w:r w:rsidRPr="004E1422">
        <w:rPr>
          <w:rFonts w:cstheme="minorHAnsi"/>
          <w:sz w:val="24"/>
          <w:szCs w:val="24"/>
        </w:rPr>
        <w:t xml:space="preserve">Ziegler, M., MacCann, C., &amp; Roberts, R. D. (Eds.) (2011). </w:t>
      </w:r>
      <w:bookmarkStart w:id="2" w:name="OLE_LINK37"/>
      <w:r w:rsidRPr="004E1422">
        <w:rPr>
          <w:rFonts w:cstheme="minorHAnsi"/>
          <w:i/>
          <w:sz w:val="24"/>
          <w:szCs w:val="24"/>
        </w:rPr>
        <w:t>New perspectives on faking in personality assessment</w:t>
      </w:r>
      <w:r w:rsidRPr="004E1422">
        <w:rPr>
          <w:rFonts w:cstheme="minorHAnsi"/>
          <w:sz w:val="24"/>
          <w:szCs w:val="24"/>
        </w:rPr>
        <w:t>.</w:t>
      </w:r>
      <w:bookmarkEnd w:id="2"/>
      <w:r w:rsidRPr="004E1422">
        <w:rPr>
          <w:rFonts w:cstheme="minorHAnsi"/>
          <w:sz w:val="24"/>
          <w:szCs w:val="24"/>
        </w:rPr>
        <w:t xml:space="preserve"> New York: Oxford University Press.</w:t>
      </w:r>
    </w:p>
    <w:p w:rsidR="007E36A8" w:rsidRPr="004E1422" w:rsidRDefault="007E36A8" w:rsidP="00252C57">
      <w:pPr>
        <w:spacing w:after="0" w:line="240" w:lineRule="auto"/>
        <w:rPr>
          <w:sz w:val="24"/>
          <w:szCs w:val="24"/>
        </w:rPr>
      </w:pPr>
    </w:p>
    <w:sectPr w:rsidR="007E36A8" w:rsidRPr="004E1422" w:rsidSect="00A66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EE" w:rsidRDefault="00BD49EE" w:rsidP="00211D9F">
      <w:pPr>
        <w:spacing w:after="0" w:line="240" w:lineRule="auto"/>
      </w:pPr>
      <w:r>
        <w:separator/>
      </w:r>
    </w:p>
  </w:endnote>
  <w:endnote w:type="continuationSeparator" w:id="0">
    <w:p w:rsidR="00BD49EE" w:rsidRDefault="00BD49EE" w:rsidP="0021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Std Light">
    <w:altName w:val="Akzidenz-Grotesk Std Ligh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in">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TimesNewRomanPS-BoldMT">
    <w:panose1 w:val="00000000000000000000"/>
    <w:charset w:val="00"/>
    <w:family w:val="roman"/>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 w:name="MyriadPro-Semibold">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Akzidenz-Grotesk Std Regular">
    <w:altName w:val="Akzidenz-Grotesk Std Regular"/>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EE" w:rsidRDefault="00BD49EE" w:rsidP="00211D9F">
      <w:pPr>
        <w:spacing w:after="0" w:line="240" w:lineRule="auto"/>
      </w:pPr>
      <w:r>
        <w:separator/>
      </w:r>
    </w:p>
  </w:footnote>
  <w:footnote w:type="continuationSeparator" w:id="0">
    <w:p w:rsidR="00BD49EE" w:rsidRDefault="00BD49EE" w:rsidP="00211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5758D"/>
    <w:multiLevelType w:val="hybridMultilevel"/>
    <w:tmpl w:val="4EA6A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101BF"/>
    <w:multiLevelType w:val="hybridMultilevel"/>
    <w:tmpl w:val="7984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B58A4"/>
    <w:multiLevelType w:val="hybridMultilevel"/>
    <w:tmpl w:val="AEEAE6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C50033"/>
    <w:multiLevelType w:val="hybridMultilevel"/>
    <w:tmpl w:val="DEBA0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743B"/>
    <w:multiLevelType w:val="hybridMultilevel"/>
    <w:tmpl w:val="2D6A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F1D31"/>
    <w:multiLevelType w:val="hybridMultilevel"/>
    <w:tmpl w:val="45C88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2"/>
    <w:rsid w:val="000061A0"/>
    <w:rsid w:val="00027CC1"/>
    <w:rsid w:val="00035D88"/>
    <w:rsid w:val="00074DB9"/>
    <w:rsid w:val="00084659"/>
    <w:rsid w:val="000A48EF"/>
    <w:rsid w:val="000A7BBA"/>
    <w:rsid w:val="000F40A7"/>
    <w:rsid w:val="000F6294"/>
    <w:rsid w:val="00106C7B"/>
    <w:rsid w:val="00115A9E"/>
    <w:rsid w:val="00166D7A"/>
    <w:rsid w:val="00166DA1"/>
    <w:rsid w:val="00177D4F"/>
    <w:rsid w:val="00186B43"/>
    <w:rsid w:val="001D5658"/>
    <w:rsid w:val="001E21E5"/>
    <w:rsid w:val="001E38DD"/>
    <w:rsid w:val="001F290D"/>
    <w:rsid w:val="001F3D3E"/>
    <w:rsid w:val="0020379D"/>
    <w:rsid w:val="00203C15"/>
    <w:rsid w:val="0020603F"/>
    <w:rsid w:val="00211D9F"/>
    <w:rsid w:val="00214C94"/>
    <w:rsid w:val="00232F07"/>
    <w:rsid w:val="00235C1B"/>
    <w:rsid w:val="00252C57"/>
    <w:rsid w:val="00287664"/>
    <w:rsid w:val="00287D15"/>
    <w:rsid w:val="00290E06"/>
    <w:rsid w:val="002A6A25"/>
    <w:rsid w:val="002B64E2"/>
    <w:rsid w:val="002C7F01"/>
    <w:rsid w:val="002E4978"/>
    <w:rsid w:val="002E6DA0"/>
    <w:rsid w:val="002F1EF8"/>
    <w:rsid w:val="002F45A7"/>
    <w:rsid w:val="00321687"/>
    <w:rsid w:val="003258FC"/>
    <w:rsid w:val="00330E80"/>
    <w:rsid w:val="003369A1"/>
    <w:rsid w:val="00343BFB"/>
    <w:rsid w:val="00365201"/>
    <w:rsid w:val="00366E24"/>
    <w:rsid w:val="003C30A5"/>
    <w:rsid w:val="003C4B60"/>
    <w:rsid w:val="003D422E"/>
    <w:rsid w:val="003D47DF"/>
    <w:rsid w:val="003E07A1"/>
    <w:rsid w:val="003E2542"/>
    <w:rsid w:val="003F179C"/>
    <w:rsid w:val="003F5929"/>
    <w:rsid w:val="003F7D6E"/>
    <w:rsid w:val="00400FB6"/>
    <w:rsid w:val="0040742E"/>
    <w:rsid w:val="00432AB7"/>
    <w:rsid w:val="00474D43"/>
    <w:rsid w:val="00475373"/>
    <w:rsid w:val="00492D1F"/>
    <w:rsid w:val="004A5DE9"/>
    <w:rsid w:val="004A69B0"/>
    <w:rsid w:val="004B302D"/>
    <w:rsid w:val="004C33E7"/>
    <w:rsid w:val="004C4D3C"/>
    <w:rsid w:val="004D0153"/>
    <w:rsid w:val="004D5F67"/>
    <w:rsid w:val="004E1422"/>
    <w:rsid w:val="004E442D"/>
    <w:rsid w:val="004F6C28"/>
    <w:rsid w:val="005056BF"/>
    <w:rsid w:val="00506E25"/>
    <w:rsid w:val="005100A0"/>
    <w:rsid w:val="00510DE3"/>
    <w:rsid w:val="005123C7"/>
    <w:rsid w:val="00537C8E"/>
    <w:rsid w:val="00543957"/>
    <w:rsid w:val="00564095"/>
    <w:rsid w:val="00565F97"/>
    <w:rsid w:val="00571311"/>
    <w:rsid w:val="0057292B"/>
    <w:rsid w:val="00590D57"/>
    <w:rsid w:val="005D712E"/>
    <w:rsid w:val="005F2F77"/>
    <w:rsid w:val="00600054"/>
    <w:rsid w:val="00614F92"/>
    <w:rsid w:val="006170DB"/>
    <w:rsid w:val="00630C2D"/>
    <w:rsid w:val="00641DEC"/>
    <w:rsid w:val="0065464E"/>
    <w:rsid w:val="00684FFC"/>
    <w:rsid w:val="006A1AEF"/>
    <w:rsid w:val="006A40E4"/>
    <w:rsid w:val="006A6EF9"/>
    <w:rsid w:val="006C38E2"/>
    <w:rsid w:val="006C490D"/>
    <w:rsid w:val="006C6707"/>
    <w:rsid w:val="006C6EE0"/>
    <w:rsid w:val="006D431B"/>
    <w:rsid w:val="006F1393"/>
    <w:rsid w:val="00703761"/>
    <w:rsid w:val="0070628C"/>
    <w:rsid w:val="0070746D"/>
    <w:rsid w:val="00732338"/>
    <w:rsid w:val="00740B4E"/>
    <w:rsid w:val="00741E4E"/>
    <w:rsid w:val="0074251D"/>
    <w:rsid w:val="0075585E"/>
    <w:rsid w:val="00771049"/>
    <w:rsid w:val="00783A84"/>
    <w:rsid w:val="00787F72"/>
    <w:rsid w:val="00790DCB"/>
    <w:rsid w:val="00791FBE"/>
    <w:rsid w:val="007A2C78"/>
    <w:rsid w:val="007A730C"/>
    <w:rsid w:val="007B05D0"/>
    <w:rsid w:val="007B216E"/>
    <w:rsid w:val="007E36A8"/>
    <w:rsid w:val="007E7B4B"/>
    <w:rsid w:val="007F792B"/>
    <w:rsid w:val="0080312D"/>
    <w:rsid w:val="00830717"/>
    <w:rsid w:val="00833A08"/>
    <w:rsid w:val="0086014D"/>
    <w:rsid w:val="00871562"/>
    <w:rsid w:val="00872417"/>
    <w:rsid w:val="00897A8B"/>
    <w:rsid w:val="008A1540"/>
    <w:rsid w:val="008A4ED3"/>
    <w:rsid w:val="008A64E8"/>
    <w:rsid w:val="008B5CF1"/>
    <w:rsid w:val="008B6E48"/>
    <w:rsid w:val="008C76BE"/>
    <w:rsid w:val="008D481C"/>
    <w:rsid w:val="008F4F5B"/>
    <w:rsid w:val="00900099"/>
    <w:rsid w:val="0092277D"/>
    <w:rsid w:val="009429A1"/>
    <w:rsid w:val="009539C4"/>
    <w:rsid w:val="009545DB"/>
    <w:rsid w:val="009646F0"/>
    <w:rsid w:val="00974AF6"/>
    <w:rsid w:val="00982455"/>
    <w:rsid w:val="00985D93"/>
    <w:rsid w:val="00990A3C"/>
    <w:rsid w:val="00996006"/>
    <w:rsid w:val="00996F47"/>
    <w:rsid w:val="009A2D0E"/>
    <w:rsid w:val="009A32A4"/>
    <w:rsid w:val="009A4642"/>
    <w:rsid w:val="009A491D"/>
    <w:rsid w:val="009B5E3D"/>
    <w:rsid w:val="009C79CF"/>
    <w:rsid w:val="009D0C6A"/>
    <w:rsid w:val="009D0EAE"/>
    <w:rsid w:val="009E1250"/>
    <w:rsid w:val="009F0137"/>
    <w:rsid w:val="009F3ABA"/>
    <w:rsid w:val="00A00208"/>
    <w:rsid w:val="00A20DCB"/>
    <w:rsid w:val="00A31CEE"/>
    <w:rsid w:val="00A45D9B"/>
    <w:rsid w:val="00A66727"/>
    <w:rsid w:val="00A718AF"/>
    <w:rsid w:val="00A74C53"/>
    <w:rsid w:val="00A81D7B"/>
    <w:rsid w:val="00A95F2E"/>
    <w:rsid w:val="00AA12B0"/>
    <w:rsid w:val="00AA2574"/>
    <w:rsid w:val="00AA51D4"/>
    <w:rsid w:val="00AA64A4"/>
    <w:rsid w:val="00AB5D02"/>
    <w:rsid w:val="00AC792C"/>
    <w:rsid w:val="00AD15BA"/>
    <w:rsid w:val="00AE5B2E"/>
    <w:rsid w:val="00AE7D70"/>
    <w:rsid w:val="00AF25EE"/>
    <w:rsid w:val="00B05043"/>
    <w:rsid w:val="00B070D9"/>
    <w:rsid w:val="00B13729"/>
    <w:rsid w:val="00B2129C"/>
    <w:rsid w:val="00B36755"/>
    <w:rsid w:val="00B47796"/>
    <w:rsid w:val="00B546F5"/>
    <w:rsid w:val="00B56C60"/>
    <w:rsid w:val="00B80AA0"/>
    <w:rsid w:val="00B877CB"/>
    <w:rsid w:val="00BB4900"/>
    <w:rsid w:val="00BC3BF0"/>
    <w:rsid w:val="00BC4485"/>
    <w:rsid w:val="00BD41B5"/>
    <w:rsid w:val="00BD49EE"/>
    <w:rsid w:val="00BD63F6"/>
    <w:rsid w:val="00BD70B4"/>
    <w:rsid w:val="00BE00E1"/>
    <w:rsid w:val="00BE74CC"/>
    <w:rsid w:val="00BF2CE9"/>
    <w:rsid w:val="00C024F4"/>
    <w:rsid w:val="00C03AE7"/>
    <w:rsid w:val="00C04133"/>
    <w:rsid w:val="00C158A8"/>
    <w:rsid w:val="00C32E45"/>
    <w:rsid w:val="00C54A37"/>
    <w:rsid w:val="00C56E76"/>
    <w:rsid w:val="00C8019A"/>
    <w:rsid w:val="00C9309F"/>
    <w:rsid w:val="00C94AB7"/>
    <w:rsid w:val="00CA4DE0"/>
    <w:rsid w:val="00CA6DF6"/>
    <w:rsid w:val="00CB149C"/>
    <w:rsid w:val="00CC02E8"/>
    <w:rsid w:val="00CC14DD"/>
    <w:rsid w:val="00CC4A36"/>
    <w:rsid w:val="00CE5113"/>
    <w:rsid w:val="00CE6C06"/>
    <w:rsid w:val="00CF082D"/>
    <w:rsid w:val="00CF4DFA"/>
    <w:rsid w:val="00D15CBA"/>
    <w:rsid w:val="00D22CD5"/>
    <w:rsid w:val="00D23AB3"/>
    <w:rsid w:val="00D30B00"/>
    <w:rsid w:val="00D34432"/>
    <w:rsid w:val="00D34B4C"/>
    <w:rsid w:val="00D418B4"/>
    <w:rsid w:val="00D57281"/>
    <w:rsid w:val="00D76ACB"/>
    <w:rsid w:val="00D8612B"/>
    <w:rsid w:val="00DA561A"/>
    <w:rsid w:val="00DB42FF"/>
    <w:rsid w:val="00DB4C07"/>
    <w:rsid w:val="00DC356C"/>
    <w:rsid w:val="00DE150C"/>
    <w:rsid w:val="00DE5319"/>
    <w:rsid w:val="00DF109D"/>
    <w:rsid w:val="00DF219D"/>
    <w:rsid w:val="00DF62B3"/>
    <w:rsid w:val="00E1115B"/>
    <w:rsid w:val="00E1227B"/>
    <w:rsid w:val="00E12C36"/>
    <w:rsid w:val="00E24357"/>
    <w:rsid w:val="00E318A6"/>
    <w:rsid w:val="00E33D32"/>
    <w:rsid w:val="00E348A2"/>
    <w:rsid w:val="00E50A8B"/>
    <w:rsid w:val="00E719CE"/>
    <w:rsid w:val="00E77ADB"/>
    <w:rsid w:val="00E8703F"/>
    <w:rsid w:val="00E93C6E"/>
    <w:rsid w:val="00E95104"/>
    <w:rsid w:val="00E969D7"/>
    <w:rsid w:val="00EA1B08"/>
    <w:rsid w:val="00EA26E0"/>
    <w:rsid w:val="00EA59B5"/>
    <w:rsid w:val="00EC32C8"/>
    <w:rsid w:val="00EC6AF7"/>
    <w:rsid w:val="00ED0F04"/>
    <w:rsid w:val="00ED44B1"/>
    <w:rsid w:val="00EF43B7"/>
    <w:rsid w:val="00F034B4"/>
    <w:rsid w:val="00F03C44"/>
    <w:rsid w:val="00F05EAA"/>
    <w:rsid w:val="00F07626"/>
    <w:rsid w:val="00F077FB"/>
    <w:rsid w:val="00F41894"/>
    <w:rsid w:val="00F534BF"/>
    <w:rsid w:val="00F5662E"/>
    <w:rsid w:val="00F57BD1"/>
    <w:rsid w:val="00F62676"/>
    <w:rsid w:val="00F7541C"/>
    <w:rsid w:val="00F82665"/>
    <w:rsid w:val="00F834F9"/>
    <w:rsid w:val="00FA7118"/>
    <w:rsid w:val="00FC6FA1"/>
    <w:rsid w:val="00FE17DE"/>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7889"/>
    <o:shapelayout v:ext="edit">
      <o:idmap v:ext="edit" data="1"/>
    </o:shapelayout>
  </w:shapeDefaults>
  <w:decimalSymbol w:val="."/>
  <w:listSeparator w:val=","/>
  <w15:docId w15:val="{0D4372E9-632F-4221-AC18-9908F4D3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9D0C6A"/>
    <w:pPr>
      <w:spacing w:after="200" w:line="276" w:lineRule="auto"/>
      <w:ind w:left="720"/>
      <w:contextualSpacing/>
    </w:pPr>
  </w:style>
  <w:style w:type="table" w:customStyle="1" w:styleId="LightList1">
    <w:name w:val="Light List1"/>
    <w:basedOn w:val="TableNormal"/>
    <w:uiPriority w:val="61"/>
    <w:rsid w:val="009D0C6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basedOn w:val="DefaultParagraphFont"/>
    <w:link w:val="ListParagraph"/>
    <w:uiPriority w:val="34"/>
    <w:locked/>
    <w:rsid w:val="009D0C6A"/>
  </w:style>
  <w:style w:type="paragraph" w:customStyle="1" w:styleId="BlockQuote">
    <w:name w:val="Block Quote"/>
    <w:basedOn w:val="Normal"/>
    <w:uiPriority w:val="99"/>
    <w:rsid w:val="00252C57"/>
    <w:pPr>
      <w:spacing w:after="240" w:line="240" w:lineRule="auto"/>
      <w:ind w:left="720"/>
    </w:pPr>
    <w:rPr>
      <w:rFonts w:ascii="Times New Roman" w:eastAsia="Times New Roman" w:hAnsi="Times New Roman" w:cs="Times New Roman"/>
      <w:sz w:val="24"/>
      <w:szCs w:val="20"/>
    </w:rPr>
  </w:style>
  <w:style w:type="character" w:styleId="Emphasis">
    <w:name w:val="Emphasis"/>
    <w:basedOn w:val="DefaultParagraphFont"/>
    <w:qFormat/>
    <w:rsid w:val="00252C57"/>
    <w:rPr>
      <w:i/>
      <w:iCs/>
    </w:rPr>
  </w:style>
  <w:style w:type="table" w:styleId="TableGrid">
    <w:name w:val="Table Grid"/>
    <w:basedOn w:val="TableNormal"/>
    <w:uiPriority w:val="39"/>
    <w:rsid w:val="0057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07A1"/>
  </w:style>
  <w:style w:type="paragraph" w:customStyle="1" w:styleId="Pa10">
    <w:name w:val="Pa10"/>
    <w:basedOn w:val="Normal"/>
    <w:next w:val="Normal"/>
    <w:uiPriority w:val="99"/>
    <w:rsid w:val="00996F47"/>
    <w:pPr>
      <w:autoSpaceDE w:val="0"/>
      <w:autoSpaceDN w:val="0"/>
      <w:adjustRightInd w:val="0"/>
      <w:spacing w:after="0" w:line="191" w:lineRule="atLeast"/>
    </w:pPr>
    <w:rPr>
      <w:rFonts w:ascii="Akzidenz-Grotesk Std Light" w:hAnsi="Akzidenz-Grotesk Std Light"/>
      <w:sz w:val="24"/>
      <w:szCs w:val="24"/>
    </w:rPr>
  </w:style>
  <w:style w:type="character" w:styleId="Hyperlink">
    <w:name w:val="Hyperlink"/>
    <w:basedOn w:val="DefaultParagraphFont"/>
    <w:uiPriority w:val="99"/>
    <w:unhideWhenUsed/>
    <w:rsid w:val="00074DB9"/>
    <w:rPr>
      <w:color w:val="0563C1" w:themeColor="hyperlink"/>
      <w:u w:val="single"/>
    </w:rPr>
  </w:style>
  <w:style w:type="paragraph" w:customStyle="1" w:styleId="references">
    <w:name w:val="references"/>
    <w:basedOn w:val="Normal"/>
    <w:rsid w:val="00A31CEE"/>
    <w:pPr>
      <w:overflowPunct w:val="0"/>
      <w:autoSpaceDE w:val="0"/>
      <w:autoSpaceDN w:val="0"/>
      <w:adjustRightInd w:val="0"/>
      <w:spacing w:after="0" w:line="200" w:lineRule="atLeast"/>
      <w:ind w:left="238" w:hanging="238"/>
      <w:jc w:val="both"/>
      <w:textAlignment w:val="baseline"/>
    </w:pPr>
    <w:rPr>
      <w:rFonts w:ascii="Times" w:eastAsia="Times New Roman" w:hAnsi="Times" w:cs="Times New Roman"/>
      <w:sz w:val="17"/>
      <w:szCs w:val="20"/>
      <w:lang w:eastAsia="de-DE"/>
    </w:rPr>
  </w:style>
  <w:style w:type="character" w:styleId="CommentReference">
    <w:name w:val="annotation reference"/>
    <w:uiPriority w:val="99"/>
    <w:unhideWhenUsed/>
    <w:rsid w:val="003D422E"/>
    <w:rPr>
      <w:sz w:val="16"/>
      <w:szCs w:val="16"/>
    </w:rPr>
  </w:style>
  <w:style w:type="paragraph" w:styleId="CommentText">
    <w:name w:val="annotation text"/>
    <w:basedOn w:val="Normal"/>
    <w:link w:val="CommentTextChar"/>
    <w:uiPriority w:val="99"/>
    <w:unhideWhenUsed/>
    <w:rsid w:val="003D422E"/>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3D422E"/>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D4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22E"/>
    <w:rPr>
      <w:rFonts w:ascii="Segoe UI" w:hAnsi="Segoe UI" w:cs="Segoe UI"/>
      <w:sz w:val="18"/>
      <w:szCs w:val="18"/>
    </w:rPr>
  </w:style>
  <w:style w:type="character" w:customStyle="1" w:styleId="A4">
    <w:name w:val="A4"/>
    <w:uiPriority w:val="99"/>
    <w:rsid w:val="00E93C6E"/>
    <w:rPr>
      <w:rFonts w:cs="Adobe Garamond Pro"/>
      <w:color w:val="221E1F"/>
      <w:sz w:val="22"/>
      <w:szCs w:val="22"/>
    </w:rPr>
  </w:style>
  <w:style w:type="paragraph" w:styleId="CommentSubject">
    <w:name w:val="annotation subject"/>
    <w:basedOn w:val="CommentText"/>
    <w:next w:val="CommentText"/>
    <w:link w:val="CommentSubjectChar"/>
    <w:uiPriority w:val="99"/>
    <w:semiHidden/>
    <w:unhideWhenUsed/>
    <w:rsid w:val="00791FB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91FBE"/>
    <w:rPr>
      <w:rFonts w:ascii="Calibri" w:eastAsia="Calibri" w:hAnsi="Calibri" w:cs="Times New Roman"/>
      <w:b/>
      <w:bCs/>
      <w:sz w:val="20"/>
      <w:szCs w:val="20"/>
    </w:rPr>
  </w:style>
  <w:style w:type="paragraph" w:styleId="Header">
    <w:name w:val="header"/>
    <w:basedOn w:val="Normal"/>
    <w:link w:val="HeaderChar"/>
    <w:uiPriority w:val="99"/>
    <w:unhideWhenUsed/>
    <w:rsid w:val="00211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D9F"/>
  </w:style>
  <w:style w:type="paragraph" w:styleId="Footer">
    <w:name w:val="footer"/>
    <w:basedOn w:val="Normal"/>
    <w:link w:val="FooterChar"/>
    <w:uiPriority w:val="99"/>
    <w:unhideWhenUsed/>
    <w:rsid w:val="00211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D9F"/>
  </w:style>
  <w:style w:type="paragraph" w:styleId="BodyText3">
    <w:name w:val="Body Text 3"/>
    <w:basedOn w:val="Normal"/>
    <w:link w:val="BodyText3Char"/>
    <w:uiPriority w:val="99"/>
    <w:rsid w:val="002B64E2"/>
    <w:pPr>
      <w:tabs>
        <w:tab w:val="left" w:pos="180"/>
      </w:tabs>
      <w:spacing w:after="0" w:line="240" w:lineRule="auto"/>
    </w:pPr>
    <w:rPr>
      <w:rFonts w:ascii="Times New Roman" w:eastAsia="Times New Roman" w:hAnsi="Times New Roman" w:cs="Times New Roman"/>
      <w:b/>
      <w:bCs/>
      <w:sz w:val="16"/>
      <w:szCs w:val="24"/>
    </w:rPr>
  </w:style>
  <w:style w:type="character" w:customStyle="1" w:styleId="BodyText3Char">
    <w:name w:val="Body Text 3 Char"/>
    <w:basedOn w:val="DefaultParagraphFont"/>
    <w:link w:val="BodyText3"/>
    <w:uiPriority w:val="99"/>
    <w:rsid w:val="002B64E2"/>
    <w:rPr>
      <w:rFonts w:ascii="Times New Roman" w:eastAsia="Times New Roman" w:hAnsi="Times New Roman" w:cs="Times New Roman"/>
      <w:b/>
      <w:bCs/>
      <w:sz w:val="16"/>
      <w:szCs w:val="24"/>
    </w:rPr>
  </w:style>
  <w:style w:type="paragraph" w:styleId="Revision">
    <w:name w:val="Revision"/>
    <w:hidden/>
    <w:uiPriority w:val="99"/>
    <w:semiHidden/>
    <w:rsid w:val="00AA64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04778">
      <w:bodyDiv w:val="1"/>
      <w:marLeft w:val="0"/>
      <w:marRight w:val="0"/>
      <w:marTop w:val="0"/>
      <w:marBottom w:val="0"/>
      <w:divBdr>
        <w:top w:val="none" w:sz="0" w:space="0" w:color="auto"/>
        <w:left w:val="none" w:sz="0" w:space="0" w:color="auto"/>
        <w:bottom w:val="none" w:sz="0" w:space="0" w:color="auto"/>
        <w:right w:val="none" w:sz="0" w:space="0" w:color="auto"/>
      </w:divBdr>
    </w:div>
    <w:div w:id="1089733491">
      <w:bodyDiv w:val="1"/>
      <w:marLeft w:val="0"/>
      <w:marRight w:val="0"/>
      <w:marTop w:val="0"/>
      <w:marBottom w:val="0"/>
      <w:divBdr>
        <w:top w:val="none" w:sz="0" w:space="0" w:color="auto"/>
        <w:left w:val="none" w:sz="0" w:space="0" w:color="auto"/>
        <w:bottom w:val="none" w:sz="0" w:space="0" w:color="auto"/>
        <w:right w:val="none" w:sz="0" w:space="0" w:color="auto"/>
      </w:divBdr>
    </w:div>
    <w:div w:id="1288656378">
      <w:bodyDiv w:val="1"/>
      <w:marLeft w:val="0"/>
      <w:marRight w:val="0"/>
      <w:marTop w:val="0"/>
      <w:marBottom w:val="0"/>
      <w:divBdr>
        <w:top w:val="none" w:sz="0" w:space="0" w:color="auto"/>
        <w:left w:val="none" w:sz="0" w:space="0" w:color="auto"/>
        <w:bottom w:val="none" w:sz="0" w:space="0" w:color="auto"/>
        <w:right w:val="none" w:sz="0" w:space="0" w:color="auto"/>
      </w:divBdr>
    </w:div>
    <w:div w:id="1967396184">
      <w:bodyDiv w:val="1"/>
      <w:marLeft w:val="0"/>
      <w:marRight w:val="0"/>
      <w:marTop w:val="0"/>
      <w:marBottom w:val="0"/>
      <w:divBdr>
        <w:top w:val="none" w:sz="0" w:space="0" w:color="auto"/>
        <w:left w:val="none" w:sz="0" w:space="0" w:color="auto"/>
        <w:bottom w:val="none" w:sz="0" w:space="0" w:color="auto"/>
        <w:right w:val="none" w:sz="0" w:space="0" w:color="auto"/>
      </w:divBdr>
    </w:div>
    <w:div w:id="2034919189">
      <w:bodyDiv w:val="1"/>
      <w:marLeft w:val="0"/>
      <w:marRight w:val="0"/>
      <w:marTop w:val="0"/>
      <w:marBottom w:val="0"/>
      <w:divBdr>
        <w:top w:val="none" w:sz="0" w:space="0" w:color="auto"/>
        <w:left w:val="none" w:sz="0" w:space="0" w:color="auto"/>
        <w:bottom w:val="none" w:sz="0" w:space="0" w:color="auto"/>
        <w:right w:val="none" w:sz="0" w:space="0" w:color="auto"/>
      </w:divBdr>
    </w:div>
    <w:div w:id="20865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ganassessments.com/sites/default/files/Basis%20-%20US%20English.pdf" TargetMode="External"/><Relationship Id="rId5" Type="http://schemas.openxmlformats.org/officeDocument/2006/relationships/webSettings" Target="webSettings.xml"/><Relationship Id="rId10" Type="http://schemas.openxmlformats.org/officeDocument/2006/relationships/hyperlink" Target="https://www.act.org/workkeys/assess/pdf/TalentScoreReport.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A845-849D-4B6F-B780-261E0498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10302</Words>
  <Characters>58725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Professional Examination Service</Company>
  <LinksUpToDate>false</LinksUpToDate>
  <CharactersWithSpaces>68890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Burrus</dc:creator>
  <cp:lastModifiedBy>Jeremy  Burrus</cp:lastModifiedBy>
  <cp:revision>2</cp:revision>
  <dcterms:created xsi:type="dcterms:W3CDTF">2016-02-22T21:48:00Z</dcterms:created>
  <dcterms:modified xsi:type="dcterms:W3CDTF">2016-02-22T21:48:00Z</dcterms:modified>
</cp:coreProperties>
</file>