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(Please Write Your Roll No. immediately)                                                Roll No……………….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Mid- Term Examination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Course &amp; Semester: B.Tech,  I Semester                                                                         Feb-March 2022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Paper Code: HS113                                                                                         Subject: CSL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Time: 1.5 hours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Note: Q. No. 1 is compulsory. Attempt any two questions from the rest.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Q.1. Apply your basic knowledge of communication and write short notes on:                                                           (CO1)                                                                                                          (2*5=10 marks)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Kinesics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Chronemics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Abstract GD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Proxemics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Group Communication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a. Define communication and why is it essential in the professional sphere of     an engineer?                                                                              (CO1)  (5 marks)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b. List the Seven C’s for effective communication. Elaborate three C’s with examples. (CO1)  (5 marks)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Explain any five variables that create barriers to effective communication. (CO1)            (5 marks)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Explain Grapevine Communication and elaborate the types of it. (CO1)  (5 marks)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etiquette and manners important to shape our lives as an individual? Explain. (CO2)            (5 marks)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one word substitution for the following : (CO2)  (5 marks)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i. Fear of Knowledge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ii. The study of Ancient things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iii. A person who collects coins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iv. An ability to use both hands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v. A person’s peculiar habit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