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dicated-workstation.md"/>
    <w:p>
      <w:pPr>
        <w:pStyle w:val="Heading1"/>
      </w:pPr>
      <w:r>
        <w:t xml:space="preserve">dedicated-workstation.md</w:t>
      </w:r>
    </w:p>
    <w:bookmarkEnd w:id="20"/>
    <w:bookmarkStart w:id="22" w:name="product-dedicated-workstation"/>
    <w:p>
      <w:pPr>
        <w:pStyle w:val="Heading1"/>
      </w:pPr>
      <w:r>
        <w:t xml:space="preserve">Product: Dedicated Workstation</w:t>
      </w:r>
    </w:p>
    <w:bookmarkStart w:id="21" w:name="product-summary"/>
    <w:p>
      <w:pPr>
        <w:pStyle w:val="Heading2"/>
      </w:pPr>
      <w:r>
        <w:t xml:space="preserve">Product Summary</w:t>
      </w:r>
    </w:p>
    <w:p>
      <w:pPr>
        <w:pStyle w:val="FirstParagraph"/>
      </w:pPr>
      <w:r>
        <w:t xml:space="preserve">Dedicated Workstation provides members with a permanently assigned desk within a shared coworking environment.</w:t>
      </w:r>
    </w:p>
    <w:p>
      <w:pPr>
        <w:pStyle w:val="BodyText"/>
      </w:pPr>
      <w:r>
        <w:t xml:space="preserve">Unlike Hot Desk memberships, Dedicated Workstation users retain the same reserved seat at all times during their membership period.</w:t>
      </w:r>
    </w:p>
    <w:p>
      <w:pPr>
        <w:pStyle w:val="BodyText"/>
      </w:pPr>
      <w:r>
        <w:t xml:space="preserve">This product is commonly used by:</w:t>
      </w:r>
    </w:p>
    <w:p>
      <w:pPr>
        <w:pStyle w:val="Compact"/>
        <w:numPr>
          <w:ilvl w:val="0"/>
          <w:numId w:val="1001"/>
        </w:numPr>
      </w:pPr>
      <w:r>
        <w:t xml:space="preserve">remote workers</w:t>
      </w:r>
    </w:p>
    <w:p>
      <w:pPr>
        <w:pStyle w:val="Compact"/>
        <w:numPr>
          <w:ilvl w:val="0"/>
          <w:numId w:val="1001"/>
        </w:numPr>
      </w:pPr>
      <w:r>
        <w:t xml:space="preserve">consultants</w:t>
      </w:r>
    </w:p>
    <w:p>
      <w:pPr>
        <w:pStyle w:val="Compact"/>
        <w:numPr>
          <w:ilvl w:val="0"/>
          <w:numId w:val="1001"/>
        </w:numPr>
      </w:pPr>
      <w:r>
        <w:t xml:space="preserve">freelancers</w:t>
      </w:r>
    </w:p>
    <w:p>
      <w:pPr>
        <w:pStyle w:val="Compact"/>
        <w:numPr>
          <w:ilvl w:val="0"/>
          <w:numId w:val="1001"/>
        </w:numPr>
      </w:pPr>
      <w:r>
        <w:t xml:space="preserve">hybrid employees</w:t>
      </w:r>
    </w:p>
    <w:p>
      <w:pPr>
        <w:pStyle w:val="Compact"/>
        <w:numPr>
          <w:ilvl w:val="0"/>
          <w:numId w:val="1001"/>
        </w:numPr>
      </w:pPr>
      <w:r>
        <w:t xml:space="preserve">small startup teams</w:t>
      </w:r>
    </w:p>
    <w:p>
      <w:pPr>
        <w:pStyle w:val="Compact"/>
        <w:numPr>
          <w:ilvl w:val="0"/>
          <w:numId w:val="1001"/>
        </w:numPr>
      </w:pPr>
      <w:r>
        <w:t xml:space="preserve">professionals requiring stable workspace</w:t>
      </w:r>
    </w:p>
    <w:p>
      <w:pPr>
        <w:pStyle w:val="FirstParagraph"/>
      </w:pPr>
      <w:r>
        <w:t xml:space="preserve">Dedicated Workstation combines the flexibility of coworking with the consistency of a permanent workstation.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workspace-features"/>
    <w:p>
      <w:pPr>
        <w:pStyle w:val="Heading1"/>
      </w:pPr>
      <w:r>
        <w:t xml:space="preserve">Workspace Features</w:t>
      </w:r>
    </w:p>
    <w:bookmarkStart w:id="23" w:name="reserved-desk"/>
    <w:p>
      <w:pPr>
        <w:pStyle w:val="Heading2"/>
      </w:pPr>
      <w:r>
        <w:t xml:space="preserve">Reserved Desk</w:t>
      </w:r>
    </w:p>
    <w:p>
      <w:pPr>
        <w:pStyle w:val="FirstParagraph"/>
      </w:pPr>
      <w:r>
        <w:t xml:space="preserve">Members are assigned a dedicated desk for their exclusive use during the active membership term.</w:t>
      </w:r>
    </w:p>
    <w:p>
      <w:pPr>
        <w:pStyle w:val="BodyText"/>
      </w:pPr>
      <w:r>
        <w:t xml:space="preserve">The workstation may typically include:</w:t>
      </w:r>
    </w:p>
    <w:p>
      <w:pPr>
        <w:pStyle w:val="Compact"/>
        <w:numPr>
          <w:ilvl w:val="0"/>
          <w:numId w:val="1002"/>
        </w:numPr>
      </w:pPr>
      <w:r>
        <w:t xml:space="preserve">work desk</w:t>
      </w:r>
    </w:p>
    <w:p>
      <w:pPr>
        <w:pStyle w:val="Compact"/>
        <w:numPr>
          <w:ilvl w:val="0"/>
          <w:numId w:val="1002"/>
        </w:numPr>
      </w:pPr>
      <w:r>
        <w:t xml:space="preserve">ergonomic chair</w:t>
      </w:r>
    </w:p>
    <w:p>
      <w:pPr>
        <w:pStyle w:val="Compact"/>
        <w:numPr>
          <w:ilvl w:val="0"/>
          <w:numId w:val="1002"/>
        </w:numPr>
      </w:pPr>
      <w:r>
        <w:t xml:space="preserve">power access</w:t>
      </w:r>
    </w:p>
    <w:p>
      <w:pPr>
        <w:pStyle w:val="Compact"/>
        <w:numPr>
          <w:ilvl w:val="0"/>
          <w:numId w:val="1002"/>
        </w:numPr>
      </w:pPr>
      <w:r>
        <w:t xml:space="preserve">lockable storage where available</w:t>
      </w:r>
    </w:p>
    <w:p>
      <w:pPr>
        <w:pStyle w:val="FirstParagraph"/>
      </w:pPr>
      <w:r>
        <w:t xml:space="preserve">Desk reassignment may require operational approval.</w:t>
      </w:r>
    </w:p>
    <w:p>
      <w:r>
        <w:pict>
          <v:rect style="width:0;height:1.5pt" o:hralign="center" o:hrstd="t" o:hr="t"/>
        </w:pict>
      </w:r>
    </w:p>
    <w:bookmarkEnd w:id="23"/>
    <w:bookmarkStart w:id="24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Some Dedicated Workstation packages may include:</w:t>
      </w:r>
    </w:p>
    <w:p>
      <w:pPr>
        <w:pStyle w:val="Compact"/>
        <w:numPr>
          <w:ilvl w:val="0"/>
          <w:numId w:val="1003"/>
        </w:numPr>
      </w:pPr>
      <w:r>
        <w:t xml:space="preserve">pedestal drawers</w:t>
      </w:r>
    </w:p>
    <w:p>
      <w:pPr>
        <w:pStyle w:val="Compact"/>
        <w:numPr>
          <w:ilvl w:val="0"/>
          <w:numId w:val="1003"/>
        </w:numPr>
      </w:pPr>
      <w:r>
        <w:t xml:space="preserve">lockers</w:t>
      </w:r>
    </w:p>
    <w:p>
      <w:pPr>
        <w:pStyle w:val="Compact"/>
        <w:numPr>
          <w:ilvl w:val="0"/>
          <w:numId w:val="1003"/>
        </w:numPr>
      </w:pPr>
      <w:r>
        <w:t xml:space="preserve">overhead storage</w:t>
      </w:r>
    </w:p>
    <w:p>
      <w:pPr>
        <w:pStyle w:val="FirstParagraph"/>
      </w:pPr>
      <w:r>
        <w:t xml:space="preserve">Storage availability depends on centre configuration.</w:t>
      </w:r>
    </w:p>
    <w:p>
      <w:pPr>
        <w:pStyle w:val="BodyText"/>
      </w:pPr>
      <w:r>
        <w:t xml:space="preserve">Members should avoid storing:</w:t>
      </w:r>
    </w:p>
    <w:p>
      <w:pPr>
        <w:pStyle w:val="Compact"/>
        <w:numPr>
          <w:ilvl w:val="0"/>
          <w:numId w:val="1004"/>
        </w:numPr>
      </w:pPr>
      <w:r>
        <w:t xml:space="preserve">valuables</w:t>
      </w:r>
    </w:p>
    <w:p>
      <w:pPr>
        <w:pStyle w:val="Compact"/>
        <w:numPr>
          <w:ilvl w:val="0"/>
          <w:numId w:val="1004"/>
        </w:numPr>
      </w:pPr>
      <w:r>
        <w:t xml:space="preserve">confidential physical documents</w:t>
      </w:r>
    </w:p>
    <w:p>
      <w:pPr>
        <w:pStyle w:val="Compact"/>
        <w:numPr>
          <w:ilvl w:val="0"/>
          <w:numId w:val="1004"/>
        </w:numPr>
      </w:pPr>
      <w:r>
        <w:t xml:space="preserve">hazardous materials</w:t>
      </w:r>
    </w:p>
    <w:p>
      <w:pPr>
        <w:pStyle w:val="Compact"/>
        <w:numPr>
          <w:ilvl w:val="0"/>
          <w:numId w:val="1004"/>
        </w:numPr>
      </w:pPr>
      <w:r>
        <w:t xml:space="preserve">prohibited items</w:t>
      </w:r>
    </w:p>
    <w:p>
      <w:r>
        <w:pict>
          <v:rect style="width:0;height:1.5pt" o:hralign="center" o:hrstd="t" o:hr="t"/>
        </w:pict>
      </w:r>
    </w:p>
    <w:bookmarkEnd w:id="24"/>
    <w:bookmarkStart w:id="25" w:name="personalisation"/>
    <w:p>
      <w:pPr>
        <w:pStyle w:val="Heading2"/>
      </w:pPr>
      <w:r>
        <w:t xml:space="preserve">Personalisation</w:t>
      </w:r>
    </w:p>
    <w:p>
      <w:pPr>
        <w:pStyle w:val="FirstParagraph"/>
      </w:pPr>
      <w:r>
        <w:t xml:space="preserve">Limited personalisation may be allowed, such as:</w:t>
      </w:r>
    </w:p>
    <w:p>
      <w:pPr>
        <w:pStyle w:val="Compact"/>
        <w:numPr>
          <w:ilvl w:val="0"/>
          <w:numId w:val="1005"/>
        </w:numPr>
      </w:pPr>
      <w:r>
        <w:t xml:space="preserve">monitors</w:t>
      </w:r>
    </w:p>
    <w:p>
      <w:pPr>
        <w:pStyle w:val="Compact"/>
        <w:numPr>
          <w:ilvl w:val="0"/>
          <w:numId w:val="1005"/>
        </w:numPr>
      </w:pPr>
      <w:r>
        <w:t xml:space="preserve">desk accessories</w:t>
      </w:r>
    </w:p>
    <w:p>
      <w:pPr>
        <w:pStyle w:val="Compact"/>
        <w:numPr>
          <w:ilvl w:val="0"/>
          <w:numId w:val="1005"/>
        </w:numPr>
      </w:pPr>
      <w:r>
        <w:t xml:space="preserve">small decorations</w:t>
      </w:r>
    </w:p>
    <w:p>
      <w:pPr>
        <w:pStyle w:val="FirstParagraph"/>
      </w:pPr>
      <w:r>
        <w:t xml:space="preserve">The following may be restricted:</w:t>
      </w:r>
    </w:p>
    <w:p>
      <w:pPr>
        <w:pStyle w:val="Compact"/>
        <w:numPr>
          <w:ilvl w:val="0"/>
          <w:numId w:val="1006"/>
        </w:numPr>
      </w:pPr>
      <w:r>
        <w:t xml:space="preserve">permanent fixtures</w:t>
      </w:r>
    </w:p>
    <w:p>
      <w:pPr>
        <w:pStyle w:val="Compact"/>
        <w:numPr>
          <w:ilvl w:val="0"/>
          <w:numId w:val="1006"/>
        </w:numPr>
      </w:pPr>
      <w:r>
        <w:t xml:space="preserve">excessive modifications</w:t>
      </w:r>
    </w:p>
    <w:p>
      <w:pPr>
        <w:pStyle w:val="Compact"/>
        <w:numPr>
          <w:ilvl w:val="0"/>
          <w:numId w:val="1006"/>
        </w:numPr>
      </w:pPr>
      <w:r>
        <w:t xml:space="preserve">branding installations</w:t>
      </w:r>
    </w:p>
    <w:p>
      <w:pPr>
        <w:pStyle w:val="Compact"/>
        <w:numPr>
          <w:ilvl w:val="0"/>
          <w:numId w:val="1006"/>
        </w:numPr>
      </w:pPr>
      <w:r>
        <w:t xml:space="preserve">unsafe electrical equipment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workspace-access"/>
    <w:p>
      <w:pPr>
        <w:pStyle w:val="Heading1"/>
      </w:pPr>
      <w:r>
        <w:t xml:space="preserve">Workspace Access</w:t>
      </w:r>
    </w:p>
    <w:bookmarkStart w:id="27" w:name="access-hours"/>
    <w:p>
      <w:pPr>
        <w:pStyle w:val="Heading2"/>
      </w:pPr>
      <w:r>
        <w:t xml:space="preserve">Access Hours</w:t>
      </w:r>
    </w:p>
    <w:p>
      <w:pPr>
        <w:pStyle w:val="FirstParagraph"/>
      </w:pPr>
      <w:r>
        <w:t xml:space="preserve">Dedicated Workstation users may receive:</w:t>
      </w:r>
    </w:p>
    <w:p>
      <w:pPr>
        <w:pStyle w:val="Compact"/>
        <w:numPr>
          <w:ilvl w:val="0"/>
          <w:numId w:val="1007"/>
        </w:numPr>
      </w:pPr>
      <w:r>
        <w:t xml:space="preserve">business-hours access</w:t>
      </w:r>
    </w:p>
    <w:p>
      <w:pPr>
        <w:pStyle w:val="Compact"/>
        <w:numPr>
          <w:ilvl w:val="0"/>
          <w:numId w:val="1007"/>
        </w:numPr>
      </w:pPr>
      <w:r>
        <w:t xml:space="preserve">extended access</w:t>
      </w:r>
    </w:p>
    <w:p>
      <w:pPr>
        <w:pStyle w:val="Compact"/>
        <w:numPr>
          <w:ilvl w:val="0"/>
          <w:numId w:val="1007"/>
        </w:numPr>
      </w:pPr>
      <w:r>
        <w:t xml:space="preserve">24/7 access</w:t>
      </w:r>
    </w:p>
    <w:p>
      <w:pPr>
        <w:pStyle w:val="FirstParagraph"/>
      </w:pPr>
      <w:r>
        <w:t xml:space="preserve">Access depends on:</w:t>
      </w:r>
    </w:p>
    <w:p>
      <w:pPr>
        <w:pStyle w:val="Compact"/>
        <w:numPr>
          <w:ilvl w:val="0"/>
          <w:numId w:val="1008"/>
        </w:numPr>
      </w:pPr>
      <w:r>
        <w:t xml:space="preserve">package tier</w:t>
      </w:r>
    </w:p>
    <w:p>
      <w:pPr>
        <w:pStyle w:val="Compact"/>
        <w:numPr>
          <w:ilvl w:val="0"/>
          <w:numId w:val="1008"/>
        </w:numPr>
      </w:pPr>
      <w:r>
        <w:t xml:space="preserve">building policy</w:t>
      </w:r>
    </w:p>
    <w:p>
      <w:pPr>
        <w:pStyle w:val="Compact"/>
        <w:numPr>
          <w:ilvl w:val="0"/>
          <w:numId w:val="1008"/>
        </w:numPr>
      </w:pPr>
      <w:r>
        <w:t xml:space="preserve">security approval</w:t>
      </w:r>
    </w:p>
    <w:p>
      <w:r>
        <w:pict>
          <v:rect style="width:0;height:1.5pt" o:hralign="center" o:hrstd="t" o:hr="t"/>
        </w:pict>
      </w:r>
    </w:p>
    <w:bookmarkEnd w:id="27"/>
    <w:bookmarkStart w:id="28" w:name="access-control"/>
    <w:p>
      <w:pPr>
        <w:pStyle w:val="Heading2"/>
      </w:pPr>
      <w:r>
        <w:t xml:space="preserve">Access Control</w:t>
      </w:r>
    </w:p>
    <w:p>
      <w:pPr>
        <w:pStyle w:val="FirstParagraph"/>
      </w:pPr>
      <w:r>
        <w:t xml:space="preserve">Access may be managed through:</w:t>
      </w:r>
    </w:p>
    <w:p>
      <w:pPr>
        <w:pStyle w:val="Compact"/>
        <w:numPr>
          <w:ilvl w:val="0"/>
          <w:numId w:val="1009"/>
        </w:numPr>
      </w:pPr>
      <w:r>
        <w:t xml:space="preserve">access cards</w:t>
      </w:r>
    </w:p>
    <w:p>
      <w:pPr>
        <w:pStyle w:val="Compact"/>
        <w:numPr>
          <w:ilvl w:val="0"/>
          <w:numId w:val="1009"/>
        </w:numPr>
      </w:pPr>
      <w:r>
        <w:t xml:space="preserve">mobile credentials</w:t>
      </w:r>
    </w:p>
    <w:p>
      <w:pPr>
        <w:pStyle w:val="Compact"/>
        <w:numPr>
          <w:ilvl w:val="0"/>
          <w:numId w:val="1009"/>
        </w:numPr>
      </w:pPr>
      <w:r>
        <w:t xml:space="preserve">security registration systems</w:t>
      </w:r>
    </w:p>
    <w:p>
      <w:pPr>
        <w:pStyle w:val="FirstParagraph"/>
      </w:pPr>
      <w:r>
        <w:t xml:space="preserve">Lost credentials may incur replacement fees.</w:t>
      </w:r>
    </w:p>
    <w:p>
      <w:r>
        <w:pict>
          <v:rect style="width:0;height:1.5pt" o:hralign="center" o:hrstd="t" o:hr="t"/>
        </w:pict>
      </w:r>
    </w:p>
    <w:bookmarkEnd w:id="28"/>
    <w:bookmarkStart w:id="29" w:name="seat-retention"/>
    <w:p>
      <w:pPr>
        <w:pStyle w:val="Heading2"/>
      </w:pPr>
      <w:r>
        <w:t xml:space="preserve">Seat Retention</w:t>
      </w:r>
    </w:p>
    <w:p>
      <w:pPr>
        <w:pStyle w:val="FirstParagraph"/>
      </w:pPr>
      <w:r>
        <w:t xml:space="preserve">Dedicated desks remain reserved for the assigned member during the active subscription period.</w:t>
      </w:r>
    </w:p>
    <w:p>
      <w:pPr>
        <w:pStyle w:val="BodyText"/>
      </w:pPr>
      <w:r>
        <w:t xml:space="preserve">Members are expected to maintain reasonable desk cleanliness and professional usage standards.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hared-facilities"/>
    <w:p>
      <w:pPr>
        <w:pStyle w:val="Heading1"/>
      </w:pPr>
      <w:r>
        <w:t xml:space="preserve">Shared Facilities</w:t>
      </w:r>
    </w:p>
    <w:bookmarkStart w:id="31" w:name="included-shared-amenities"/>
    <w:p>
      <w:pPr>
        <w:pStyle w:val="Heading2"/>
      </w:pPr>
      <w:r>
        <w:t xml:space="preserve">Included Shared Amenities</w:t>
      </w:r>
    </w:p>
    <w:p>
      <w:pPr>
        <w:pStyle w:val="FirstParagraph"/>
      </w:pPr>
      <w:r>
        <w:t xml:space="preserve">Dedicated Workstation memberships may include:</w:t>
      </w:r>
    </w:p>
    <w:p>
      <w:pPr>
        <w:pStyle w:val="Compact"/>
        <w:numPr>
          <w:ilvl w:val="0"/>
          <w:numId w:val="1010"/>
        </w:numPr>
      </w:pPr>
      <w:r>
        <w:t xml:space="preserve">business Wi-Fi</w:t>
      </w:r>
    </w:p>
    <w:p>
      <w:pPr>
        <w:pStyle w:val="Compact"/>
        <w:numPr>
          <w:ilvl w:val="0"/>
          <w:numId w:val="1010"/>
        </w:numPr>
      </w:pPr>
      <w:r>
        <w:t xml:space="preserve">pantry access</w:t>
      </w:r>
    </w:p>
    <w:p>
      <w:pPr>
        <w:pStyle w:val="Compact"/>
        <w:numPr>
          <w:ilvl w:val="0"/>
          <w:numId w:val="1010"/>
        </w:numPr>
      </w:pPr>
      <w:r>
        <w:t xml:space="preserve">lounges</w:t>
      </w:r>
    </w:p>
    <w:p>
      <w:pPr>
        <w:pStyle w:val="Compact"/>
        <w:numPr>
          <w:ilvl w:val="0"/>
          <w:numId w:val="1010"/>
        </w:numPr>
      </w:pPr>
      <w:r>
        <w:t xml:space="preserve">phone booths</w:t>
      </w:r>
    </w:p>
    <w:p>
      <w:pPr>
        <w:pStyle w:val="Compact"/>
        <w:numPr>
          <w:ilvl w:val="0"/>
          <w:numId w:val="1010"/>
        </w:numPr>
      </w:pPr>
      <w:r>
        <w:t xml:space="preserve">reception support</w:t>
      </w:r>
    </w:p>
    <w:p>
      <w:pPr>
        <w:pStyle w:val="Compact"/>
        <w:numPr>
          <w:ilvl w:val="0"/>
          <w:numId w:val="1010"/>
        </w:numPr>
      </w:pPr>
      <w:r>
        <w:t xml:space="preserve">printing access</w:t>
      </w:r>
    </w:p>
    <w:p>
      <w:pPr>
        <w:pStyle w:val="Compact"/>
        <w:numPr>
          <w:ilvl w:val="0"/>
          <w:numId w:val="1010"/>
        </w:numPr>
      </w:pPr>
      <w:r>
        <w:t xml:space="preserve">common area usage</w:t>
      </w:r>
    </w:p>
    <w:p>
      <w:pPr>
        <w:pStyle w:val="FirstParagraph"/>
      </w:pPr>
      <w:r>
        <w:t xml:space="preserve">Amenities vary by location.</w:t>
      </w:r>
    </w:p>
    <w:p>
      <w:r>
        <w:pict>
          <v:rect style="width:0;height:1.5pt" o:hralign="center" o:hrstd="t" o:hr="t"/>
        </w:pict>
      </w:r>
    </w:p>
    <w:bookmarkEnd w:id="31"/>
    <w:bookmarkStart w:id="32" w:name="meeting-room-access"/>
    <w:p>
      <w:pPr>
        <w:pStyle w:val="Heading2"/>
      </w:pPr>
      <w:r>
        <w:t xml:space="preserve">Meeting Room Access</w:t>
      </w:r>
    </w:p>
    <w:p>
      <w:pPr>
        <w:pStyle w:val="FirstParagraph"/>
      </w:pPr>
      <w:r>
        <w:t xml:space="preserve">Some packages may include:</w:t>
      </w:r>
    </w:p>
    <w:p>
      <w:pPr>
        <w:pStyle w:val="Compact"/>
        <w:numPr>
          <w:ilvl w:val="0"/>
          <w:numId w:val="1011"/>
        </w:numPr>
      </w:pPr>
      <w:r>
        <w:t xml:space="preserve">meeting room credits</w:t>
      </w:r>
    </w:p>
    <w:p>
      <w:pPr>
        <w:pStyle w:val="Compact"/>
        <w:numPr>
          <w:ilvl w:val="0"/>
          <w:numId w:val="1011"/>
        </w:numPr>
      </w:pPr>
      <w:r>
        <w:t xml:space="preserve">member pricing</w:t>
      </w:r>
    </w:p>
    <w:p>
      <w:pPr>
        <w:pStyle w:val="Compact"/>
        <w:numPr>
          <w:ilvl w:val="0"/>
          <w:numId w:val="1011"/>
        </w:numPr>
      </w:pPr>
      <w:r>
        <w:t xml:space="preserve">discounted bookings</w:t>
      </w:r>
    </w:p>
    <w:p>
      <w:pPr>
        <w:pStyle w:val="FirstParagraph"/>
      </w:pPr>
      <w:r>
        <w:t xml:space="preserve">Meeting room usage remains subject to:</w:t>
      </w:r>
    </w:p>
    <w:p>
      <w:pPr>
        <w:pStyle w:val="Compact"/>
        <w:numPr>
          <w:ilvl w:val="0"/>
          <w:numId w:val="1012"/>
        </w:numPr>
      </w:pPr>
      <w:r>
        <w:t xml:space="preserve">availability</w:t>
      </w:r>
    </w:p>
    <w:p>
      <w:pPr>
        <w:pStyle w:val="Compact"/>
        <w:numPr>
          <w:ilvl w:val="0"/>
          <w:numId w:val="1012"/>
        </w:numPr>
      </w:pPr>
      <w:r>
        <w:t xml:space="preserve">booking rules</w:t>
      </w:r>
    </w:p>
    <w:p>
      <w:pPr>
        <w:pStyle w:val="Compact"/>
        <w:numPr>
          <w:ilvl w:val="0"/>
          <w:numId w:val="1012"/>
        </w:numPr>
      </w:pPr>
      <w:r>
        <w:t xml:space="preserve">operating hours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internet-technology"/>
    <w:p>
      <w:pPr>
        <w:pStyle w:val="Heading1"/>
      </w:pPr>
      <w:r>
        <w:t xml:space="preserve">Internet &amp; Technology</w:t>
      </w:r>
    </w:p>
    <w:bookmarkStart w:id="34" w:name="standard-internet"/>
    <w:p>
      <w:pPr>
        <w:pStyle w:val="Heading2"/>
      </w:pPr>
      <w:r>
        <w:t xml:space="preserve">Standard Internet</w:t>
      </w:r>
    </w:p>
    <w:p>
      <w:pPr>
        <w:pStyle w:val="FirstParagraph"/>
      </w:pPr>
      <w:r>
        <w:t xml:space="preserve">Business-grade Wi-Fi is generally included.</w:t>
      </w:r>
    </w:p>
    <w:p>
      <w:pPr>
        <w:pStyle w:val="BodyText"/>
      </w:pPr>
      <w:r>
        <w:t xml:space="preserve">Internet services are intended for professional business usage.</w:t>
      </w:r>
    </w:p>
    <w:p>
      <w:r>
        <w:pict>
          <v:rect style="width:0;height:1.5pt" o:hralign="center" o:hrstd="t" o:hr="t"/>
        </w:pict>
      </w:r>
    </w:p>
    <w:bookmarkEnd w:id="34"/>
    <w:bookmarkStart w:id="35" w:name="additional-it-services"/>
    <w:p>
      <w:pPr>
        <w:pStyle w:val="Heading2"/>
      </w:pPr>
      <w:r>
        <w:t xml:space="preserve">Additional IT Services</w:t>
      </w:r>
    </w:p>
    <w:p>
      <w:pPr>
        <w:pStyle w:val="FirstParagraph"/>
      </w:pPr>
      <w:r>
        <w:t xml:space="preserve">Optional IT services may include:</w:t>
      </w:r>
    </w:p>
    <w:p>
      <w:pPr>
        <w:pStyle w:val="Compact"/>
        <w:numPr>
          <w:ilvl w:val="0"/>
          <w:numId w:val="1013"/>
        </w:numPr>
      </w:pPr>
      <w:r>
        <w:t xml:space="preserve">dedicated internet</w:t>
      </w:r>
    </w:p>
    <w:p>
      <w:pPr>
        <w:pStyle w:val="Compact"/>
        <w:numPr>
          <w:ilvl w:val="0"/>
          <w:numId w:val="1013"/>
        </w:numPr>
      </w:pPr>
      <w:r>
        <w:t xml:space="preserve">static IP</w:t>
      </w:r>
    </w:p>
    <w:p>
      <w:pPr>
        <w:pStyle w:val="Compact"/>
        <w:numPr>
          <w:ilvl w:val="0"/>
          <w:numId w:val="1013"/>
        </w:numPr>
      </w:pPr>
      <w:r>
        <w:t xml:space="preserve">enhanced security</w:t>
      </w:r>
    </w:p>
    <w:p>
      <w:pPr>
        <w:pStyle w:val="Compact"/>
        <w:numPr>
          <w:ilvl w:val="0"/>
          <w:numId w:val="1013"/>
        </w:numPr>
      </w:pPr>
      <w:r>
        <w:t xml:space="preserve">wired internet access</w:t>
      </w:r>
    </w:p>
    <w:p>
      <w:pPr>
        <w:pStyle w:val="FirstParagraph"/>
      </w:pPr>
      <w:r>
        <w:t xml:space="preserve">Availability varies by centre.</w:t>
      </w:r>
    </w:p>
    <w:p>
      <w:r>
        <w:pict>
          <v:rect style="width:0;height:1.5pt" o:hralign="center" o:hrstd="t" o:hr="t"/>
        </w:pict>
      </w:r>
    </w:p>
    <w:bookmarkEnd w:id="35"/>
    <w:bookmarkStart w:id="36" w:name="equipment-restrictions"/>
    <w:p>
      <w:pPr>
        <w:pStyle w:val="Heading2"/>
      </w:pPr>
      <w:r>
        <w:t xml:space="preserve">Equipment Restrictions</w:t>
      </w:r>
    </w:p>
    <w:p>
      <w:pPr>
        <w:pStyle w:val="FirstParagraph"/>
      </w:pPr>
      <w:r>
        <w:t xml:space="preserve">The following may require approval:</w:t>
      </w:r>
    </w:p>
    <w:p>
      <w:pPr>
        <w:pStyle w:val="Compact"/>
        <w:numPr>
          <w:ilvl w:val="0"/>
          <w:numId w:val="1014"/>
        </w:numPr>
      </w:pPr>
      <w:r>
        <w:t xml:space="preserve">servers</w:t>
      </w:r>
    </w:p>
    <w:p>
      <w:pPr>
        <w:pStyle w:val="Compact"/>
        <w:numPr>
          <w:ilvl w:val="0"/>
          <w:numId w:val="1014"/>
        </w:numPr>
      </w:pPr>
      <w:r>
        <w:t xml:space="preserve">high-power devices</w:t>
      </w:r>
    </w:p>
    <w:p>
      <w:pPr>
        <w:pStyle w:val="Compact"/>
        <w:numPr>
          <w:ilvl w:val="0"/>
          <w:numId w:val="1014"/>
        </w:numPr>
      </w:pPr>
      <w:r>
        <w:t xml:space="preserve">unauthorised networking equipment</w:t>
      </w:r>
    </w:p>
    <w:p>
      <w:pPr>
        <w:pStyle w:val="Compact"/>
        <w:numPr>
          <w:ilvl w:val="0"/>
          <w:numId w:val="1014"/>
        </w:numPr>
      </w:pPr>
      <w:r>
        <w:t xml:space="preserve">excessive cabling</w:t>
      </w:r>
    </w:p>
    <w:p>
      <w:pPr>
        <w:pStyle w:val="FirstParagraph"/>
      </w:pPr>
      <w:r>
        <w:t xml:space="preserve">The workspace is not intended to function as a server room or technical infrastructure environment.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guest-visitor-policy"/>
    <w:p>
      <w:pPr>
        <w:pStyle w:val="Heading1"/>
      </w:pPr>
      <w:r>
        <w:t xml:space="preserve">Guest &amp; Visitor Policy</w:t>
      </w:r>
    </w:p>
    <w:bookmarkStart w:id="38" w:name="visitors"/>
    <w:p>
      <w:pPr>
        <w:pStyle w:val="Heading2"/>
      </w:pPr>
      <w:r>
        <w:t xml:space="preserve">Visitors</w:t>
      </w:r>
    </w:p>
    <w:p>
      <w:pPr>
        <w:pStyle w:val="FirstParagraph"/>
      </w:pPr>
      <w:r>
        <w:t xml:space="preserve">Guests may generally visit during business hours subject to:</w:t>
      </w:r>
    </w:p>
    <w:p>
      <w:pPr>
        <w:pStyle w:val="Compact"/>
        <w:numPr>
          <w:ilvl w:val="0"/>
          <w:numId w:val="1015"/>
        </w:numPr>
      </w:pPr>
      <w:r>
        <w:t xml:space="preserve">reception registration</w:t>
      </w:r>
    </w:p>
    <w:p>
      <w:pPr>
        <w:pStyle w:val="Compact"/>
        <w:numPr>
          <w:ilvl w:val="0"/>
          <w:numId w:val="1015"/>
        </w:numPr>
      </w:pPr>
      <w:r>
        <w:t xml:space="preserve">security procedures</w:t>
      </w:r>
    </w:p>
    <w:p>
      <w:pPr>
        <w:pStyle w:val="Compact"/>
        <w:numPr>
          <w:ilvl w:val="0"/>
          <w:numId w:val="1015"/>
        </w:numPr>
      </w:pPr>
      <w:r>
        <w:t xml:space="preserve">operational limits</w:t>
      </w:r>
    </w:p>
    <w:p>
      <w:pPr>
        <w:pStyle w:val="FirstParagraph"/>
      </w:pPr>
      <w:r>
        <w:t xml:space="preserve">Frequent client meetings may require meeting room booking.</w:t>
      </w:r>
    </w:p>
    <w:p>
      <w:r>
        <w:pict>
          <v:rect style="width:0;height:1.5pt" o:hralign="center" o:hrstd="t" o:hr="t"/>
        </w:pict>
      </w:r>
    </w:p>
    <w:bookmarkEnd w:id="38"/>
    <w:bookmarkStart w:id="39" w:name="guest-usage-restrictions"/>
    <w:p>
      <w:pPr>
        <w:pStyle w:val="Heading2"/>
      </w:pPr>
      <w:r>
        <w:t xml:space="preserve">Guest Usage Restrictions</w:t>
      </w:r>
    </w:p>
    <w:p>
      <w:pPr>
        <w:pStyle w:val="FirstParagraph"/>
      </w:pPr>
      <w:r>
        <w:t xml:space="preserve">Guests should not:</w:t>
      </w:r>
    </w:p>
    <w:p>
      <w:pPr>
        <w:pStyle w:val="Compact"/>
        <w:numPr>
          <w:ilvl w:val="0"/>
          <w:numId w:val="1016"/>
        </w:numPr>
      </w:pPr>
      <w:r>
        <w:t xml:space="preserve">occupy workstations for extended periods</w:t>
      </w:r>
    </w:p>
    <w:p>
      <w:pPr>
        <w:pStyle w:val="Compact"/>
        <w:numPr>
          <w:ilvl w:val="0"/>
          <w:numId w:val="1016"/>
        </w:numPr>
      </w:pPr>
      <w:r>
        <w:t xml:space="preserve">disrupt shared environments</w:t>
      </w:r>
    </w:p>
    <w:p>
      <w:pPr>
        <w:pStyle w:val="Compact"/>
        <w:numPr>
          <w:ilvl w:val="0"/>
          <w:numId w:val="1016"/>
        </w:numPr>
      </w:pPr>
      <w:r>
        <w:t xml:space="preserve">use member access credentials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ommercial-terms"/>
    <w:p>
      <w:pPr>
        <w:pStyle w:val="Heading1"/>
      </w:pPr>
      <w:r>
        <w:t xml:space="preserve">Commercial Terms</w:t>
      </w:r>
    </w:p>
    <w:bookmarkStart w:id="41" w:name="billing-cycle"/>
    <w:p>
      <w:pPr>
        <w:pStyle w:val="Heading2"/>
      </w:pPr>
      <w:r>
        <w:t xml:space="preserve">Billing Cycle</w:t>
      </w:r>
    </w:p>
    <w:p>
      <w:pPr>
        <w:pStyle w:val="FirstParagraph"/>
      </w:pPr>
      <w:r>
        <w:t xml:space="preserve">Dedicated Workstation memberships are commonly billed monthly.</w:t>
      </w:r>
    </w:p>
    <w:p>
      <w:pPr>
        <w:pStyle w:val="BodyText"/>
      </w:pPr>
      <w:r>
        <w:t xml:space="preserve">Longer commitments may qualify for preferential pricing.</w:t>
      </w:r>
    </w:p>
    <w:p>
      <w:r>
        <w:pict>
          <v:rect style="width:0;height:1.5pt" o:hralign="center" o:hrstd="t" o:hr="t"/>
        </w:pict>
      </w:r>
    </w:p>
    <w:bookmarkEnd w:id="41"/>
    <w:bookmarkStart w:id="42" w:name="deposit-policy"/>
    <w:p>
      <w:pPr>
        <w:pStyle w:val="Heading2"/>
      </w:pPr>
      <w:r>
        <w:t xml:space="preserve">Deposit Policy</w:t>
      </w:r>
    </w:p>
    <w:p>
      <w:pPr>
        <w:pStyle w:val="FirstParagraph"/>
      </w:pPr>
      <w:r>
        <w:t xml:space="preserve">Deposits may be required depending on:</w:t>
      </w:r>
    </w:p>
    <w:p>
      <w:pPr>
        <w:pStyle w:val="Compact"/>
        <w:numPr>
          <w:ilvl w:val="0"/>
          <w:numId w:val="1017"/>
        </w:numPr>
      </w:pPr>
      <w:r>
        <w:t xml:space="preserve">access privileges</w:t>
      </w:r>
    </w:p>
    <w:p>
      <w:pPr>
        <w:pStyle w:val="Compact"/>
        <w:numPr>
          <w:ilvl w:val="0"/>
          <w:numId w:val="1017"/>
        </w:numPr>
      </w:pPr>
      <w:r>
        <w:t xml:space="preserve">package type</w:t>
      </w:r>
    </w:p>
    <w:p>
      <w:pPr>
        <w:pStyle w:val="Compact"/>
        <w:numPr>
          <w:ilvl w:val="0"/>
          <w:numId w:val="1017"/>
        </w:numPr>
      </w:pPr>
      <w:r>
        <w:t xml:space="preserve">payment method</w:t>
      </w:r>
    </w:p>
    <w:p>
      <w:pPr>
        <w:pStyle w:val="Compact"/>
        <w:numPr>
          <w:ilvl w:val="0"/>
          <w:numId w:val="1017"/>
        </w:numPr>
      </w:pPr>
      <w:r>
        <w:t xml:space="preserve">jurisdiction</w:t>
      </w:r>
    </w:p>
    <w:p>
      <w:r>
        <w:pict>
          <v:rect style="width:0;height:1.5pt" o:hralign="center" o:hrstd="t" o:hr="t"/>
        </w:pict>
      </w:r>
    </w:p>
    <w:bookmarkEnd w:id="42"/>
    <w:bookmarkStart w:id="43" w:name="minimum-commitment"/>
    <w:p>
      <w:pPr>
        <w:pStyle w:val="Heading2"/>
      </w:pPr>
      <w:r>
        <w:t xml:space="preserve">Minimum Commitment</w:t>
      </w:r>
    </w:p>
    <w:p>
      <w:pPr>
        <w:pStyle w:val="FirstParagraph"/>
      </w:pPr>
      <w:r>
        <w:t xml:space="preserve">Minimum commitment periods may apply depending on:</w:t>
      </w:r>
    </w:p>
    <w:p>
      <w:pPr>
        <w:pStyle w:val="Compact"/>
        <w:numPr>
          <w:ilvl w:val="0"/>
          <w:numId w:val="1018"/>
        </w:numPr>
      </w:pPr>
      <w:r>
        <w:t xml:space="preserve">promotional packages</w:t>
      </w:r>
    </w:p>
    <w:p>
      <w:pPr>
        <w:pStyle w:val="Compact"/>
        <w:numPr>
          <w:ilvl w:val="0"/>
          <w:numId w:val="1018"/>
        </w:numPr>
      </w:pPr>
      <w:r>
        <w:t xml:space="preserve">reserved desk configuration</w:t>
      </w:r>
    </w:p>
    <w:p>
      <w:pPr>
        <w:pStyle w:val="Compact"/>
        <w:numPr>
          <w:ilvl w:val="0"/>
          <w:numId w:val="1018"/>
        </w:numPr>
      </w:pPr>
      <w:r>
        <w:t xml:space="preserve">included services</w:t>
      </w:r>
    </w:p>
    <w:p>
      <w:r>
        <w:pict>
          <v:rect style="width:0;height:1.5pt" o:hralign="center" o:hrstd="t" o:hr="t"/>
        </w:pict>
      </w:r>
    </w:p>
    <w:bookmarkEnd w:id="43"/>
    <w:bookmarkStart w:id="44" w:name="upgrade-expansion"/>
    <w:p>
      <w:pPr>
        <w:pStyle w:val="Heading2"/>
      </w:pPr>
      <w:r>
        <w:t xml:space="preserve">Upgrade &amp; Expansion</w:t>
      </w:r>
    </w:p>
    <w:p>
      <w:pPr>
        <w:pStyle w:val="FirstParagraph"/>
      </w:pPr>
      <w:r>
        <w:t xml:space="preserve">Members may usually upgrade to:</w:t>
      </w:r>
    </w:p>
    <w:p>
      <w:pPr>
        <w:pStyle w:val="Compact"/>
        <w:numPr>
          <w:ilvl w:val="0"/>
          <w:numId w:val="1019"/>
        </w:numPr>
      </w:pPr>
      <w:r>
        <w:t xml:space="preserve">private office</w:t>
      </w:r>
    </w:p>
    <w:p>
      <w:pPr>
        <w:pStyle w:val="Compact"/>
        <w:numPr>
          <w:ilvl w:val="0"/>
          <w:numId w:val="1019"/>
        </w:numPr>
      </w:pPr>
      <w:r>
        <w:t xml:space="preserve">larger workspace</w:t>
      </w:r>
    </w:p>
    <w:p>
      <w:pPr>
        <w:pStyle w:val="Compact"/>
        <w:numPr>
          <w:ilvl w:val="0"/>
          <w:numId w:val="1019"/>
        </w:numPr>
      </w:pPr>
      <w:r>
        <w:t xml:space="preserve">enterprise solutions</w:t>
      </w:r>
    </w:p>
    <w:p>
      <w:pPr>
        <w:pStyle w:val="FirstParagraph"/>
      </w:pPr>
      <w:r>
        <w:t xml:space="preserve">Subject to availability.</w:t>
      </w:r>
    </w:p>
    <w:p>
      <w:r>
        <w:pict>
          <v:rect style="width:0;height:1.5pt" o:hralign="center" o:hrstd="t" o:hr="t"/>
        </w:pict>
      </w:r>
    </w:p>
    <w:bookmarkEnd w:id="44"/>
    <w:bookmarkStart w:id="45" w:name="cancellation-policy"/>
    <w:p>
      <w:pPr>
        <w:pStyle w:val="Heading2"/>
      </w:pPr>
      <w:r>
        <w:t xml:space="preserve">Cancellation Policy</w:t>
      </w:r>
    </w:p>
    <w:p>
      <w:pPr>
        <w:pStyle w:val="FirstParagraph"/>
      </w:pPr>
      <w:r>
        <w:t xml:space="preserve">Advance written notice is generally required prior to cancellation.</w:t>
      </w:r>
    </w:p>
    <w:p>
      <w:pPr>
        <w:pStyle w:val="BodyText"/>
      </w:pPr>
      <w:r>
        <w:t xml:space="preserve">Early termination charges may apply depending on agreement terms.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nduct-workspace-rules"/>
    <w:p>
      <w:pPr>
        <w:pStyle w:val="Heading1"/>
      </w:pPr>
      <w:r>
        <w:t xml:space="preserve">Conduct &amp; Workspace Rules</w:t>
      </w:r>
    </w:p>
    <w:bookmarkStart w:id="47" w:name="professional-conduct"/>
    <w:p>
      <w:pPr>
        <w:pStyle w:val="Heading2"/>
      </w:pPr>
      <w:r>
        <w:t xml:space="preserve">Professional Conduct</w:t>
      </w:r>
    </w:p>
    <w:p>
      <w:pPr>
        <w:pStyle w:val="FirstParagraph"/>
      </w:pPr>
      <w:r>
        <w:t xml:space="preserve">Members are expected to:</w:t>
      </w:r>
    </w:p>
    <w:p>
      <w:pPr>
        <w:pStyle w:val="Compact"/>
        <w:numPr>
          <w:ilvl w:val="0"/>
          <w:numId w:val="1020"/>
        </w:numPr>
      </w:pPr>
      <w:r>
        <w:t xml:space="preserve">maintain professional behaviour</w:t>
      </w:r>
    </w:p>
    <w:p>
      <w:pPr>
        <w:pStyle w:val="Compact"/>
        <w:numPr>
          <w:ilvl w:val="0"/>
          <w:numId w:val="1020"/>
        </w:numPr>
      </w:pPr>
      <w:r>
        <w:t xml:space="preserve">respect shared spaces</w:t>
      </w:r>
    </w:p>
    <w:p>
      <w:pPr>
        <w:pStyle w:val="Compact"/>
        <w:numPr>
          <w:ilvl w:val="0"/>
          <w:numId w:val="1020"/>
        </w:numPr>
      </w:pPr>
      <w:r>
        <w:t xml:space="preserve">comply with operational policies</w:t>
      </w:r>
    </w:p>
    <w:p>
      <w:pPr>
        <w:pStyle w:val="Compact"/>
        <w:numPr>
          <w:ilvl w:val="0"/>
          <w:numId w:val="1020"/>
        </w:numPr>
      </w:pPr>
      <w:r>
        <w:t xml:space="preserve">maintain desk cleanliness</w:t>
      </w:r>
    </w:p>
    <w:p>
      <w:r>
        <w:pict>
          <v:rect style="width:0;height:1.5pt" o:hralign="center" o:hrstd="t" o:hr="t"/>
        </w:pict>
      </w:r>
    </w:p>
    <w:bookmarkEnd w:id="47"/>
    <w:bookmarkStart w:id="48" w:name="noise-policy"/>
    <w:p>
      <w:pPr>
        <w:pStyle w:val="Heading2"/>
      </w:pPr>
      <w:r>
        <w:t xml:space="preserve">Noise Policy</w:t>
      </w:r>
    </w:p>
    <w:p>
      <w:pPr>
        <w:pStyle w:val="FirstParagraph"/>
      </w:pPr>
      <w:r>
        <w:t xml:space="preserve">Reasonable business calls are generally permitted.</w:t>
      </w:r>
    </w:p>
    <w:p>
      <w:pPr>
        <w:pStyle w:val="BodyText"/>
      </w:pPr>
      <w:r>
        <w:t xml:space="preserve">Extended calls or meetings should ideally use:</w:t>
      </w:r>
    </w:p>
    <w:p>
      <w:pPr>
        <w:pStyle w:val="Compact"/>
        <w:numPr>
          <w:ilvl w:val="0"/>
          <w:numId w:val="1021"/>
        </w:numPr>
      </w:pPr>
      <w:r>
        <w:t xml:space="preserve">phone booths</w:t>
      </w:r>
    </w:p>
    <w:p>
      <w:pPr>
        <w:pStyle w:val="Compact"/>
        <w:numPr>
          <w:ilvl w:val="0"/>
          <w:numId w:val="1021"/>
        </w:numPr>
      </w:pPr>
      <w:r>
        <w:t xml:space="preserve">meeting rooms</w:t>
      </w:r>
    </w:p>
    <w:p>
      <w:pPr>
        <w:pStyle w:val="Compact"/>
        <w:numPr>
          <w:ilvl w:val="0"/>
          <w:numId w:val="1021"/>
        </w:numPr>
      </w:pPr>
      <w:r>
        <w:t xml:space="preserve">private spaces</w:t>
      </w:r>
    </w:p>
    <w:p>
      <w:r>
        <w:pict>
          <v:rect style="width:0;height:1.5pt" o:hralign="center" o:hrstd="t" o:hr="t"/>
        </w:pict>
      </w:r>
    </w:p>
    <w:bookmarkEnd w:id="48"/>
    <w:bookmarkStart w:id="49" w:name="restricted-activities"/>
    <w:p>
      <w:pPr>
        <w:pStyle w:val="Heading2"/>
      </w:pPr>
      <w:r>
        <w:t xml:space="preserve">Restricted Activities</w:t>
      </w:r>
    </w:p>
    <w:p>
      <w:pPr>
        <w:pStyle w:val="FirstParagraph"/>
      </w:pPr>
      <w:r>
        <w:t xml:space="preserve">Restricted activities may include:</w:t>
      </w:r>
    </w:p>
    <w:p>
      <w:pPr>
        <w:pStyle w:val="Compact"/>
        <w:numPr>
          <w:ilvl w:val="0"/>
          <w:numId w:val="1022"/>
        </w:numPr>
      </w:pPr>
      <w:r>
        <w:t xml:space="preserve">illegal operations</w:t>
      </w:r>
    </w:p>
    <w:p>
      <w:pPr>
        <w:pStyle w:val="Compact"/>
        <w:numPr>
          <w:ilvl w:val="0"/>
          <w:numId w:val="1022"/>
        </w:numPr>
      </w:pPr>
      <w:r>
        <w:t xml:space="preserve">excessive noise</w:t>
      </w:r>
    </w:p>
    <w:p>
      <w:pPr>
        <w:pStyle w:val="Compact"/>
        <w:numPr>
          <w:ilvl w:val="0"/>
          <w:numId w:val="1022"/>
        </w:numPr>
      </w:pPr>
      <w:r>
        <w:t xml:space="preserve">unauthorised storage</w:t>
      </w:r>
    </w:p>
    <w:p>
      <w:pPr>
        <w:pStyle w:val="Compact"/>
        <w:numPr>
          <w:ilvl w:val="0"/>
          <w:numId w:val="1022"/>
        </w:numPr>
      </w:pPr>
      <w:r>
        <w:t xml:space="preserve">disruptive behaviour</w:t>
      </w:r>
    </w:p>
    <w:p>
      <w:pPr>
        <w:pStyle w:val="Compact"/>
        <w:numPr>
          <w:ilvl w:val="0"/>
          <w:numId w:val="1022"/>
        </w:numPr>
      </w:pPr>
      <w:r>
        <w:t xml:space="preserve">inventory warehousing</w:t>
      </w:r>
    </w:p>
    <w:p>
      <w:pPr>
        <w:pStyle w:val="Compact"/>
        <w:numPr>
          <w:ilvl w:val="0"/>
          <w:numId w:val="1022"/>
        </w:numPr>
      </w:pPr>
      <w:r>
        <w:t xml:space="preserve">unauthorised subletting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ecurity-privacy"/>
    <w:p>
      <w:pPr>
        <w:pStyle w:val="Heading1"/>
      </w:pPr>
      <w:r>
        <w:t xml:space="preserve">Security &amp; Privacy</w:t>
      </w:r>
    </w:p>
    <w:bookmarkStart w:id="51" w:name="shared-environment-notice"/>
    <w:p>
      <w:pPr>
        <w:pStyle w:val="Heading2"/>
      </w:pPr>
      <w:r>
        <w:t xml:space="preserve">Shared Environment Notice</w:t>
      </w:r>
    </w:p>
    <w:p>
      <w:pPr>
        <w:pStyle w:val="FirstParagraph"/>
      </w:pPr>
      <w:r>
        <w:t xml:space="preserve">Dedicated Workstations remain part of a shared coworking environment.</w:t>
      </w:r>
    </w:p>
    <w:p>
      <w:pPr>
        <w:pStyle w:val="BodyText"/>
      </w:pPr>
      <w:r>
        <w:t xml:space="preserve">Users handling highly confidential discussions or regulated information may prefer private offices.</w:t>
      </w:r>
    </w:p>
    <w:p>
      <w:r>
        <w:pict>
          <v:rect style="width:0;height:1.5pt" o:hralign="center" o:hrstd="t" o:hr="t"/>
        </w:pict>
      </w:r>
    </w:p>
    <w:bookmarkEnd w:id="51"/>
    <w:bookmarkStart w:id="52" w:name="cctv-building-security"/>
    <w:p>
      <w:pPr>
        <w:pStyle w:val="Heading2"/>
      </w:pPr>
      <w:r>
        <w:t xml:space="preserve">CCTV &amp; Building Security</w:t>
      </w:r>
    </w:p>
    <w:p>
      <w:pPr>
        <w:pStyle w:val="FirstParagraph"/>
      </w:pPr>
      <w:r>
        <w:t xml:space="preserve">Buildings may utilise:</w:t>
      </w:r>
    </w:p>
    <w:p>
      <w:pPr>
        <w:pStyle w:val="Compact"/>
        <w:numPr>
          <w:ilvl w:val="0"/>
          <w:numId w:val="1023"/>
        </w:numPr>
      </w:pPr>
      <w:r>
        <w:t xml:space="preserve">CCTV</w:t>
      </w:r>
    </w:p>
    <w:p>
      <w:pPr>
        <w:pStyle w:val="Compact"/>
        <w:numPr>
          <w:ilvl w:val="0"/>
          <w:numId w:val="1023"/>
        </w:numPr>
      </w:pPr>
      <w:r>
        <w:t xml:space="preserve">access control systems</w:t>
      </w:r>
    </w:p>
    <w:p>
      <w:pPr>
        <w:pStyle w:val="Compact"/>
        <w:numPr>
          <w:ilvl w:val="0"/>
          <w:numId w:val="1023"/>
        </w:numPr>
      </w:pPr>
      <w:r>
        <w:t xml:space="preserve">visitor registration</w:t>
      </w:r>
    </w:p>
    <w:p>
      <w:pPr>
        <w:pStyle w:val="Compact"/>
        <w:numPr>
          <w:ilvl w:val="0"/>
          <w:numId w:val="1023"/>
        </w:numPr>
      </w:pPr>
      <w:r>
        <w:t xml:space="preserve">security monitoring</w:t>
      </w:r>
    </w:p>
    <w:p>
      <w:pPr>
        <w:pStyle w:val="FirstParagraph"/>
      </w:pPr>
      <w:r>
        <w:t xml:space="preserve">Security measures vary by location.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faq-quick-answers"/>
    <w:p>
      <w:pPr>
        <w:pStyle w:val="Heading1"/>
      </w:pPr>
      <w:r>
        <w:t xml:space="preserve">FAQ Quick Answers</w:t>
      </w:r>
    </w:p>
    <w:bookmarkStart w:id="54" w:name="Xb89e5798dcdaa7e94a0de505963ce5b0bb60be8"/>
    <w:p>
      <w:pPr>
        <w:pStyle w:val="Heading2"/>
      </w:pPr>
      <w:r>
        <w:t xml:space="preserve">What is the difference between Dedicated Workstation and Hot Desk?</w:t>
      </w:r>
    </w:p>
    <w:p>
      <w:pPr>
        <w:pStyle w:val="FirstParagraph"/>
      </w:pPr>
      <w:r>
        <w:t xml:space="preserve">Dedicated Workstation provides a permanently reserved desk, while Hot Desk allows flexible seating within shared areas.</w:t>
      </w:r>
    </w:p>
    <w:p>
      <w:r>
        <w:pict>
          <v:rect style="width:0;height:1.5pt" o:hralign="center" o:hrstd="t" o:hr="t"/>
        </w:pict>
      </w:r>
    </w:p>
    <w:bookmarkEnd w:id="54"/>
    <w:bookmarkStart w:id="55" w:name="can-i-leave-my-monitor-at-the-desk"/>
    <w:p>
      <w:pPr>
        <w:pStyle w:val="Heading2"/>
      </w:pPr>
      <w:r>
        <w:t xml:space="preserve">Can I leave my monitor at the desk?</w:t>
      </w:r>
    </w:p>
    <w:p>
      <w:pPr>
        <w:pStyle w:val="FirstParagraph"/>
      </w:pPr>
      <w:r>
        <w:t xml:space="preserve">Usually yes, subject to centre policy and security guidelines.</w:t>
      </w:r>
    </w:p>
    <w:p>
      <w:r>
        <w:pict>
          <v:rect style="width:0;height:1.5pt" o:hralign="center" o:hrstd="t" o:hr="t"/>
        </w:pict>
      </w:r>
    </w:p>
    <w:bookmarkEnd w:id="55"/>
    <w:bookmarkStart w:id="56" w:name="is-storage-included"/>
    <w:p>
      <w:pPr>
        <w:pStyle w:val="Heading2"/>
      </w:pPr>
      <w:r>
        <w:t xml:space="preserve">Is storage included?</w:t>
      </w:r>
    </w:p>
    <w:p>
      <w:pPr>
        <w:pStyle w:val="FirstParagraph"/>
      </w:pPr>
      <w:r>
        <w:t xml:space="preserve">Some packages may include storage or lockers depending on location and package type.</w:t>
      </w:r>
    </w:p>
    <w:p>
      <w:r>
        <w:pict>
          <v:rect style="width:0;height:1.5pt" o:hralign="center" o:hrstd="t" o:hr="t"/>
        </w:pict>
      </w:r>
    </w:p>
    <w:bookmarkEnd w:id="56"/>
    <w:bookmarkStart w:id="57" w:name="Xe761fa12dda61f0f4af9738ce3533c1494ad531"/>
    <w:p>
      <w:pPr>
        <w:pStyle w:val="Heading2"/>
      </w:pPr>
      <w:r>
        <w:t xml:space="preserve">Can I access the centre after business hours?</w:t>
      </w:r>
    </w:p>
    <w:p>
      <w:pPr>
        <w:pStyle w:val="FirstParagraph"/>
      </w:pPr>
      <w:r>
        <w:t xml:space="preserve">Some Dedicated Workstation memberships may include extended or 24/7 access.</w:t>
      </w:r>
    </w:p>
    <w:p>
      <w:r>
        <w:pict>
          <v:rect style="width:0;height:1.5pt" o:hralign="center" o:hrstd="t" o:hr="t"/>
        </w:pict>
      </w:r>
    </w:p>
    <w:bookmarkEnd w:id="57"/>
    <w:bookmarkStart w:id="58" w:name="can-i-receive-mail-at-the-centre"/>
    <w:p>
      <w:pPr>
        <w:pStyle w:val="Heading2"/>
      </w:pPr>
      <w:r>
        <w:t xml:space="preserve">Can I receive mail at the centre?</w:t>
      </w:r>
    </w:p>
    <w:p>
      <w:pPr>
        <w:pStyle w:val="FirstParagraph"/>
      </w:pPr>
      <w:r>
        <w:t xml:space="preserve">Mail handling availability depends on package type and centre policy.</w:t>
      </w:r>
    </w:p>
    <w:p>
      <w:r>
        <w:pict>
          <v:rect style="width:0;height:1.5pt" o:hralign="center" o:hrstd="t" o:hr="t"/>
        </w:pict>
      </w:r>
    </w:p>
    <w:bookmarkEnd w:id="58"/>
    <w:bookmarkStart w:id="59" w:name="Xd818e7e8e752592c4e848e45248a6cc334d520d"/>
    <w:p>
      <w:pPr>
        <w:pStyle w:val="Heading2"/>
      </w:pPr>
      <w:r>
        <w:t xml:space="preserve">Is Dedicated Workstation suitable for teams?</w:t>
      </w:r>
    </w:p>
    <w:p>
      <w:pPr>
        <w:pStyle w:val="FirstParagraph"/>
      </w:pPr>
      <w:r>
        <w:t xml:space="preserve">Small teams may use multiple dedicated workstations, though larger or privacy-sensitive teams may prefer private offices.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i-behaviour-rules"/>
    <w:p>
      <w:pPr>
        <w:pStyle w:val="Heading1"/>
      </w:pPr>
      <w:r>
        <w:t xml:space="preserve">AI Behaviour Rules</w:t>
      </w:r>
    </w:p>
    <w:bookmarkStart w:id="61" w:name="ai-should-recommend-this-product-when"/>
    <w:p>
      <w:pPr>
        <w:pStyle w:val="Heading2"/>
      </w:pPr>
      <w:r>
        <w:t xml:space="preserve">AI SHOULD Recommend This Product When</w:t>
      </w:r>
    </w:p>
    <w:p>
      <w:pPr>
        <w:pStyle w:val="Compact"/>
        <w:numPr>
          <w:ilvl w:val="0"/>
          <w:numId w:val="1024"/>
        </w:numPr>
      </w:pPr>
      <w:r>
        <w:t xml:space="preserve">user wants consistent seating</w:t>
      </w:r>
    </w:p>
    <w:p>
      <w:pPr>
        <w:pStyle w:val="Compact"/>
        <w:numPr>
          <w:ilvl w:val="0"/>
          <w:numId w:val="1024"/>
        </w:numPr>
      </w:pPr>
      <w:r>
        <w:t xml:space="preserve">user works regularly onsite</w:t>
      </w:r>
    </w:p>
    <w:p>
      <w:pPr>
        <w:pStyle w:val="Compact"/>
        <w:numPr>
          <w:ilvl w:val="0"/>
          <w:numId w:val="1024"/>
        </w:numPr>
      </w:pPr>
      <w:r>
        <w:t xml:space="preserve">user needs lower-cost permanent workspace</w:t>
      </w:r>
    </w:p>
    <w:p>
      <w:pPr>
        <w:pStyle w:val="Compact"/>
        <w:numPr>
          <w:ilvl w:val="0"/>
          <w:numId w:val="1024"/>
        </w:numPr>
      </w:pPr>
      <w:r>
        <w:t xml:space="preserve">user wants more stability than Hot Desk</w:t>
      </w:r>
    </w:p>
    <w:p>
      <w:pPr>
        <w:pStyle w:val="Compact"/>
        <w:numPr>
          <w:ilvl w:val="0"/>
          <w:numId w:val="1024"/>
        </w:numPr>
      </w:pPr>
      <w:r>
        <w:t xml:space="preserve">user does not require full private office</w:t>
      </w:r>
    </w:p>
    <w:p>
      <w:r>
        <w:pict>
          <v:rect style="width:0;height:1.5pt" o:hralign="center" o:hrstd="t" o:hr="t"/>
        </w:pict>
      </w:r>
    </w:p>
    <w:bookmarkEnd w:id="61"/>
    <w:bookmarkStart w:id="62" w:name="X2d0ea17ac61dc3eb80bea7ed608c1622f5cc3a4"/>
    <w:p>
      <w:pPr>
        <w:pStyle w:val="Heading2"/>
      </w:pPr>
      <w:r>
        <w:t xml:space="preserve">AI SHOULD NOT Recommend This Product When</w:t>
      </w:r>
    </w:p>
    <w:p>
      <w:pPr>
        <w:pStyle w:val="Compact"/>
        <w:numPr>
          <w:ilvl w:val="0"/>
          <w:numId w:val="1025"/>
        </w:numPr>
      </w:pPr>
      <w:r>
        <w:t xml:space="preserve">user requires high privacy</w:t>
      </w:r>
    </w:p>
    <w:p>
      <w:pPr>
        <w:pStyle w:val="Compact"/>
        <w:numPr>
          <w:ilvl w:val="0"/>
          <w:numId w:val="1025"/>
        </w:numPr>
      </w:pPr>
      <w:r>
        <w:t xml:space="preserve">user handles highly confidential operations</w:t>
      </w:r>
    </w:p>
    <w:p>
      <w:pPr>
        <w:pStyle w:val="Compact"/>
        <w:numPr>
          <w:ilvl w:val="0"/>
          <w:numId w:val="1025"/>
        </w:numPr>
      </w:pPr>
      <w:r>
        <w:t xml:space="preserve">user requires dedicated team office</w:t>
      </w:r>
    </w:p>
    <w:p>
      <w:pPr>
        <w:pStyle w:val="Compact"/>
        <w:numPr>
          <w:ilvl w:val="0"/>
          <w:numId w:val="1025"/>
        </w:numPr>
      </w:pPr>
      <w:r>
        <w:t xml:space="preserve">user requires warehouse/storage usage</w:t>
      </w:r>
    </w:p>
    <w:p>
      <w:r>
        <w:pict>
          <v:rect style="width:0;height:1.5pt" o:hralign="center" o:hrstd="t" o:hr="t"/>
        </w:pict>
      </w:r>
    </w:p>
    <w:bookmarkEnd w:id="62"/>
    <w:bookmarkStart w:id="63" w:name="ai-must-escalate-to-human-when"/>
    <w:p>
      <w:pPr>
        <w:pStyle w:val="Heading2"/>
      </w:pPr>
      <w:r>
        <w:t xml:space="preserve">AI MUST Escalate To Human When</w:t>
      </w:r>
    </w:p>
    <w:p>
      <w:pPr>
        <w:pStyle w:val="Compact"/>
        <w:numPr>
          <w:ilvl w:val="0"/>
          <w:numId w:val="1026"/>
        </w:numPr>
      </w:pPr>
      <w:r>
        <w:t xml:space="preserve">enterprise team setup requested</w:t>
      </w:r>
    </w:p>
    <w:p>
      <w:pPr>
        <w:pStyle w:val="Compact"/>
        <w:numPr>
          <w:ilvl w:val="0"/>
          <w:numId w:val="1026"/>
        </w:numPr>
      </w:pPr>
      <w:r>
        <w:t xml:space="preserve">special IT/security needs involved</w:t>
      </w:r>
    </w:p>
    <w:p>
      <w:pPr>
        <w:pStyle w:val="Compact"/>
        <w:numPr>
          <w:ilvl w:val="0"/>
          <w:numId w:val="1026"/>
        </w:numPr>
      </w:pPr>
      <w:r>
        <w:t xml:space="preserve">regulated industries mentioned</w:t>
      </w:r>
    </w:p>
    <w:p>
      <w:pPr>
        <w:pStyle w:val="Compact"/>
        <w:numPr>
          <w:ilvl w:val="0"/>
          <w:numId w:val="1026"/>
        </w:numPr>
      </w:pPr>
      <w:r>
        <w:t xml:space="preserve">custom workstation configuration requested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ynamic-fields"/>
    <w:p>
      <w:pPr>
        <w:pStyle w:val="Heading1"/>
      </w:pPr>
      <w:r>
        <w:t xml:space="preserve">Dynamic Fields</w:t>
      </w:r>
    </w:p>
    <w:p>
      <w:pPr>
        <w:pStyle w:val="FirstParagraph"/>
      </w:pPr>
      <w:r>
        <w:t xml:space="preserve">These fields should ideally come from live systems:</w:t>
      </w:r>
    </w:p>
    <w:p>
      <w:pPr>
        <w:pStyle w:val="Compact"/>
        <w:numPr>
          <w:ilvl w:val="0"/>
          <w:numId w:val="1027"/>
        </w:numPr>
      </w:pPr>
      <w:r>
        <w:t xml:space="preserve">pricing</w:t>
      </w:r>
    </w:p>
    <w:p>
      <w:pPr>
        <w:pStyle w:val="Compact"/>
        <w:numPr>
          <w:ilvl w:val="0"/>
          <w:numId w:val="1027"/>
        </w:numPr>
      </w:pPr>
      <w:r>
        <w:t xml:space="preserve">current availability</w:t>
      </w:r>
    </w:p>
    <w:p>
      <w:pPr>
        <w:pStyle w:val="Compact"/>
        <w:numPr>
          <w:ilvl w:val="0"/>
          <w:numId w:val="1027"/>
        </w:numPr>
      </w:pPr>
      <w:r>
        <w:t xml:space="preserve">included storage</w:t>
      </w:r>
    </w:p>
    <w:p>
      <w:pPr>
        <w:pStyle w:val="Compact"/>
        <w:numPr>
          <w:ilvl w:val="0"/>
          <w:numId w:val="1027"/>
        </w:numPr>
      </w:pPr>
      <w:r>
        <w:t xml:space="preserve">access hours</w:t>
      </w:r>
    </w:p>
    <w:p>
      <w:pPr>
        <w:pStyle w:val="Compact"/>
        <w:numPr>
          <w:ilvl w:val="0"/>
          <w:numId w:val="1027"/>
        </w:numPr>
      </w:pPr>
      <w:r>
        <w:t xml:space="preserve">meeting room credits</w:t>
      </w:r>
    </w:p>
    <w:p>
      <w:pPr>
        <w:pStyle w:val="Compact"/>
        <w:numPr>
          <w:ilvl w:val="0"/>
          <w:numId w:val="1027"/>
        </w:numPr>
      </w:pPr>
      <w:r>
        <w:t xml:space="preserve">promotions</w:t>
      </w:r>
    </w:p>
    <w:p>
      <w:pPr>
        <w:pStyle w:val="Compact"/>
        <w:numPr>
          <w:ilvl w:val="0"/>
          <w:numId w:val="1027"/>
        </w:numPr>
      </w:pPr>
      <w:r>
        <w:t xml:space="preserve">centre-specific amenities</w:t>
      </w:r>
    </w:p>
    <w:p>
      <w:r>
        <w:pict>
          <v:rect style="width:0;height:1.5pt" o:hralign="center" o:hrstd="t" o:hr="t"/>
        </w:pict>
      </w:r>
    </w:p>
    <w:bookmarkEnd w:id="65"/>
    <w:bookmarkStart w:id="66" w:name="confidence-level"/>
    <w:p>
      <w:pPr>
        <w:pStyle w:val="Heading1"/>
      </w:pPr>
      <w:r>
        <w:t xml:space="preserve">Confidence Level</w:t>
      </w:r>
    </w:p>
    <w:p>
      <w:pPr>
        <w:pStyle w:val="FirstParagraph"/>
      </w:pPr>
      <w:r>
        <w:t xml:space="preserve">DRAFT — INDUSTRY STANDARD BASELINE</w:t>
      </w:r>
    </w:p>
    <w:p>
      <w:pPr>
        <w:pStyle w:val="BodyText"/>
      </w:pPr>
      <w:r>
        <w:t xml:space="preserve">This document is based on common dedicated workstation operational practices and should be reviewed against actual company policy.</w:t>
      </w:r>
    </w:p>
    <w:p>
      <w:r>
        <w:pict>
          <v:rect style="width:0;height:1.5pt" o:hralign="center" o:hrstd="t" o:hr="t"/>
        </w:pict>
      </w:r>
    </w:p>
    <w:bookmarkEnd w:id="66"/>
    <w:bookmarkStart w:id="69" w:name="last-review"/>
    <w:p>
      <w:pPr>
        <w:pStyle w:val="Heading1"/>
      </w:pPr>
      <w:r>
        <w:t xml:space="preserve">Last Review</w:t>
      </w:r>
    </w:p>
    <w:bookmarkStart w:id="67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2026-06-02</w:t>
      </w:r>
    </w:p>
    <w:bookmarkEnd w:id="67"/>
    <w:bookmarkStart w:id="68" w:name="reviewed-by"/>
    <w:p>
      <w:pPr>
        <w:pStyle w:val="Heading2"/>
      </w:pPr>
      <w:r>
        <w:t xml:space="preserve">Reviewed By</w:t>
      </w:r>
    </w:p>
    <w:p>
      <w:pPr>
        <w:pStyle w:val="FirstParagraph"/>
      </w:pPr>
      <w:r>
        <w:t xml:space="preserve">AI Draft v1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2026-06-02T08:54:59Z</dcterms:created>
  <dcterms:modified xsi:type="dcterms:W3CDTF">2026-06-02T08:54:59Z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