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ed-office.md"/>
    <w:p>
      <w:pPr>
        <w:pStyle w:val="Heading1"/>
      </w:pPr>
      <w:r>
        <w:t xml:space="preserve">serviced-office.md</w:t>
      </w:r>
    </w:p>
    <w:bookmarkEnd w:id="20"/>
    <w:bookmarkStart w:id="22" w:name="product-serviced-office"/>
    <w:p>
      <w:pPr>
        <w:pStyle w:val="Heading1"/>
      </w:pPr>
      <w:r>
        <w:t xml:space="preserve">Product: Serviced Office</w:t>
      </w:r>
    </w:p>
    <w:bookmarkStart w:id="21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Serviced Offices are fully furnished private office suites designed for businesses requiring professional workspace with flexible terms and managed operational support.</w:t>
      </w:r>
    </w:p>
    <w:p>
      <w:pPr>
        <w:pStyle w:val="BodyText"/>
      </w:pPr>
      <w:r>
        <w:t xml:space="preserve">This product is commonly used by:</w:t>
      </w:r>
    </w:p>
    <w:p>
      <w:pPr>
        <w:pStyle w:val="Compact"/>
        <w:numPr>
          <w:ilvl w:val="0"/>
          <w:numId w:val="1001"/>
        </w:numPr>
      </w:pPr>
      <w:r>
        <w:t xml:space="preserve">SMEs</w:t>
      </w:r>
    </w:p>
    <w:p>
      <w:pPr>
        <w:pStyle w:val="Compact"/>
        <w:numPr>
          <w:ilvl w:val="0"/>
          <w:numId w:val="1001"/>
        </w:numPr>
      </w:pPr>
      <w:r>
        <w:t xml:space="preserve">startups</w:t>
      </w:r>
    </w:p>
    <w:p>
      <w:pPr>
        <w:pStyle w:val="Compact"/>
        <w:numPr>
          <w:ilvl w:val="0"/>
          <w:numId w:val="1001"/>
        </w:numPr>
      </w:pPr>
      <w:r>
        <w:t xml:space="preserve">regional headquarters</w:t>
      </w:r>
    </w:p>
    <w:p>
      <w:pPr>
        <w:pStyle w:val="Compact"/>
        <w:numPr>
          <w:ilvl w:val="0"/>
          <w:numId w:val="1001"/>
        </w:numPr>
      </w:pPr>
      <w:r>
        <w:t xml:space="preserve">project teams</w:t>
      </w:r>
    </w:p>
    <w:p>
      <w:pPr>
        <w:pStyle w:val="Compact"/>
        <w:numPr>
          <w:ilvl w:val="0"/>
          <w:numId w:val="1001"/>
        </w:numPr>
      </w:pPr>
      <w:r>
        <w:t xml:space="preserve">representative offices</w:t>
      </w:r>
    </w:p>
    <w:p>
      <w:pPr>
        <w:pStyle w:val="Compact"/>
        <w:numPr>
          <w:ilvl w:val="0"/>
          <w:numId w:val="1001"/>
        </w:numPr>
      </w:pPr>
      <w:r>
        <w:t xml:space="preserve">enterprise satellite teams</w:t>
      </w:r>
    </w:p>
    <w:p>
      <w:pPr>
        <w:pStyle w:val="Compact"/>
        <w:numPr>
          <w:ilvl w:val="0"/>
          <w:numId w:val="1001"/>
        </w:numPr>
      </w:pPr>
      <w:r>
        <w:t xml:space="preserve">professional services firms</w:t>
      </w:r>
    </w:p>
    <w:p>
      <w:pPr>
        <w:pStyle w:val="FirstParagraph"/>
      </w:pPr>
      <w:r>
        <w:t xml:space="preserve">Serviced Offices provide move-in-ready workspace without the complexity of traditional office leases.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orkspace-types"/>
    <w:p>
      <w:pPr>
        <w:pStyle w:val="Heading1"/>
      </w:pPr>
      <w:r>
        <w:t xml:space="preserve">Workspace Types</w:t>
      </w:r>
    </w:p>
    <w:bookmarkStart w:id="23" w:name="available-office-sizes"/>
    <w:p>
      <w:pPr>
        <w:pStyle w:val="Heading2"/>
      </w:pPr>
      <w:r>
        <w:t xml:space="preserve">Available Office Sizes</w:t>
      </w:r>
    </w:p>
    <w:p>
      <w:pPr>
        <w:pStyle w:val="FirstParagraph"/>
      </w:pPr>
      <w:r>
        <w:t xml:space="preserve">Office configurations may include:</w:t>
      </w:r>
    </w:p>
    <w:p>
      <w:pPr>
        <w:pStyle w:val="Compact"/>
        <w:numPr>
          <w:ilvl w:val="0"/>
          <w:numId w:val="1002"/>
        </w:numPr>
      </w:pPr>
      <w:r>
        <w:t xml:space="preserve">1 pax office</w:t>
      </w:r>
    </w:p>
    <w:p>
      <w:pPr>
        <w:pStyle w:val="Compact"/>
        <w:numPr>
          <w:ilvl w:val="0"/>
          <w:numId w:val="1002"/>
        </w:numPr>
      </w:pPr>
      <w:r>
        <w:t xml:space="preserve">2 pax office</w:t>
      </w:r>
    </w:p>
    <w:p>
      <w:pPr>
        <w:pStyle w:val="Compact"/>
        <w:numPr>
          <w:ilvl w:val="0"/>
          <w:numId w:val="1002"/>
        </w:numPr>
      </w:pPr>
      <w:r>
        <w:t xml:space="preserve">3-5 pax office</w:t>
      </w:r>
    </w:p>
    <w:p>
      <w:pPr>
        <w:pStyle w:val="Compact"/>
        <w:numPr>
          <w:ilvl w:val="0"/>
          <w:numId w:val="1002"/>
        </w:numPr>
      </w:pPr>
      <w:r>
        <w:t xml:space="preserve">6-10 pax office</w:t>
      </w:r>
    </w:p>
    <w:p>
      <w:pPr>
        <w:pStyle w:val="Compact"/>
        <w:numPr>
          <w:ilvl w:val="0"/>
          <w:numId w:val="1002"/>
        </w:numPr>
      </w:pPr>
      <w:r>
        <w:t xml:space="preserve">enterprise suites</w:t>
      </w:r>
    </w:p>
    <w:p>
      <w:pPr>
        <w:pStyle w:val="Compact"/>
        <w:numPr>
          <w:ilvl w:val="0"/>
          <w:numId w:val="1002"/>
        </w:numPr>
      </w:pPr>
      <w:r>
        <w:t xml:space="preserve">custom team spaces</w:t>
      </w:r>
    </w:p>
    <w:p>
      <w:pPr>
        <w:pStyle w:val="FirstParagraph"/>
      </w:pPr>
      <w:r>
        <w:t xml:space="preserve">Availability varies by centre.</w:t>
      </w:r>
    </w:p>
    <w:p>
      <w:r>
        <w:pict>
          <v:rect style="width:0;height:1.5pt" o:hralign="center" o:hrstd="t" o:hr="t"/>
        </w:pict>
      </w:r>
    </w:p>
    <w:bookmarkEnd w:id="23"/>
    <w:bookmarkStart w:id="24" w:name="office-setup"/>
    <w:p>
      <w:pPr>
        <w:pStyle w:val="Heading2"/>
      </w:pPr>
      <w:r>
        <w:t xml:space="preserve">Office Setup</w:t>
      </w:r>
    </w:p>
    <w:p>
      <w:pPr>
        <w:pStyle w:val="FirstParagraph"/>
      </w:pPr>
      <w:r>
        <w:t xml:space="preserve">Offices are generally provided furnished with:</w:t>
      </w:r>
    </w:p>
    <w:p>
      <w:pPr>
        <w:pStyle w:val="Compact"/>
        <w:numPr>
          <w:ilvl w:val="0"/>
          <w:numId w:val="1003"/>
        </w:numPr>
      </w:pPr>
      <w:r>
        <w:t xml:space="preserve">work desks</w:t>
      </w:r>
    </w:p>
    <w:p>
      <w:pPr>
        <w:pStyle w:val="Compact"/>
        <w:numPr>
          <w:ilvl w:val="0"/>
          <w:numId w:val="1003"/>
        </w:numPr>
      </w:pPr>
      <w:r>
        <w:t xml:space="preserve">office chairs</w:t>
      </w:r>
    </w:p>
    <w:p>
      <w:pPr>
        <w:pStyle w:val="Compact"/>
        <w:numPr>
          <w:ilvl w:val="0"/>
          <w:numId w:val="1003"/>
        </w:numPr>
      </w:pPr>
      <w:r>
        <w:t xml:space="preserve">storage cabinets</w:t>
      </w:r>
    </w:p>
    <w:p>
      <w:pPr>
        <w:pStyle w:val="Compact"/>
        <w:numPr>
          <w:ilvl w:val="0"/>
          <w:numId w:val="1003"/>
        </w:numPr>
      </w:pPr>
      <w:r>
        <w:t xml:space="preserve">meeting tables where applicable</w:t>
      </w:r>
    </w:p>
    <w:p>
      <w:pPr>
        <w:pStyle w:val="FirstParagraph"/>
      </w:pPr>
      <w:r>
        <w:t xml:space="preserve">Some centres may support customised layouts subject to approval.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ncluded-services"/>
    <w:p>
      <w:pPr>
        <w:pStyle w:val="Heading1"/>
      </w:pPr>
      <w:r>
        <w:t xml:space="preserve">Included Services</w:t>
      </w:r>
    </w:p>
    <w:bookmarkStart w:id="26" w:name="standard-inclusions"/>
    <w:p>
      <w:pPr>
        <w:pStyle w:val="Heading2"/>
      </w:pPr>
      <w:r>
        <w:t xml:space="preserve">Standard Inclusions</w:t>
      </w:r>
    </w:p>
    <w:p>
      <w:pPr>
        <w:pStyle w:val="FirstParagraph"/>
      </w:pPr>
      <w:r>
        <w:t xml:space="preserve">Typical inclusions may include:</w:t>
      </w:r>
    </w:p>
    <w:p>
      <w:pPr>
        <w:pStyle w:val="Compact"/>
        <w:numPr>
          <w:ilvl w:val="0"/>
          <w:numId w:val="1004"/>
        </w:numPr>
      </w:pPr>
      <w:r>
        <w:t xml:space="preserve">furnished office</w:t>
      </w:r>
    </w:p>
    <w:p>
      <w:pPr>
        <w:pStyle w:val="Compact"/>
        <w:numPr>
          <w:ilvl w:val="0"/>
          <w:numId w:val="1004"/>
        </w:numPr>
      </w:pPr>
      <w:r>
        <w:t xml:space="preserve">utilities</w:t>
      </w:r>
    </w:p>
    <w:p>
      <w:pPr>
        <w:pStyle w:val="Compact"/>
        <w:numPr>
          <w:ilvl w:val="0"/>
          <w:numId w:val="1004"/>
        </w:numPr>
      </w:pPr>
      <w:r>
        <w:t xml:space="preserve">business internet</w:t>
      </w:r>
    </w:p>
    <w:p>
      <w:pPr>
        <w:pStyle w:val="Compact"/>
        <w:numPr>
          <w:ilvl w:val="0"/>
          <w:numId w:val="1004"/>
        </w:numPr>
      </w:pPr>
      <w:r>
        <w:t xml:space="preserve">air conditioning</w:t>
      </w:r>
    </w:p>
    <w:p>
      <w:pPr>
        <w:pStyle w:val="Compact"/>
        <w:numPr>
          <w:ilvl w:val="0"/>
          <w:numId w:val="1004"/>
        </w:numPr>
      </w:pPr>
      <w:r>
        <w:t xml:space="preserve">cleaning services</w:t>
      </w:r>
    </w:p>
    <w:p>
      <w:pPr>
        <w:pStyle w:val="Compact"/>
        <w:numPr>
          <w:ilvl w:val="0"/>
          <w:numId w:val="1004"/>
        </w:numPr>
      </w:pPr>
      <w:r>
        <w:t xml:space="preserve">pantry access</w:t>
      </w:r>
    </w:p>
    <w:p>
      <w:pPr>
        <w:pStyle w:val="Compact"/>
        <w:numPr>
          <w:ilvl w:val="0"/>
          <w:numId w:val="1004"/>
        </w:numPr>
      </w:pPr>
      <w:r>
        <w:t xml:space="preserve">reception support</w:t>
      </w:r>
    </w:p>
    <w:p>
      <w:pPr>
        <w:pStyle w:val="Compact"/>
        <w:numPr>
          <w:ilvl w:val="0"/>
          <w:numId w:val="1004"/>
        </w:numPr>
      </w:pPr>
      <w:r>
        <w:t xml:space="preserve">common area usage</w:t>
      </w:r>
    </w:p>
    <w:p>
      <w:pPr>
        <w:pStyle w:val="Compact"/>
        <w:numPr>
          <w:ilvl w:val="0"/>
          <w:numId w:val="1004"/>
        </w:numPr>
      </w:pPr>
      <w:r>
        <w:t xml:space="preserve">building maintenance</w:t>
      </w:r>
    </w:p>
    <w:p>
      <w:r>
        <w:pict>
          <v:rect style="width:0;height:1.5pt" o:hralign="center" o:hrstd="t" o:hr="t"/>
        </w:pict>
      </w:r>
    </w:p>
    <w:bookmarkEnd w:id="26"/>
    <w:bookmarkStart w:id="27" w:name="shared-facilities"/>
    <w:p>
      <w:pPr>
        <w:pStyle w:val="Heading2"/>
      </w:pPr>
      <w:r>
        <w:t xml:space="preserve">Shared Facilities</w:t>
      </w:r>
    </w:p>
    <w:p>
      <w:pPr>
        <w:pStyle w:val="FirstParagraph"/>
      </w:pPr>
      <w:r>
        <w:t xml:space="preserve">Members may also have access to:</w:t>
      </w:r>
    </w:p>
    <w:p>
      <w:pPr>
        <w:pStyle w:val="Compact"/>
        <w:numPr>
          <w:ilvl w:val="0"/>
          <w:numId w:val="1005"/>
        </w:numPr>
      </w:pPr>
      <w:r>
        <w:t xml:space="preserve">meeting rooms</w:t>
      </w:r>
    </w:p>
    <w:p>
      <w:pPr>
        <w:pStyle w:val="Compact"/>
        <w:numPr>
          <w:ilvl w:val="0"/>
          <w:numId w:val="1005"/>
        </w:numPr>
      </w:pPr>
      <w:r>
        <w:t xml:space="preserve">lounges</w:t>
      </w:r>
    </w:p>
    <w:p>
      <w:pPr>
        <w:pStyle w:val="Compact"/>
        <w:numPr>
          <w:ilvl w:val="0"/>
          <w:numId w:val="1005"/>
        </w:numPr>
      </w:pPr>
      <w:r>
        <w:t xml:space="preserve">phone booths</w:t>
      </w:r>
    </w:p>
    <w:p>
      <w:pPr>
        <w:pStyle w:val="Compact"/>
        <w:numPr>
          <w:ilvl w:val="0"/>
          <w:numId w:val="1005"/>
        </w:numPr>
      </w:pPr>
      <w:r>
        <w:t xml:space="preserve">pantry areas</w:t>
      </w:r>
    </w:p>
    <w:p>
      <w:pPr>
        <w:pStyle w:val="Compact"/>
        <w:numPr>
          <w:ilvl w:val="0"/>
          <w:numId w:val="1005"/>
        </w:numPr>
      </w:pPr>
      <w:r>
        <w:t xml:space="preserve">breakout spaces</w:t>
      </w:r>
    </w:p>
    <w:p>
      <w:pPr>
        <w:pStyle w:val="Compact"/>
        <w:numPr>
          <w:ilvl w:val="0"/>
          <w:numId w:val="1005"/>
        </w:numPr>
      </w:pPr>
      <w:r>
        <w:t xml:space="preserve">reception areas</w:t>
      </w:r>
    </w:p>
    <w:p>
      <w:pPr>
        <w:pStyle w:val="FirstParagraph"/>
      </w:pPr>
      <w:r>
        <w:t xml:space="preserve">Availability may vary by centre.</w:t>
      </w:r>
    </w:p>
    <w:p>
      <w:r>
        <w:pict>
          <v:rect style="width:0;height:1.5pt" o:hralign="center" o:hrstd="t" o:hr="t"/>
        </w:pict>
      </w:r>
    </w:p>
    <w:bookmarkEnd w:id="27"/>
    <w:bookmarkStart w:id="28" w:name="optional-add-on-services"/>
    <w:p>
      <w:pPr>
        <w:pStyle w:val="Heading2"/>
      </w:pPr>
      <w:r>
        <w:t xml:space="preserve">Optional Add-On Services</w:t>
      </w:r>
    </w:p>
    <w:p>
      <w:pPr>
        <w:pStyle w:val="FirstParagraph"/>
      </w:pPr>
      <w:r>
        <w:t xml:space="preserve">Optional services may include:</w:t>
      </w:r>
    </w:p>
    <w:p>
      <w:pPr>
        <w:pStyle w:val="Compact"/>
        <w:numPr>
          <w:ilvl w:val="0"/>
          <w:numId w:val="1006"/>
        </w:numPr>
      </w:pPr>
      <w:r>
        <w:t xml:space="preserve">dedicated internet</w:t>
      </w:r>
    </w:p>
    <w:p>
      <w:pPr>
        <w:pStyle w:val="Compact"/>
        <w:numPr>
          <w:ilvl w:val="0"/>
          <w:numId w:val="1006"/>
        </w:numPr>
      </w:pPr>
      <w:r>
        <w:t xml:space="preserve">IP phones</w:t>
      </w:r>
    </w:p>
    <w:p>
      <w:pPr>
        <w:pStyle w:val="Compact"/>
        <w:numPr>
          <w:ilvl w:val="0"/>
          <w:numId w:val="1006"/>
        </w:numPr>
      </w:pPr>
      <w:r>
        <w:t xml:space="preserve">printing packages</w:t>
      </w:r>
    </w:p>
    <w:p>
      <w:pPr>
        <w:pStyle w:val="Compact"/>
        <w:numPr>
          <w:ilvl w:val="0"/>
          <w:numId w:val="1006"/>
        </w:numPr>
      </w:pPr>
      <w:r>
        <w:t xml:space="preserve">additional access cards</w:t>
      </w:r>
    </w:p>
    <w:p>
      <w:pPr>
        <w:pStyle w:val="Compact"/>
        <w:numPr>
          <w:ilvl w:val="0"/>
          <w:numId w:val="1006"/>
        </w:numPr>
      </w:pPr>
      <w:r>
        <w:t xml:space="preserve">company signage</w:t>
      </w:r>
    </w:p>
    <w:p>
      <w:pPr>
        <w:pStyle w:val="Compact"/>
        <w:numPr>
          <w:ilvl w:val="0"/>
          <w:numId w:val="1006"/>
        </w:numPr>
      </w:pPr>
      <w:r>
        <w:t xml:space="preserve">storage</w:t>
      </w:r>
    </w:p>
    <w:p>
      <w:pPr>
        <w:pStyle w:val="Compact"/>
        <w:numPr>
          <w:ilvl w:val="0"/>
          <w:numId w:val="1006"/>
        </w:numPr>
      </w:pPr>
      <w:r>
        <w:t xml:space="preserve">parking</w:t>
      </w:r>
    </w:p>
    <w:p>
      <w:pPr>
        <w:pStyle w:val="Compact"/>
        <w:numPr>
          <w:ilvl w:val="0"/>
          <w:numId w:val="1006"/>
        </w:numPr>
      </w:pPr>
      <w:r>
        <w:t xml:space="preserve">mail forwarding</w:t>
      </w:r>
    </w:p>
    <w:p>
      <w:pPr>
        <w:pStyle w:val="Compact"/>
        <w:numPr>
          <w:ilvl w:val="0"/>
          <w:numId w:val="1006"/>
        </w:numPr>
      </w:pPr>
      <w:r>
        <w:t xml:space="preserve">IT support</w:t>
      </w:r>
    </w:p>
    <w:p>
      <w:pPr>
        <w:pStyle w:val="FirstParagraph"/>
      </w:pPr>
      <w:r>
        <w:t xml:space="preserve">Additional charges may apply.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ccess-operations"/>
    <w:p>
      <w:pPr>
        <w:pStyle w:val="Heading1"/>
      </w:pPr>
      <w:r>
        <w:t xml:space="preserve">Access &amp; Operations</w:t>
      </w:r>
    </w:p>
    <w:bookmarkStart w:id="30" w:name="operating-hours"/>
    <w:p>
      <w:pPr>
        <w:pStyle w:val="Heading2"/>
      </w:pPr>
      <w:r>
        <w:t xml:space="preserve">Operating Hours</w:t>
      </w:r>
    </w:p>
    <w:p>
      <w:pPr>
        <w:pStyle w:val="FirstParagraph"/>
      </w:pPr>
      <w:r>
        <w:t xml:space="preserve">Reception and operational support are generally available during business hours.</w:t>
      </w:r>
    </w:p>
    <w:p>
      <w:pPr>
        <w:pStyle w:val="BodyText"/>
      </w:pPr>
      <w:r>
        <w:t xml:space="preserve">Some centres may provide extended or 24/7 member access depending on:</w:t>
      </w:r>
    </w:p>
    <w:p>
      <w:pPr>
        <w:pStyle w:val="Compact"/>
        <w:numPr>
          <w:ilvl w:val="0"/>
          <w:numId w:val="1007"/>
        </w:numPr>
      </w:pPr>
      <w:r>
        <w:t xml:space="preserve">package type</w:t>
      </w:r>
    </w:p>
    <w:p>
      <w:pPr>
        <w:pStyle w:val="Compact"/>
        <w:numPr>
          <w:ilvl w:val="0"/>
          <w:numId w:val="1007"/>
        </w:numPr>
      </w:pPr>
      <w:r>
        <w:t xml:space="preserve">building policy</w:t>
      </w:r>
    </w:p>
    <w:p>
      <w:pPr>
        <w:pStyle w:val="Compact"/>
        <w:numPr>
          <w:ilvl w:val="0"/>
          <w:numId w:val="1007"/>
        </w:numPr>
      </w:pPr>
      <w:r>
        <w:t xml:space="preserve">security approval</w:t>
      </w:r>
    </w:p>
    <w:p>
      <w:r>
        <w:pict>
          <v:rect style="width:0;height:1.5pt" o:hralign="center" o:hrstd="t" o:hr="t"/>
        </w:pict>
      </w:r>
    </w:p>
    <w:bookmarkEnd w:id="30"/>
    <w:bookmarkStart w:id="31" w:name="access-control"/>
    <w:p>
      <w:pPr>
        <w:pStyle w:val="Heading2"/>
      </w:pPr>
      <w:r>
        <w:t xml:space="preserve">Access Control</w:t>
      </w:r>
    </w:p>
    <w:p>
      <w:pPr>
        <w:pStyle w:val="FirstParagraph"/>
      </w:pPr>
      <w:r>
        <w:t xml:space="preserve">Access may be managed through:</w:t>
      </w:r>
    </w:p>
    <w:p>
      <w:pPr>
        <w:pStyle w:val="Compact"/>
        <w:numPr>
          <w:ilvl w:val="0"/>
          <w:numId w:val="1008"/>
        </w:numPr>
      </w:pPr>
      <w:r>
        <w:t xml:space="preserve">access cards</w:t>
      </w:r>
    </w:p>
    <w:p>
      <w:pPr>
        <w:pStyle w:val="Compact"/>
        <w:numPr>
          <w:ilvl w:val="0"/>
          <w:numId w:val="1008"/>
        </w:numPr>
      </w:pPr>
      <w:r>
        <w:t xml:space="preserve">mobile app access</w:t>
      </w:r>
    </w:p>
    <w:p>
      <w:pPr>
        <w:pStyle w:val="Compact"/>
        <w:numPr>
          <w:ilvl w:val="0"/>
          <w:numId w:val="1008"/>
        </w:numPr>
      </w:pPr>
      <w:r>
        <w:t xml:space="preserve">security registration</w:t>
      </w:r>
    </w:p>
    <w:p>
      <w:pPr>
        <w:pStyle w:val="Compact"/>
        <w:numPr>
          <w:ilvl w:val="0"/>
          <w:numId w:val="1008"/>
        </w:numPr>
      </w:pPr>
      <w:r>
        <w:t xml:space="preserve">visitor management systems</w:t>
      </w:r>
    </w:p>
    <w:p>
      <w:pPr>
        <w:pStyle w:val="FirstParagraph"/>
      </w:pPr>
      <w:r>
        <w:t xml:space="preserve">Lost access cards may incur replacement fees.</w:t>
      </w:r>
    </w:p>
    <w:p>
      <w:r>
        <w:pict>
          <v:rect style="width:0;height:1.5pt" o:hralign="center" o:hrstd="t" o:hr="t"/>
        </w:pict>
      </w:r>
    </w:p>
    <w:bookmarkEnd w:id="31"/>
    <w:bookmarkStart w:id="32" w:name="visitor-policy"/>
    <w:p>
      <w:pPr>
        <w:pStyle w:val="Heading2"/>
      </w:pPr>
      <w:r>
        <w:t xml:space="preserve">Visitor Policy</w:t>
      </w:r>
    </w:p>
    <w:p>
      <w:pPr>
        <w:pStyle w:val="FirstParagraph"/>
      </w:pPr>
      <w:r>
        <w:t xml:space="preserve">Customers may receive visitors during operational hours.</w:t>
      </w:r>
    </w:p>
    <w:p>
      <w:pPr>
        <w:pStyle w:val="BodyText"/>
      </w:pPr>
      <w:r>
        <w:t xml:space="preserve">Visitors may be required to:</w:t>
      </w:r>
    </w:p>
    <w:p>
      <w:pPr>
        <w:pStyle w:val="Compact"/>
        <w:numPr>
          <w:ilvl w:val="0"/>
          <w:numId w:val="1009"/>
        </w:numPr>
      </w:pPr>
      <w:r>
        <w:t xml:space="preserve">register at reception</w:t>
      </w:r>
    </w:p>
    <w:p>
      <w:pPr>
        <w:pStyle w:val="Compact"/>
        <w:numPr>
          <w:ilvl w:val="0"/>
          <w:numId w:val="1009"/>
        </w:numPr>
      </w:pPr>
      <w:r>
        <w:t xml:space="preserve">comply with building security procedures</w:t>
      </w:r>
    </w:p>
    <w:p>
      <w:pPr>
        <w:pStyle w:val="Compact"/>
        <w:numPr>
          <w:ilvl w:val="0"/>
          <w:numId w:val="1009"/>
        </w:numPr>
      </w:pPr>
      <w:r>
        <w:t xml:space="preserve">remain within authorised areas</w:t>
      </w:r>
    </w:p>
    <w:p>
      <w:pPr>
        <w:pStyle w:val="FirstParagraph"/>
      </w:pPr>
      <w:r>
        <w:t xml:space="preserve">Excessive guest usage may require meeting room booking.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eeting-room-usage"/>
    <w:p>
      <w:pPr>
        <w:pStyle w:val="Heading1"/>
      </w:pPr>
      <w:r>
        <w:t xml:space="preserve">Meeting Room Usage</w:t>
      </w:r>
    </w:p>
    <w:bookmarkStart w:id="34" w:name="included-usage"/>
    <w:p>
      <w:pPr>
        <w:pStyle w:val="Heading2"/>
      </w:pPr>
      <w:r>
        <w:t xml:space="preserve">Included Usage</w:t>
      </w:r>
    </w:p>
    <w:p>
      <w:pPr>
        <w:pStyle w:val="FirstParagraph"/>
      </w:pPr>
      <w:r>
        <w:t xml:space="preserve">Some serviced office packages may include meeting room credits.</w:t>
      </w:r>
    </w:p>
    <w:p>
      <w:pPr>
        <w:pStyle w:val="BodyText"/>
      </w:pPr>
      <w:r>
        <w:t xml:space="preserve">Credits may:</w:t>
      </w:r>
    </w:p>
    <w:p>
      <w:pPr>
        <w:pStyle w:val="Compact"/>
        <w:numPr>
          <w:ilvl w:val="0"/>
          <w:numId w:val="1010"/>
        </w:numPr>
      </w:pPr>
      <w:r>
        <w:t xml:space="preserve">reset monthly</w:t>
      </w:r>
    </w:p>
    <w:p>
      <w:pPr>
        <w:pStyle w:val="Compact"/>
        <w:numPr>
          <w:ilvl w:val="0"/>
          <w:numId w:val="1010"/>
        </w:numPr>
      </w:pPr>
      <w:r>
        <w:t xml:space="preserve">expire monthly</w:t>
      </w:r>
    </w:p>
    <w:p>
      <w:pPr>
        <w:pStyle w:val="Compact"/>
        <w:numPr>
          <w:ilvl w:val="0"/>
          <w:numId w:val="1010"/>
        </w:numPr>
      </w:pPr>
      <w:r>
        <w:t xml:space="preserve">vary by office size or package</w:t>
      </w:r>
    </w:p>
    <w:p>
      <w:r>
        <w:pict>
          <v:rect style="width:0;height:1.5pt" o:hralign="center" o:hrstd="t" o:hr="t"/>
        </w:pict>
      </w:r>
    </w:p>
    <w:bookmarkEnd w:id="34"/>
    <w:bookmarkStart w:id="35" w:name="additional-meeting-room-usage"/>
    <w:p>
      <w:pPr>
        <w:pStyle w:val="Heading2"/>
      </w:pPr>
      <w:r>
        <w:t xml:space="preserve">Additional Meeting Room Usage</w:t>
      </w:r>
    </w:p>
    <w:p>
      <w:pPr>
        <w:pStyle w:val="FirstParagraph"/>
      </w:pPr>
      <w:r>
        <w:t xml:space="preserve">Additional meeting room usage may be charged separately.</w:t>
      </w:r>
    </w:p>
    <w:p>
      <w:pPr>
        <w:pStyle w:val="BodyText"/>
      </w:pPr>
      <w:r>
        <w:t xml:space="preserve">Pricing may vary depending on:</w:t>
      </w:r>
    </w:p>
    <w:p>
      <w:pPr>
        <w:pStyle w:val="Compact"/>
        <w:numPr>
          <w:ilvl w:val="0"/>
          <w:numId w:val="1011"/>
        </w:numPr>
      </w:pPr>
      <w:r>
        <w:t xml:space="preserve">room size</w:t>
      </w:r>
    </w:p>
    <w:p>
      <w:pPr>
        <w:pStyle w:val="Compact"/>
        <w:numPr>
          <w:ilvl w:val="0"/>
          <w:numId w:val="1011"/>
        </w:numPr>
      </w:pPr>
      <w:r>
        <w:t xml:space="preserve">booking duration</w:t>
      </w:r>
    </w:p>
    <w:p>
      <w:pPr>
        <w:pStyle w:val="Compact"/>
        <w:numPr>
          <w:ilvl w:val="0"/>
          <w:numId w:val="1011"/>
        </w:numPr>
      </w:pPr>
      <w:r>
        <w:t xml:space="preserve">equipment required</w:t>
      </w:r>
    </w:p>
    <w:p>
      <w:pPr>
        <w:pStyle w:val="Compact"/>
        <w:numPr>
          <w:ilvl w:val="0"/>
          <w:numId w:val="1011"/>
        </w:numPr>
      </w:pPr>
      <w:r>
        <w:t xml:space="preserve">catering requests</w:t>
      </w:r>
    </w:p>
    <w:p>
      <w:pPr>
        <w:pStyle w:val="FirstParagraph"/>
      </w:pPr>
      <w:r>
        <w:t xml:space="preserve">Advance booking is recommended.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rnet-technology"/>
    <w:p>
      <w:pPr>
        <w:pStyle w:val="Heading1"/>
      </w:pPr>
      <w:r>
        <w:t xml:space="preserve">Internet &amp; Technology</w:t>
      </w:r>
    </w:p>
    <w:bookmarkStart w:id="37" w:name="standard-internet"/>
    <w:p>
      <w:pPr>
        <w:pStyle w:val="Heading2"/>
      </w:pPr>
      <w:r>
        <w:t xml:space="preserve">Standard Internet</w:t>
      </w:r>
    </w:p>
    <w:p>
      <w:pPr>
        <w:pStyle w:val="FirstParagraph"/>
      </w:pPr>
      <w:r>
        <w:t xml:space="preserve">Business-grade Wi-Fi internet is generally included.</w:t>
      </w:r>
    </w:p>
    <w:p>
      <w:pPr>
        <w:pStyle w:val="BodyText"/>
      </w:pPr>
      <w:r>
        <w:t xml:space="preserve">Internet is intended for standard professional usage.</w:t>
      </w:r>
    </w:p>
    <w:p>
      <w:r>
        <w:pict>
          <v:rect style="width:0;height:1.5pt" o:hralign="center" o:hrstd="t" o:hr="t"/>
        </w:pict>
      </w:r>
    </w:p>
    <w:bookmarkEnd w:id="37"/>
    <w:bookmarkStart w:id="38" w:name="dedicated-internet"/>
    <w:p>
      <w:pPr>
        <w:pStyle w:val="Heading2"/>
      </w:pPr>
      <w:r>
        <w:t xml:space="preserve">Dedicated Internet</w:t>
      </w:r>
    </w:p>
    <w:p>
      <w:pPr>
        <w:pStyle w:val="FirstParagraph"/>
      </w:pPr>
      <w:r>
        <w:t xml:space="preserve">Dedicated or upgraded internet services may be available as optional add-ons.</w:t>
      </w:r>
    </w:p>
    <w:p>
      <w:pPr>
        <w:pStyle w:val="BodyText"/>
      </w:pPr>
      <w:r>
        <w:t xml:space="preserve">Enhanced services may include:</w:t>
      </w:r>
    </w:p>
    <w:p>
      <w:pPr>
        <w:pStyle w:val="Compact"/>
        <w:numPr>
          <w:ilvl w:val="0"/>
          <w:numId w:val="1012"/>
        </w:numPr>
      </w:pPr>
      <w:r>
        <w:t xml:space="preserve">private VLAN</w:t>
      </w:r>
    </w:p>
    <w:p>
      <w:pPr>
        <w:pStyle w:val="Compact"/>
        <w:numPr>
          <w:ilvl w:val="0"/>
          <w:numId w:val="1012"/>
        </w:numPr>
      </w:pPr>
      <w:r>
        <w:t xml:space="preserve">dedicated bandwidth</w:t>
      </w:r>
    </w:p>
    <w:p>
      <w:pPr>
        <w:pStyle w:val="Compact"/>
        <w:numPr>
          <w:ilvl w:val="0"/>
          <w:numId w:val="1012"/>
        </w:numPr>
      </w:pPr>
      <w:r>
        <w:t xml:space="preserve">static IP</w:t>
      </w:r>
    </w:p>
    <w:p>
      <w:pPr>
        <w:pStyle w:val="Compact"/>
        <w:numPr>
          <w:ilvl w:val="0"/>
          <w:numId w:val="1012"/>
        </w:numPr>
      </w:pPr>
      <w:r>
        <w:t xml:space="preserve">enhanced security configuration</w:t>
      </w:r>
    </w:p>
    <w:p>
      <w:pPr>
        <w:pStyle w:val="FirstParagraph"/>
      </w:pPr>
      <w:r>
        <w:t xml:space="preserve">Availability depends on centre infrastructure.</w:t>
      </w:r>
    </w:p>
    <w:p>
      <w:r>
        <w:pict>
          <v:rect style="width:0;height:1.5pt" o:hralign="center" o:hrstd="t" o:hr="t"/>
        </w:pict>
      </w:r>
    </w:p>
    <w:bookmarkEnd w:id="38"/>
    <w:bookmarkStart w:id="39" w:name="server-equipment-restrictions"/>
    <w:p>
      <w:pPr>
        <w:pStyle w:val="Heading2"/>
      </w:pPr>
      <w:r>
        <w:t xml:space="preserve">Server &amp; Equipment Restrictions</w:t>
      </w:r>
    </w:p>
    <w:p>
      <w:pPr>
        <w:pStyle w:val="FirstParagraph"/>
      </w:pPr>
      <w:r>
        <w:t xml:space="preserve">Heavy server infrastructure, excessive power consumption or unauthorised networking equipment may require approval.</w:t>
      </w:r>
    </w:p>
    <w:p>
      <w:pPr>
        <w:pStyle w:val="BodyText"/>
      </w:pPr>
      <w:r>
        <w:t xml:space="preserve">Data centre or enterprise-grade infrastructure requirements should be escalated to the IT or sales team.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mail-package-handling"/>
    <w:p>
      <w:pPr>
        <w:pStyle w:val="Heading1"/>
      </w:pPr>
      <w:r>
        <w:t xml:space="preserve">Mail &amp; Package Handling</w:t>
      </w:r>
    </w:p>
    <w:bookmarkStart w:id="41" w:name="mail-receiving"/>
    <w:p>
      <w:pPr>
        <w:pStyle w:val="Heading2"/>
      </w:pPr>
      <w:r>
        <w:t xml:space="preserve">Mail Receiving</w:t>
      </w:r>
    </w:p>
    <w:p>
      <w:pPr>
        <w:pStyle w:val="FirstParagraph"/>
      </w:pPr>
      <w:r>
        <w:t xml:space="preserve">Standard business mail may be received during business hours.</w:t>
      </w:r>
    </w:p>
    <w:p>
      <w:pPr>
        <w:pStyle w:val="BodyText"/>
      </w:pPr>
      <w:r>
        <w:t xml:space="preserve">Mail may be:</w:t>
      </w:r>
    </w:p>
    <w:p>
      <w:pPr>
        <w:pStyle w:val="Compact"/>
        <w:numPr>
          <w:ilvl w:val="0"/>
          <w:numId w:val="1013"/>
        </w:numPr>
      </w:pPr>
      <w:r>
        <w:t xml:space="preserve">held for collection</w:t>
      </w:r>
    </w:p>
    <w:p>
      <w:pPr>
        <w:pStyle w:val="Compact"/>
        <w:numPr>
          <w:ilvl w:val="0"/>
          <w:numId w:val="1013"/>
        </w:numPr>
      </w:pPr>
      <w:r>
        <w:t xml:space="preserve">distributed internally</w:t>
      </w:r>
    </w:p>
    <w:p>
      <w:pPr>
        <w:pStyle w:val="Compact"/>
        <w:numPr>
          <w:ilvl w:val="0"/>
          <w:numId w:val="1013"/>
        </w:numPr>
      </w:pPr>
      <w:r>
        <w:t xml:space="preserve">notified electronically</w:t>
      </w:r>
    </w:p>
    <w:p>
      <w:r>
        <w:pict>
          <v:rect style="width:0;height:1.5pt" o:hralign="center" o:hrstd="t" o:hr="t"/>
        </w:pict>
      </w:r>
    </w:p>
    <w:bookmarkEnd w:id="41"/>
    <w:bookmarkStart w:id="42" w:name="parcel-handling"/>
    <w:p>
      <w:pPr>
        <w:pStyle w:val="Heading2"/>
      </w:pPr>
      <w:r>
        <w:t xml:space="preserve">Parcel Handling</w:t>
      </w:r>
    </w:p>
    <w:p>
      <w:pPr>
        <w:pStyle w:val="FirstParagraph"/>
      </w:pPr>
      <w:r>
        <w:t xml:space="preserve">Reasonable parcel handling is generally supported.</w:t>
      </w:r>
    </w:p>
    <w:p>
      <w:pPr>
        <w:pStyle w:val="BodyText"/>
      </w:pPr>
      <w:r>
        <w:t xml:space="preserve">The following may be restricted:</w:t>
      </w:r>
    </w:p>
    <w:p>
      <w:pPr>
        <w:pStyle w:val="Compact"/>
        <w:numPr>
          <w:ilvl w:val="0"/>
          <w:numId w:val="1014"/>
        </w:numPr>
      </w:pPr>
      <w:r>
        <w:t xml:space="preserve">oversized deliveries</w:t>
      </w:r>
    </w:p>
    <w:p>
      <w:pPr>
        <w:pStyle w:val="Compact"/>
        <w:numPr>
          <w:ilvl w:val="0"/>
          <w:numId w:val="1014"/>
        </w:numPr>
      </w:pPr>
      <w:r>
        <w:t xml:space="preserve">pallet shipments</w:t>
      </w:r>
    </w:p>
    <w:p>
      <w:pPr>
        <w:pStyle w:val="Compact"/>
        <w:numPr>
          <w:ilvl w:val="0"/>
          <w:numId w:val="1014"/>
        </w:numPr>
      </w:pPr>
      <w:r>
        <w:t xml:space="preserve">hazardous materials</w:t>
      </w:r>
    </w:p>
    <w:p>
      <w:pPr>
        <w:pStyle w:val="Compact"/>
        <w:numPr>
          <w:ilvl w:val="0"/>
          <w:numId w:val="1014"/>
        </w:numPr>
      </w:pPr>
      <w:r>
        <w:t xml:space="preserve">refrigerated goods</w:t>
      </w:r>
    </w:p>
    <w:p>
      <w:pPr>
        <w:pStyle w:val="Compact"/>
        <w:numPr>
          <w:ilvl w:val="0"/>
          <w:numId w:val="1014"/>
        </w:numPr>
      </w:pPr>
      <w:r>
        <w:t xml:space="preserve">excessive inventory storage</w:t>
      </w:r>
    </w:p>
    <w:p>
      <w:pPr>
        <w:pStyle w:val="FirstParagraph"/>
      </w:pPr>
      <w:r>
        <w:t xml:space="preserve">Storage fees may apply for uncollected items.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commercial-terms"/>
    <w:p>
      <w:pPr>
        <w:pStyle w:val="Heading1"/>
      </w:pPr>
      <w:r>
        <w:t xml:space="preserve">Commercial Terms</w:t>
      </w:r>
    </w:p>
    <w:bookmarkStart w:id="44" w:name="billing-cycle"/>
    <w:p>
      <w:pPr>
        <w:pStyle w:val="Heading2"/>
      </w:pPr>
      <w:r>
        <w:t xml:space="preserve">Billing Cycle</w:t>
      </w:r>
    </w:p>
    <w:p>
      <w:pPr>
        <w:pStyle w:val="FirstParagraph"/>
      </w:pPr>
      <w:r>
        <w:t xml:space="preserve">Serviced Offices are commonly billed monthly.</w:t>
      </w:r>
    </w:p>
    <w:p>
      <w:pPr>
        <w:pStyle w:val="BodyText"/>
      </w:pPr>
      <w:r>
        <w:t xml:space="preserve">Other billing arrangements may be available for enterprise agreements.</w:t>
      </w:r>
    </w:p>
    <w:p>
      <w:r>
        <w:pict>
          <v:rect style="width:0;height:1.5pt" o:hralign="center" o:hrstd="t" o:hr="t"/>
        </w:pict>
      </w:r>
    </w:p>
    <w:bookmarkEnd w:id="44"/>
    <w:bookmarkStart w:id="45" w:name="deposit-policy"/>
    <w:p>
      <w:pPr>
        <w:pStyle w:val="Heading2"/>
      </w:pPr>
      <w:r>
        <w:t xml:space="preserve">Deposit Policy</w:t>
      </w:r>
    </w:p>
    <w:p>
      <w:pPr>
        <w:pStyle w:val="FirstParagraph"/>
      </w:pPr>
      <w:r>
        <w:t xml:space="preserve">Deposits are commonly required and may vary depending on:</w:t>
      </w:r>
    </w:p>
    <w:p>
      <w:pPr>
        <w:pStyle w:val="Compact"/>
        <w:numPr>
          <w:ilvl w:val="0"/>
          <w:numId w:val="1015"/>
        </w:numPr>
      </w:pPr>
      <w:r>
        <w:t xml:space="preserve">office size</w:t>
      </w:r>
    </w:p>
    <w:p>
      <w:pPr>
        <w:pStyle w:val="Compact"/>
        <w:numPr>
          <w:ilvl w:val="0"/>
          <w:numId w:val="1015"/>
        </w:numPr>
      </w:pPr>
      <w:r>
        <w:t xml:space="preserve">contract duration</w:t>
      </w:r>
    </w:p>
    <w:p>
      <w:pPr>
        <w:pStyle w:val="Compact"/>
        <w:numPr>
          <w:ilvl w:val="0"/>
          <w:numId w:val="1015"/>
        </w:numPr>
      </w:pPr>
      <w:r>
        <w:t xml:space="preserve">payment profile</w:t>
      </w:r>
    </w:p>
    <w:p>
      <w:pPr>
        <w:pStyle w:val="Compact"/>
        <w:numPr>
          <w:ilvl w:val="0"/>
          <w:numId w:val="1015"/>
        </w:numPr>
      </w:pPr>
      <w:r>
        <w:t xml:space="preserve">jurisdiction</w:t>
      </w:r>
    </w:p>
    <w:p>
      <w:r>
        <w:pict>
          <v:rect style="width:0;height:1.5pt" o:hralign="center" o:hrstd="t" o:hr="t"/>
        </w:pict>
      </w:r>
    </w:p>
    <w:bookmarkEnd w:id="45"/>
    <w:bookmarkStart w:id="46" w:name="minimum-commitment"/>
    <w:p>
      <w:pPr>
        <w:pStyle w:val="Heading2"/>
      </w:pPr>
      <w:r>
        <w:t xml:space="preserve">Minimum Commitment</w:t>
      </w:r>
    </w:p>
    <w:p>
      <w:pPr>
        <w:pStyle w:val="FirstParagraph"/>
      </w:pPr>
      <w:r>
        <w:t xml:space="preserve">Minimum commitment periods may apply depending on:</w:t>
      </w:r>
    </w:p>
    <w:p>
      <w:pPr>
        <w:pStyle w:val="Compact"/>
        <w:numPr>
          <w:ilvl w:val="0"/>
          <w:numId w:val="1016"/>
        </w:numPr>
      </w:pPr>
      <w:r>
        <w:t xml:space="preserve">office type</w:t>
      </w:r>
    </w:p>
    <w:p>
      <w:pPr>
        <w:pStyle w:val="Compact"/>
        <w:numPr>
          <w:ilvl w:val="0"/>
          <w:numId w:val="1016"/>
        </w:numPr>
      </w:pPr>
      <w:r>
        <w:t xml:space="preserve">promotional offers</w:t>
      </w:r>
    </w:p>
    <w:p>
      <w:pPr>
        <w:pStyle w:val="Compact"/>
        <w:numPr>
          <w:ilvl w:val="0"/>
          <w:numId w:val="1016"/>
        </w:numPr>
      </w:pPr>
      <w:r>
        <w:t xml:space="preserve">customisation requirements</w:t>
      </w:r>
    </w:p>
    <w:p>
      <w:pPr>
        <w:pStyle w:val="FirstParagraph"/>
      </w:pPr>
      <w:r>
        <w:t xml:space="preserve">Longer commitments may qualify for better pricing.</w:t>
      </w:r>
    </w:p>
    <w:p>
      <w:r>
        <w:pict>
          <v:rect style="width:0;height:1.5pt" o:hralign="center" o:hrstd="t" o:hr="t"/>
        </w:pict>
      </w:r>
    </w:p>
    <w:bookmarkEnd w:id="46"/>
    <w:bookmarkStart w:id="47" w:name="cancellation-policy"/>
    <w:p>
      <w:pPr>
        <w:pStyle w:val="Heading2"/>
      </w:pPr>
      <w:r>
        <w:t xml:space="preserve">Cancellation Policy</w:t>
      </w:r>
    </w:p>
    <w:p>
      <w:pPr>
        <w:pStyle w:val="FirstParagraph"/>
      </w:pPr>
      <w:r>
        <w:t xml:space="preserve">Advance written notice is generally required for cancellation.</w:t>
      </w:r>
    </w:p>
    <w:p>
      <w:pPr>
        <w:pStyle w:val="BodyText"/>
      </w:pPr>
      <w:r>
        <w:t xml:space="preserve">Early termination charges may apply depending on agreement terms.</w:t>
      </w:r>
    </w:p>
    <w:p>
      <w:r>
        <w:pict>
          <v:rect style="width:0;height:1.5pt" o:hralign="center" o:hrstd="t" o:hr="t"/>
        </w:pict>
      </w:r>
    </w:p>
    <w:bookmarkEnd w:id="47"/>
    <w:bookmarkStart w:id="48" w:name="upgrade-expansion"/>
    <w:p>
      <w:pPr>
        <w:pStyle w:val="Heading2"/>
      </w:pPr>
      <w:r>
        <w:t xml:space="preserve">Upgrade &amp; Expansion</w:t>
      </w:r>
    </w:p>
    <w:p>
      <w:pPr>
        <w:pStyle w:val="FirstParagraph"/>
      </w:pPr>
      <w:r>
        <w:t xml:space="preserve">Customers may usually:</w:t>
      </w:r>
    </w:p>
    <w:p>
      <w:pPr>
        <w:pStyle w:val="Compact"/>
        <w:numPr>
          <w:ilvl w:val="0"/>
          <w:numId w:val="1017"/>
        </w:numPr>
      </w:pPr>
      <w:r>
        <w:t xml:space="preserve">expand office size</w:t>
      </w:r>
    </w:p>
    <w:p>
      <w:pPr>
        <w:pStyle w:val="Compact"/>
        <w:numPr>
          <w:ilvl w:val="0"/>
          <w:numId w:val="1017"/>
        </w:numPr>
      </w:pPr>
      <w:r>
        <w:t xml:space="preserve">add additional offices</w:t>
      </w:r>
    </w:p>
    <w:p>
      <w:pPr>
        <w:pStyle w:val="Compact"/>
        <w:numPr>
          <w:ilvl w:val="0"/>
          <w:numId w:val="1017"/>
        </w:numPr>
      </w:pPr>
      <w:r>
        <w:t xml:space="preserve">upgrade services</w:t>
      </w:r>
    </w:p>
    <w:p>
      <w:pPr>
        <w:pStyle w:val="Compact"/>
        <w:numPr>
          <w:ilvl w:val="0"/>
          <w:numId w:val="1017"/>
        </w:numPr>
      </w:pPr>
      <w:r>
        <w:t xml:space="preserve">move to larger suites</w:t>
      </w:r>
    </w:p>
    <w:p>
      <w:pPr>
        <w:pStyle w:val="FirstParagraph"/>
      </w:pPr>
      <w:r>
        <w:t xml:space="preserve">Expansion is subject to centre availability.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ecurity-compliance"/>
    <w:p>
      <w:pPr>
        <w:pStyle w:val="Heading1"/>
      </w:pPr>
      <w:r>
        <w:t xml:space="preserve">Security &amp; Compliance</w:t>
      </w:r>
    </w:p>
    <w:bookmarkStart w:id="50" w:name="building-security"/>
    <w:p>
      <w:pPr>
        <w:pStyle w:val="Heading2"/>
      </w:pPr>
      <w:r>
        <w:t xml:space="preserve">Building Security</w:t>
      </w:r>
    </w:p>
    <w:p>
      <w:pPr>
        <w:pStyle w:val="FirstParagraph"/>
      </w:pPr>
      <w:r>
        <w:t xml:space="preserve">Security measures may include:</w:t>
      </w:r>
    </w:p>
    <w:p>
      <w:pPr>
        <w:pStyle w:val="Compact"/>
        <w:numPr>
          <w:ilvl w:val="0"/>
          <w:numId w:val="1018"/>
        </w:numPr>
      </w:pPr>
      <w:r>
        <w:t xml:space="preserve">CCTV</w:t>
      </w:r>
    </w:p>
    <w:p>
      <w:pPr>
        <w:pStyle w:val="Compact"/>
        <w:numPr>
          <w:ilvl w:val="0"/>
          <w:numId w:val="1018"/>
        </w:numPr>
      </w:pPr>
      <w:r>
        <w:t xml:space="preserve">access control systems</w:t>
      </w:r>
    </w:p>
    <w:p>
      <w:pPr>
        <w:pStyle w:val="Compact"/>
        <w:numPr>
          <w:ilvl w:val="0"/>
          <w:numId w:val="1018"/>
        </w:numPr>
      </w:pPr>
      <w:r>
        <w:t xml:space="preserve">staffed reception</w:t>
      </w:r>
    </w:p>
    <w:p>
      <w:pPr>
        <w:pStyle w:val="Compact"/>
        <w:numPr>
          <w:ilvl w:val="0"/>
          <w:numId w:val="1018"/>
        </w:numPr>
      </w:pPr>
      <w:r>
        <w:t xml:space="preserve">visitor registration</w:t>
      </w:r>
    </w:p>
    <w:p>
      <w:pPr>
        <w:pStyle w:val="FirstParagraph"/>
      </w:pPr>
      <w:r>
        <w:t xml:space="preserve">Security features vary by building.</w:t>
      </w:r>
    </w:p>
    <w:p>
      <w:r>
        <w:pict>
          <v:rect style="width:0;height:1.5pt" o:hralign="center" o:hrstd="t" o:hr="t"/>
        </w:pict>
      </w:r>
    </w:p>
    <w:bookmarkEnd w:id="50"/>
    <w:bookmarkStart w:id="51" w:name="acceptable-usage"/>
    <w:p>
      <w:pPr>
        <w:pStyle w:val="Heading2"/>
      </w:pPr>
      <w:r>
        <w:t xml:space="preserve">Acceptable Usage</w:t>
      </w:r>
    </w:p>
    <w:p>
      <w:pPr>
        <w:pStyle w:val="FirstParagraph"/>
      </w:pPr>
      <w:r>
        <w:t xml:space="preserve">Serviced Offices are intended for legitimate professional business activities.</w:t>
      </w:r>
    </w:p>
    <w:p>
      <w:pPr>
        <w:pStyle w:val="BodyText"/>
      </w:pPr>
      <w:r>
        <w:t xml:space="preserve">Restricted activities may include:</w:t>
      </w:r>
    </w:p>
    <w:p>
      <w:pPr>
        <w:pStyle w:val="Compact"/>
        <w:numPr>
          <w:ilvl w:val="0"/>
          <w:numId w:val="1019"/>
        </w:numPr>
      </w:pPr>
      <w:r>
        <w:t xml:space="preserve">illegal operations</w:t>
      </w:r>
    </w:p>
    <w:p>
      <w:pPr>
        <w:pStyle w:val="Compact"/>
        <w:numPr>
          <w:ilvl w:val="0"/>
          <w:numId w:val="1019"/>
        </w:numPr>
      </w:pPr>
      <w:r>
        <w:t xml:space="preserve">public retail storefronts</w:t>
      </w:r>
    </w:p>
    <w:p>
      <w:pPr>
        <w:pStyle w:val="Compact"/>
        <w:numPr>
          <w:ilvl w:val="0"/>
          <w:numId w:val="1019"/>
        </w:numPr>
      </w:pPr>
      <w:r>
        <w:t xml:space="preserve">manufacturing</w:t>
      </w:r>
    </w:p>
    <w:p>
      <w:pPr>
        <w:pStyle w:val="Compact"/>
        <w:numPr>
          <w:ilvl w:val="0"/>
          <w:numId w:val="1019"/>
        </w:numPr>
      </w:pPr>
      <w:r>
        <w:t xml:space="preserve">warehousing</w:t>
      </w:r>
    </w:p>
    <w:p>
      <w:pPr>
        <w:pStyle w:val="Compact"/>
        <w:numPr>
          <w:ilvl w:val="0"/>
          <w:numId w:val="1019"/>
        </w:numPr>
      </w:pPr>
      <w:r>
        <w:t xml:space="preserve">disruptive operations</w:t>
      </w:r>
    </w:p>
    <w:p>
      <w:r>
        <w:pict>
          <v:rect style="width:0;height:1.5pt" o:hralign="center" o:hrstd="t" o:hr="t"/>
        </w:pict>
      </w:r>
    </w:p>
    <w:bookmarkEnd w:id="51"/>
    <w:bookmarkStart w:id="52" w:name="regulatory-licensing-matters"/>
    <w:p>
      <w:pPr>
        <w:pStyle w:val="Heading2"/>
      </w:pPr>
      <w:r>
        <w:t xml:space="preserve">Regulatory &amp; Licensing Matters</w:t>
      </w:r>
    </w:p>
    <w:p>
      <w:pPr>
        <w:pStyle w:val="FirstParagraph"/>
      </w:pPr>
      <w:r>
        <w:t xml:space="preserve">Certain regulated businesses may require additional approval.</w:t>
      </w:r>
    </w:p>
    <w:p>
      <w:pPr>
        <w:pStyle w:val="BodyText"/>
      </w:pPr>
      <w:r>
        <w:t xml:space="preserve">The AI assistant must never guarantee:</w:t>
      </w:r>
    </w:p>
    <w:p>
      <w:pPr>
        <w:pStyle w:val="Compact"/>
        <w:numPr>
          <w:ilvl w:val="0"/>
          <w:numId w:val="1020"/>
        </w:numPr>
      </w:pPr>
      <w:r>
        <w:t xml:space="preserve">licensing eligibility</w:t>
      </w:r>
    </w:p>
    <w:p>
      <w:pPr>
        <w:pStyle w:val="Compact"/>
        <w:numPr>
          <w:ilvl w:val="0"/>
          <w:numId w:val="1020"/>
        </w:numPr>
      </w:pPr>
      <w:r>
        <w:t xml:space="preserve">regulatory approval</w:t>
      </w:r>
    </w:p>
    <w:p>
      <w:pPr>
        <w:pStyle w:val="Compact"/>
        <w:numPr>
          <w:ilvl w:val="0"/>
          <w:numId w:val="1020"/>
        </w:numPr>
      </w:pPr>
      <w:r>
        <w:t xml:space="preserve">government acceptance</w:t>
      </w:r>
    </w:p>
    <w:p>
      <w:pPr>
        <w:pStyle w:val="FirstParagraph"/>
      </w:pPr>
      <w:r>
        <w:t xml:space="preserve">Complex cases should be escalated to human staff.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faq-quick-answers"/>
    <w:p>
      <w:pPr>
        <w:pStyle w:val="Heading1"/>
      </w:pPr>
      <w:r>
        <w:t xml:space="preserve">FAQ Quick Answers</w:t>
      </w:r>
    </w:p>
    <w:bookmarkStart w:id="54" w:name="is-furniture-included"/>
    <w:p>
      <w:pPr>
        <w:pStyle w:val="Heading2"/>
      </w:pPr>
      <w:r>
        <w:t xml:space="preserve">Is furniture included?</w:t>
      </w:r>
    </w:p>
    <w:p>
      <w:pPr>
        <w:pStyle w:val="FirstParagraph"/>
      </w:pPr>
      <w:r>
        <w:t xml:space="preserve">Yes, serviced offices are typically fully furnished.</w:t>
      </w:r>
    </w:p>
    <w:p>
      <w:r>
        <w:pict>
          <v:rect style="width:0;height:1.5pt" o:hralign="center" o:hrstd="t" o:hr="t"/>
        </w:pict>
      </w:r>
    </w:p>
    <w:bookmarkEnd w:id="54"/>
    <w:bookmarkStart w:id="55" w:name="is-internet-included"/>
    <w:p>
      <w:pPr>
        <w:pStyle w:val="Heading2"/>
      </w:pPr>
      <w:r>
        <w:t xml:space="preserve">Is internet included?</w:t>
      </w:r>
    </w:p>
    <w:p>
      <w:pPr>
        <w:pStyle w:val="FirstParagraph"/>
      </w:pPr>
      <w:r>
        <w:t xml:space="preserve">Yes, standard business internet is generally included.</w:t>
      </w:r>
    </w:p>
    <w:p>
      <w:r>
        <w:pict>
          <v:rect style="width:0;height:1.5pt" o:hralign="center" o:hrstd="t" o:hr="t"/>
        </w:pict>
      </w:r>
    </w:p>
    <w:bookmarkEnd w:id="55"/>
    <w:bookmarkStart w:id="56" w:name="can-my-team-expand-later"/>
    <w:p>
      <w:pPr>
        <w:pStyle w:val="Heading2"/>
      </w:pPr>
      <w:r>
        <w:t xml:space="preserve">Can my team expand later?</w:t>
      </w:r>
    </w:p>
    <w:p>
      <w:pPr>
        <w:pStyle w:val="FirstParagraph"/>
      </w:pPr>
      <w:r>
        <w:t xml:space="preserve">Usually yes, subject to availability.</w:t>
      </w:r>
    </w:p>
    <w:p>
      <w:r>
        <w:pict>
          <v:rect style="width:0;height:1.5pt" o:hralign="center" o:hrstd="t" o:hr="t"/>
        </w:pict>
      </w:r>
    </w:p>
    <w:bookmarkEnd w:id="56"/>
    <w:bookmarkStart w:id="57" w:name="can-clients-visit-the-office"/>
    <w:p>
      <w:pPr>
        <w:pStyle w:val="Heading2"/>
      </w:pPr>
      <w:r>
        <w:t xml:space="preserve">Can clients visit the office?</w:t>
      </w:r>
    </w:p>
    <w:p>
      <w:pPr>
        <w:pStyle w:val="FirstParagraph"/>
      </w:pPr>
      <w:r>
        <w:t xml:space="preserve">Yes, visitors are generally permitted subject to building policies.</w:t>
      </w:r>
    </w:p>
    <w:p>
      <w:r>
        <w:pict>
          <v:rect style="width:0;height:1.5pt" o:hralign="center" o:hrstd="t" o:hr="t"/>
        </w:pict>
      </w:r>
    </w:p>
    <w:bookmarkEnd w:id="57"/>
    <w:bookmarkStart w:id="58" w:name="is-cleaning-included"/>
    <w:p>
      <w:pPr>
        <w:pStyle w:val="Heading2"/>
      </w:pPr>
      <w:r>
        <w:t xml:space="preserve">Is cleaning included?</w:t>
      </w:r>
    </w:p>
    <w:p>
      <w:pPr>
        <w:pStyle w:val="FirstParagraph"/>
      </w:pPr>
      <w:r>
        <w:t xml:space="preserve">Yes, standard office cleaning is usually included.</w:t>
      </w:r>
    </w:p>
    <w:p>
      <w:r>
        <w:pict>
          <v:rect style="width:0;height:1.5pt" o:hralign="center" o:hrstd="t" o:hr="t"/>
        </w:pict>
      </w:r>
    </w:p>
    <w:bookmarkEnd w:id="58"/>
    <w:bookmarkStart w:id="59" w:name="can-i-access-the-office-after-hours"/>
    <w:p>
      <w:pPr>
        <w:pStyle w:val="Heading2"/>
      </w:pPr>
      <w:r>
        <w:t xml:space="preserve">Can I access the office after hours?</w:t>
      </w:r>
    </w:p>
    <w:p>
      <w:pPr>
        <w:pStyle w:val="FirstParagraph"/>
      </w:pPr>
      <w:r>
        <w:t xml:space="preserve">Some packages and buildings may support extended or 24/7 access.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i-behaviour-rules"/>
    <w:p>
      <w:pPr>
        <w:pStyle w:val="Heading1"/>
      </w:pPr>
      <w:r>
        <w:t xml:space="preserve">AI Behaviour Rules</w:t>
      </w:r>
    </w:p>
    <w:bookmarkStart w:id="61" w:name="ai-should-recommend-this-product-when"/>
    <w:p>
      <w:pPr>
        <w:pStyle w:val="Heading2"/>
      </w:pPr>
      <w:r>
        <w:t xml:space="preserve">AI SHOULD Recommend This Product When</w:t>
      </w:r>
    </w:p>
    <w:p>
      <w:pPr>
        <w:pStyle w:val="Compact"/>
        <w:numPr>
          <w:ilvl w:val="0"/>
          <w:numId w:val="1021"/>
        </w:numPr>
      </w:pPr>
      <w:r>
        <w:t xml:space="preserve">user needs private office</w:t>
      </w:r>
    </w:p>
    <w:p>
      <w:pPr>
        <w:pStyle w:val="Compact"/>
        <w:numPr>
          <w:ilvl w:val="0"/>
          <w:numId w:val="1021"/>
        </w:numPr>
      </w:pPr>
      <w:r>
        <w:t xml:space="preserve">user has team members</w:t>
      </w:r>
    </w:p>
    <w:p>
      <w:pPr>
        <w:pStyle w:val="Compact"/>
        <w:numPr>
          <w:ilvl w:val="0"/>
          <w:numId w:val="1021"/>
        </w:numPr>
      </w:pPr>
      <w:r>
        <w:t xml:space="preserve">user needs professional setup</w:t>
      </w:r>
    </w:p>
    <w:p>
      <w:pPr>
        <w:pStyle w:val="Compact"/>
        <w:numPr>
          <w:ilvl w:val="0"/>
          <w:numId w:val="1021"/>
        </w:numPr>
      </w:pPr>
      <w:r>
        <w:t xml:space="preserve">user needs move-in-ready office</w:t>
      </w:r>
    </w:p>
    <w:p>
      <w:pPr>
        <w:pStyle w:val="Compact"/>
        <w:numPr>
          <w:ilvl w:val="0"/>
          <w:numId w:val="1021"/>
        </w:numPr>
      </w:pPr>
      <w:r>
        <w:t xml:space="preserve">user needs long-term workspace</w:t>
      </w:r>
    </w:p>
    <w:p>
      <w:pPr>
        <w:pStyle w:val="Compact"/>
        <w:numPr>
          <w:ilvl w:val="0"/>
          <w:numId w:val="1021"/>
        </w:numPr>
      </w:pPr>
      <w:r>
        <w:t xml:space="preserve">user requires client-facing environment</w:t>
      </w:r>
    </w:p>
    <w:p>
      <w:r>
        <w:pict>
          <v:rect style="width:0;height:1.5pt" o:hralign="center" o:hrstd="t" o:hr="t"/>
        </w:pict>
      </w:r>
    </w:p>
    <w:bookmarkEnd w:id="61"/>
    <w:bookmarkStart w:id="62" w:name="X2d0ea17ac61dc3eb80bea7ed608c1622f5cc3a4"/>
    <w:p>
      <w:pPr>
        <w:pStyle w:val="Heading2"/>
      </w:pPr>
      <w:r>
        <w:t xml:space="preserve">AI SHOULD NOT Recommend This Product When</w:t>
      </w:r>
    </w:p>
    <w:p>
      <w:pPr>
        <w:pStyle w:val="Compact"/>
        <w:numPr>
          <w:ilvl w:val="0"/>
          <w:numId w:val="1022"/>
        </w:numPr>
      </w:pPr>
      <w:r>
        <w:t xml:space="preserve">user only needs occasional workspace</w:t>
      </w:r>
    </w:p>
    <w:p>
      <w:pPr>
        <w:pStyle w:val="Compact"/>
        <w:numPr>
          <w:ilvl w:val="0"/>
          <w:numId w:val="1022"/>
        </w:numPr>
      </w:pPr>
      <w:r>
        <w:t xml:space="preserve">user only needs mailing address</w:t>
      </w:r>
    </w:p>
    <w:p>
      <w:pPr>
        <w:pStyle w:val="Compact"/>
        <w:numPr>
          <w:ilvl w:val="0"/>
          <w:numId w:val="1022"/>
        </w:numPr>
      </w:pPr>
      <w:r>
        <w:t xml:space="preserve">user only needs hourly access</w:t>
      </w:r>
    </w:p>
    <w:p>
      <w:pPr>
        <w:pStyle w:val="Compact"/>
        <w:numPr>
          <w:ilvl w:val="0"/>
          <w:numId w:val="1022"/>
        </w:numPr>
      </w:pPr>
      <w:r>
        <w:t xml:space="preserve">user requires warehouse usage</w:t>
      </w:r>
    </w:p>
    <w:p>
      <w:r>
        <w:pict>
          <v:rect style="width:0;height:1.5pt" o:hralign="center" o:hrstd="t" o:hr="t"/>
        </w:pict>
      </w:r>
    </w:p>
    <w:bookmarkEnd w:id="62"/>
    <w:bookmarkStart w:id="63" w:name="ai-must-escalate-to-human-when"/>
    <w:p>
      <w:pPr>
        <w:pStyle w:val="Heading2"/>
      </w:pPr>
      <w:r>
        <w:t xml:space="preserve">AI MUST Escalate To Human When</w:t>
      </w:r>
    </w:p>
    <w:p>
      <w:pPr>
        <w:pStyle w:val="Compact"/>
        <w:numPr>
          <w:ilvl w:val="0"/>
          <w:numId w:val="1023"/>
        </w:numPr>
      </w:pPr>
      <w:r>
        <w:t xml:space="preserve">enterprise requirements involved</w:t>
      </w:r>
    </w:p>
    <w:p>
      <w:pPr>
        <w:pStyle w:val="Compact"/>
        <w:numPr>
          <w:ilvl w:val="0"/>
          <w:numId w:val="1023"/>
        </w:numPr>
      </w:pPr>
      <w:r>
        <w:t xml:space="preserve">custom fit-out requested</w:t>
      </w:r>
    </w:p>
    <w:p>
      <w:pPr>
        <w:pStyle w:val="Compact"/>
        <w:numPr>
          <w:ilvl w:val="0"/>
          <w:numId w:val="1023"/>
        </w:numPr>
      </w:pPr>
      <w:r>
        <w:t xml:space="preserve">specialised IT/security requested</w:t>
      </w:r>
    </w:p>
    <w:p>
      <w:pPr>
        <w:pStyle w:val="Compact"/>
        <w:numPr>
          <w:ilvl w:val="0"/>
          <w:numId w:val="1023"/>
        </w:numPr>
      </w:pPr>
      <w:r>
        <w:t xml:space="preserve">licensing questions arise</w:t>
      </w:r>
    </w:p>
    <w:p>
      <w:pPr>
        <w:pStyle w:val="Compact"/>
        <w:numPr>
          <w:ilvl w:val="0"/>
          <w:numId w:val="1023"/>
        </w:numPr>
      </w:pPr>
      <w:r>
        <w:t xml:space="preserve">regulated industries mentioned</w:t>
      </w:r>
    </w:p>
    <w:p>
      <w:pPr>
        <w:pStyle w:val="Compact"/>
        <w:numPr>
          <w:ilvl w:val="0"/>
          <w:numId w:val="1023"/>
        </w:numPr>
      </w:pPr>
      <w:r>
        <w:t xml:space="preserve">multi-country deployment requested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ynamic-fields"/>
    <w:p>
      <w:pPr>
        <w:pStyle w:val="Heading1"/>
      </w:pPr>
      <w:r>
        <w:t xml:space="preserve">Dynamic Fields</w:t>
      </w:r>
    </w:p>
    <w:p>
      <w:pPr>
        <w:pStyle w:val="FirstParagraph"/>
      </w:pPr>
      <w:r>
        <w:t xml:space="preserve">These fields should ideally come from live systems:</w:t>
      </w:r>
    </w:p>
    <w:p>
      <w:pPr>
        <w:pStyle w:val="Compact"/>
        <w:numPr>
          <w:ilvl w:val="0"/>
          <w:numId w:val="1024"/>
        </w:numPr>
      </w:pPr>
      <w:r>
        <w:t xml:space="preserve">pricing</w:t>
      </w:r>
    </w:p>
    <w:p>
      <w:pPr>
        <w:pStyle w:val="Compact"/>
        <w:numPr>
          <w:ilvl w:val="0"/>
          <w:numId w:val="1024"/>
        </w:numPr>
      </w:pPr>
      <w:r>
        <w:t xml:space="preserve">current availability</w:t>
      </w:r>
    </w:p>
    <w:p>
      <w:pPr>
        <w:pStyle w:val="Compact"/>
        <w:numPr>
          <w:ilvl w:val="0"/>
          <w:numId w:val="1024"/>
        </w:numPr>
      </w:pPr>
      <w:r>
        <w:t xml:space="preserve">office sizes available</w:t>
      </w:r>
    </w:p>
    <w:p>
      <w:pPr>
        <w:pStyle w:val="Compact"/>
        <w:numPr>
          <w:ilvl w:val="0"/>
          <w:numId w:val="1024"/>
        </w:numPr>
      </w:pPr>
      <w:r>
        <w:t xml:space="preserve">promotions</w:t>
      </w:r>
    </w:p>
    <w:p>
      <w:pPr>
        <w:pStyle w:val="Compact"/>
        <w:numPr>
          <w:ilvl w:val="0"/>
          <w:numId w:val="1024"/>
        </w:numPr>
      </w:pPr>
      <w:r>
        <w:t xml:space="preserve">included meeting room credits</w:t>
      </w:r>
    </w:p>
    <w:p>
      <w:pPr>
        <w:pStyle w:val="Compact"/>
        <w:numPr>
          <w:ilvl w:val="0"/>
          <w:numId w:val="1024"/>
        </w:numPr>
      </w:pPr>
      <w:r>
        <w:t xml:space="preserve">access hours</w:t>
      </w:r>
    </w:p>
    <w:p>
      <w:pPr>
        <w:pStyle w:val="Compact"/>
        <w:numPr>
          <w:ilvl w:val="0"/>
          <w:numId w:val="1024"/>
        </w:numPr>
      </w:pPr>
      <w:r>
        <w:t xml:space="preserve">centre-specific amenities</w:t>
      </w:r>
    </w:p>
    <w:p>
      <w:r>
        <w:pict>
          <v:rect style="width:0;height:1.5pt" o:hralign="center" o:hrstd="t" o:hr="t"/>
        </w:pict>
      </w:r>
    </w:p>
    <w:bookmarkEnd w:id="65"/>
    <w:bookmarkStart w:id="66" w:name="confidence-level"/>
    <w:p>
      <w:pPr>
        <w:pStyle w:val="Heading1"/>
      </w:pPr>
      <w:r>
        <w:t xml:space="preserve">Confidence Level</w:t>
      </w:r>
    </w:p>
    <w:p>
      <w:pPr>
        <w:pStyle w:val="FirstParagraph"/>
      </w:pPr>
      <w:r>
        <w:t xml:space="preserve">DRAFT — INDUSTRY STANDARD BASELINE</w:t>
      </w:r>
    </w:p>
    <w:p>
      <w:pPr>
        <w:pStyle w:val="BodyText"/>
      </w:pPr>
      <w:r>
        <w:t xml:space="preserve">This document is based on common serviced office operational practices and should be reviewed against actual company policy.</w:t>
      </w:r>
    </w:p>
    <w:p>
      <w:r>
        <w:pict>
          <v:rect style="width:0;height:1.5pt" o:hralign="center" o:hrstd="t" o:hr="t"/>
        </w:pict>
      </w:r>
    </w:p>
    <w:bookmarkEnd w:id="66"/>
    <w:bookmarkStart w:id="69" w:name="last-review"/>
    <w:p>
      <w:pPr>
        <w:pStyle w:val="Heading1"/>
      </w:pPr>
      <w:r>
        <w:t xml:space="preserve">Last Review</w:t>
      </w:r>
    </w:p>
    <w:bookmarkStart w:id="67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2026-06-02</w:t>
      </w:r>
    </w:p>
    <w:bookmarkEnd w:id="67"/>
    <w:bookmarkStart w:id="68" w:name="reviewed-by"/>
    <w:p>
      <w:pPr>
        <w:pStyle w:val="Heading2"/>
      </w:pPr>
      <w:r>
        <w:t xml:space="preserve">Reviewed By</w:t>
      </w:r>
    </w:p>
    <w:p>
      <w:pPr>
        <w:pStyle w:val="FirstParagraph"/>
      </w:pPr>
      <w:r>
        <w:t xml:space="preserve">AI Draft v1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2026-06-02T08:51:54Z</dcterms:created>
  <dcterms:modified xsi:type="dcterms:W3CDTF">2026-06-02T08:51:54Z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