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irtual-office.md"/>
    <w:p>
      <w:pPr>
        <w:pStyle w:val="Heading1"/>
      </w:pPr>
      <w:r>
        <w:t xml:space="preserve">virtual-office.md</w:t>
      </w:r>
    </w:p>
    <w:bookmarkEnd w:id="20"/>
    <w:bookmarkStart w:id="22" w:name="product-virtual-office"/>
    <w:p>
      <w:pPr>
        <w:pStyle w:val="Heading1"/>
      </w:pPr>
      <w:r>
        <w:t xml:space="preserve">Product: Virtual Office</w:t>
      </w:r>
    </w:p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Virtual Office provides businesses with a professional business address and related support services without requiring a full-time physical office.</w:t>
      </w:r>
    </w:p>
    <w:p>
      <w:pPr>
        <w:pStyle w:val="BodyText"/>
      </w:pPr>
      <w:r>
        <w:t xml:space="preserve">This product is commonly used by:</w:t>
      </w:r>
    </w:p>
    <w:p>
      <w:pPr>
        <w:pStyle w:val="Compact"/>
        <w:numPr>
          <w:ilvl w:val="0"/>
          <w:numId w:val="1001"/>
        </w:numPr>
      </w:pPr>
      <w:r>
        <w:t xml:space="preserve">startups</w:t>
      </w:r>
    </w:p>
    <w:p>
      <w:pPr>
        <w:pStyle w:val="Compact"/>
        <w:numPr>
          <w:ilvl w:val="0"/>
          <w:numId w:val="1001"/>
        </w:numPr>
      </w:pPr>
      <w:r>
        <w:t xml:space="preserve">remote businesses</w:t>
      </w:r>
    </w:p>
    <w:p>
      <w:pPr>
        <w:pStyle w:val="Compact"/>
        <w:numPr>
          <w:ilvl w:val="0"/>
          <w:numId w:val="1001"/>
        </w:numPr>
      </w:pPr>
      <w:r>
        <w:t xml:space="preserve">overseas companies</w:t>
      </w:r>
    </w:p>
    <w:p>
      <w:pPr>
        <w:pStyle w:val="Compact"/>
        <w:numPr>
          <w:ilvl w:val="0"/>
          <w:numId w:val="1001"/>
        </w:numPr>
      </w:pPr>
      <w:r>
        <w:t xml:space="preserve">representative offices</w:t>
      </w:r>
    </w:p>
    <w:p>
      <w:pPr>
        <w:pStyle w:val="Compact"/>
        <w:numPr>
          <w:ilvl w:val="0"/>
          <w:numId w:val="1001"/>
        </w:numPr>
      </w:pPr>
      <w:r>
        <w:t xml:space="preserve">home-based businesses</w:t>
      </w:r>
    </w:p>
    <w:p>
      <w:pPr>
        <w:pStyle w:val="Compact"/>
        <w:numPr>
          <w:ilvl w:val="0"/>
          <w:numId w:val="1001"/>
        </w:numPr>
      </w:pPr>
      <w:r>
        <w:t xml:space="preserve">digital businesses</w:t>
      </w:r>
    </w:p>
    <w:p>
      <w:pPr>
        <w:pStyle w:val="Compact"/>
        <w:numPr>
          <w:ilvl w:val="0"/>
          <w:numId w:val="1001"/>
        </w:numPr>
      </w:pPr>
      <w:r>
        <w:t xml:space="preserve">consultants and freelancers</w:t>
      </w:r>
    </w:p>
    <w:p>
      <w:pPr>
        <w:pStyle w:val="FirstParagraph"/>
      </w:pPr>
      <w:r>
        <w:t xml:space="preserve">Virtual Office services help businesses establish a professional presence while maintaining operational flexibility and lower overhead costs.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ore-services"/>
    <w:p>
      <w:pPr>
        <w:pStyle w:val="Heading1"/>
      </w:pPr>
      <w:r>
        <w:t xml:space="preserve">Core Services</w:t>
      </w:r>
    </w:p>
    <w:bookmarkStart w:id="23" w:name="business-address"/>
    <w:p>
      <w:pPr>
        <w:pStyle w:val="Heading2"/>
      </w:pPr>
      <w:r>
        <w:t xml:space="preserve">Business Address</w:t>
      </w:r>
    </w:p>
    <w:p>
      <w:pPr>
        <w:pStyle w:val="FirstParagraph"/>
      </w:pPr>
      <w:r>
        <w:t xml:space="preserve">Customers may use the business address for:</w:t>
      </w:r>
    </w:p>
    <w:p>
      <w:pPr>
        <w:pStyle w:val="Compact"/>
        <w:numPr>
          <w:ilvl w:val="0"/>
          <w:numId w:val="1002"/>
        </w:numPr>
      </w:pPr>
      <w:r>
        <w:t xml:space="preserve">company correspondence</w:t>
      </w:r>
    </w:p>
    <w:p>
      <w:pPr>
        <w:pStyle w:val="Compact"/>
        <w:numPr>
          <w:ilvl w:val="0"/>
          <w:numId w:val="1002"/>
        </w:numPr>
      </w:pPr>
      <w:r>
        <w:t xml:space="preserve">marketing materials</w:t>
      </w:r>
    </w:p>
    <w:p>
      <w:pPr>
        <w:pStyle w:val="Compact"/>
        <w:numPr>
          <w:ilvl w:val="0"/>
          <w:numId w:val="1002"/>
        </w:numPr>
      </w:pPr>
      <w:r>
        <w:t xml:space="preserve">business cards</w:t>
      </w:r>
    </w:p>
    <w:p>
      <w:pPr>
        <w:pStyle w:val="Compact"/>
        <w:numPr>
          <w:ilvl w:val="0"/>
          <w:numId w:val="1002"/>
        </w:numPr>
      </w:pPr>
      <w:r>
        <w:t xml:space="preserve">website display</w:t>
      </w:r>
    </w:p>
    <w:p>
      <w:pPr>
        <w:pStyle w:val="Compact"/>
        <w:numPr>
          <w:ilvl w:val="0"/>
          <w:numId w:val="1002"/>
        </w:numPr>
      </w:pPr>
      <w:r>
        <w:t xml:space="preserve">client communications</w:t>
      </w:r>
    </w:p>
    <w:p>
      <w:pPr>
        <w:pStyle w:val="FirstParagraph"/>
      </w:pPr>
      <w:r>
        <w:t xml:space="preserve">Usage for company registration or regulated licensing purposes may require additional compliance review.</w:t>
      </w:r>
    </w:p>
    <w:p>
      <w:pPr>
        <w:pStyle w:val="BodyText"/>
      </w:pPr>
      <w:r>
        <w:t xml:space="preserve">The address must not be used for:</w:t>
      </w:r>
    </w:p>
    <w:p>
      <w:pPr>
        <w:pStyle w:val="Compact"/>
        <w:numPr>
          <w:ilvl w:val="0"/>
          <w:numId w:val="1003"/>
        </w:numPr>
      </w:pPr>
      <w:r>
        <w:t xml:space="preserve">illegal activities</w:t>
      </w:r>
    </w:p>
    <w:p>
      <w:pPr>
        <w:pStyle w:val="Compact"/>
        <w:numPr>
          <w:ilvl w:val="0"/>
          <w:numId w:val="1003"/>
        </w:numPr>
      </w:pPr>
      <w:r>
        <w:t xml:space="preserve">misleading representations</w:t>
      </w:r>
    </w:p>
    <w:p>
      <w:pPr>
        <w:pStyle w:val="Compact"/>
        <w:numPr>
          <w:ilvl w:val="0"/>
          <w:numId w:val="1003"/>
        </w:numPr>
      </w:pPr>
      <w:r>
        <w:t xml:space="preserve">inventory warehousing</w:t>
      </w:r>
    </w:p>
    <w:p>
      <w:pPr>
        <w:pStyle w:val="Compact"/>
        <w:numPr>
          <w:ilvl w:val="0"/>
          <w:numId w:val="1003"/>
        </w:numPr>
      </w:pPr>
      <w:r>
        <w:t xml:space="preserve">public walk-in retail operations</w:t>
      </w:r>
    </w:p>
    <w:p>
      <w:r>
        <w:pict>
          <v:rect style="width:0;height:1.5pt" o:hralign="center" o:hrstd="t" o:hr="t"/>
        </w:pict>
      </w:r>
    </w:p>
    <w:bookmarkEnd w:id="23"/>
    <w:bookmarkStart w:id="24" w:name="mail-handling"/>
    <w:p>
      <w:pPr>
        <w:pStyle w:val="Heading2"/>
      </w:pPr>
      <w:r>
        <w:t xml:space="preserve">Mail Handling</w:t>
      </w:r>
    </w:p>
    <w:p>
      <w:pPr>
        <w:pStyle w:val="FirstParagraph"/>
      </w:pPr>
      <w:r>
        <w:t xml:space="preserve">Incoming standard business mail is accepted during business hours.</w:t>
      </w:r>
    </w:p>
    <w:p>
      <w:pPr>
        <w:pStyle w:val="BodyText"/>
      </w:pPr>
      <w:r>
        <w:t xml:space="preserve">Mail services may include:</w:t>
      </w:r>
    </w:p>
    <w:p>
      <w:pPr>
        <w:pStyle w:val="Compact"/>
        <w:numPr>
          <w:ilvl w:val="0"/>
          <w:numId w:val="1004"/>
        </w:numPr>
      </w:pPr>
      <w:r>
        <w:t xml:space="preserve">mail receipt notification</w:t>
      </w:r>
    </w:p>
    <w:p>
      <w:pPr>
        <w:pStyle w:val="Compact"/>
        <w:numPr>
          <w:ilvl w:val="0"/>
          <w:numId w:val="1004"/>
        </w:numPr>
      </w:pPr>
      <w:r>
        <w:t xml:space="preserve">onsite mail collection</w:t>
      </w:r>
    </w:p>
    <w:p>
      <w:pPr>
        <w:pStyle w:val="Compact"/>
        <w:numPr>
          <w:ilvl w:val="0"/>
          <w:numId w:val="1004"/>
        </w:numPr>
      </w:pPr>
      <w:r>
        <w:t xml:space="preserve">temporary mail holding</w:t>
      </w:r>
    </w:p>
    <w:p>
      <w:pPr>
        <w:pStyle w:val="Compact"/>
        <w:numPr>
          <w:ilvl w:val="0"/>
          <w:numId w:val="1004"/>
        </w:numPr>
      </w:pPr>
      <w:r>
        <w:t xml:space="preserve">optional mail forwarding</w:t>
      </w:r>
    </w:p>
    <w:p>
      <w:pPr>
        <w:pStyle w:val="FirstParagraph"/>
      </w:pPr>
      <w:r>
        <w:t xml:space="preserve">Mail handling is intended for normal business correspondence volume.</w:t>
      </w:r>
    </w:p>
    <w:p>
      <w:pPr>
        <w:pStyle w:val="BodyText"/>
      </w:pPr>
      <w:r>
        <w:t xml:space="preserve">Excessive mail volume may require service upgrade or operational review.</w:t>
      </w:r>
    </w:p>
    <w:p>
      <w:r>
        <w:pict>
          <v:rect style="width:0;height:1.5pt" o:hralign="center" o:hrstd="t" o:hr="t"/>
        </w:pict>
      </w:r>
    </w:p>
    <w:bookmarkEnd w:id="24"/>
    <w:bookmarkStart w:id="25" w:name="parcel-handling"/>
    <w:p>
      <w:pPr>
        <w:pStyle w:val="Heading2"/>
      </w:pPr>
      <w:r>
        <w:t xml:space="preserve">Parcel Handling</w:t>
      </w:r>
    </w:p>
    <w:p>
      <w:pPr>
        <w:pStyle w:val="FirstParagraph"/>
      </w:pPr>
      <w:r>
        <w:t xml:space="preserve">Reasonable business parcel handling is generally supported.</w:t>
      </w:r>
    </w:p>
    <w:p>
      <w:pPr>
        <w:pStyle w:val="BodyText"/>
      </w:pPr>
      <w:r>
        <w:t xml:space="preserve">The following may be restricted:</w:t>
      </w:r>
    </w:p>
    <w:p>
      <w:pPr>
        <w:pStyle w:val="Compact"/>
        <w:numPr>
          <w:ilvl w:val="0"/>
          <w:numId w:val="1005"/>
        </w:numPr>
      </w:pPr>
      <w:r>
        <w:t xml:space="preserve">oversized deliveries</w:t>
      </w:r>
    </w:p>
    <w:p>
      <w:pPr>
        <w:pStyle w:val="Compact"/>
        <w:numPr>
          <w:ilvl w:val="0"/>
          <w:numId w:val="1005"/>
        </w:numPr>
      </w:pPr>
      <w:r>
        <w:t xml:space="preserve">pallets</w:t>
      </w:r>
    </w:p>
    <w:p>
      <w:pPr>
        <w:pStyle w:val="Compact"/>
        <w:numPr>
          <w:ilvl w:val="0"/>
          <w:numId w:val="1005"/>
        </w:numPr>
      </w:pPr>
      <w:r>
        <w:t xml:space="preserve">refrigerated items</w:t>
      </w:r>
    </w:p>
    <w:p>
      <w:pPr>
        <w:pStyle w:val="Compact"/>
        <w:numPr>
          <w:ilvl w:val="0"/>
          <w:numId w:val="1005"/>
        </w:numPr>
      </w:pPr>
      <w:r>
        <w:t xml:space="preserve">hazardous materials</w:t>
      </w:r>
    </w:p>
    <w:p>
      <w:pPr>
        <w:pStyle w:val="Compact"/>
        <w:numPr>
          <w:ilvl w:val="0"/>
          <w:numId w:val="1005"/>
        </w:numPr>
      </w:pPr>
      <w:r>
        <w:t xml:space="preserve">cash deliveries</w:t>
      </w:r>
    </w:p>
    <w:p>
      <w:pPr>
        <w:pStyle w:val="Compact"/>
        <w:numPr>
          <w:ilvl w:val="0"/>
          <w:numId w:val="1005"/>
        </w:numPr>
      </w:pPr>
      <w:r>
        <w:t xml:space="preserve">inventory shipments</w:t>
      </w:r>
    </w:p>
    <w:p>
      <w:pPr>
        <w:pStyle w:val="Compact"/>
        <w:numPr>
          <w:ilvl w:val="0"/>
          <w:numId w:val="1005"/>
        </w:numPr>
      </w:pPr>
      <w:r>
        <w:t xml:space="preserve">high-volume ecommerce fulfilment</w:t>
      </w:r>
    </w:p>
    <w:p>
      <w:pPr>
        <w:pStyle w:val="FirstParagraph"/>
      </w:pPr>
      <w:r>
        <w:t xml:space="preserve">Parcels not collected within a reasonable period may incur storage charges.</w:t>
      </w:r>
    </w:p>
    <w:p>
      <w:r>
        <w:pict>
          <v:rect style="width:0;height:1.5pt" o:hralign="center" o:hrstd="t" o:hr="t"/>
        </w:pict>
      </w:r>
    </w:p>
    <w:bookmarkEnd w:id="25"/>
    <w:bookmarkStart w:id="26" w:name="mail-forwarding"/>
    <w:p>
      <w:pPr>
        <w:pStyle w:val="Heading2"/>
      </w:pPr>
      <w:r>
        <w:t xml:space="preserve">Mail Forwarding</w:t>
      </w:r>
    </w:p>
    <w:p>
      <w:pPr>
        <w:pStyle w:val="FirstParagraph"/>
      </w:pPr>
      <w:r>
        <w:t xml:space="preserve">Mail forwarding may be available upon request.</w:t>
      </w:r>
    </w:p>
    <w:p>
      <w:pPr>
        <w:pStyle w:val="BodyText"/>
      </w:pPr>
      <w:r>
        <w:t xml:space="preserve">Forwarding options may include:</w:t>
      </w:r>
    </w:p>
    <w:p>
      <w:pPr>
        <w:pStyle w:val="Compact"/>
        <w:numPr>
          <w:ilvl w:val="0"/>
          <w:numId w:val="1006"/>
        </w:numPr>
      </w:pPr>
      <w:r>
        <w:t xml:space="preserve">ad hoc forwarding</w:t>
      </w:r>
    </w:p>
    <w:p>
      <w:pPr>
        <w:pStyle w:val="Compact"/>
        <w:numPr>
          <w:ilvl w:val="0"/>
          <w:numId w:val="1006"/>
        </w:numPr>
      </w:pPr>
      <w:r>
        <w:t xml:space="preserve">weekly forwarding</w:t>
      </w:r>
    </w:p>
    <w:p>
      <w:pPr>
        <w:pStyle w:val="Compact"/>
        <w:numPr>
          <w:ilvl w:val="0"/>
          <w:numId w:val="1006"/>
        </w:numPr>
      </w:pPr>
      <w:r>
        <w:t xml:space="preserve">monthly forwarding</w:t>
      </w:r>
    </w:p>
    <w:p>
      <w:pPr>
        <w:pStyle w:val="FirstParagraph"/>
      </w:pPr>
      <w:r>
        <w:t xml:space="preserve">Forwarding charges may include:</w:t>
      </w:r>
    </w:p>
    <w:p>
      <w:pPr>
        <w:pStyle w:val="Compact"/>
        <w:numPr>
          <w:ilvl w:val="0"/>
          <w:numId w:val="1007"/>
        </w:numPr>
      </w:pPr>
      <w:r>
        <w:t xml:space="preserve">postage</w:t>
      </w:r>
    </w:p>
    <w:p>
      <w:pPr>
        <w:pStyle w:val="Compact"/>
        <w:numPr>
          <w:ilvl w:val="0"/>
          <w:numId w:val="1007"/>
        </w:numPr>
      </w:pPr>
      <w:r>
        <w:t xml:space="preserve">courier fees</w:t>
      </w:r>
    </w:p>
    <w:p>
      <w:pPr>
        <w:pStyle w:val="Compact"/>
        <w:numPr>
          <w:ilvl w:val="0"/>
          <w:numId w:val="1007"/>
        </w:numPr>
      </w:pPr>
      <w:r>
        <w:t xml:space="preserve">administrative handling charges</w:t>
      </w:r>
    </w:p>
    <w:p>
      <w:pPr>
        <w:pStyle w:val="FirstParagraph"/>
      </w:pPr>
      <w:r>
        <w:t xml:space="preserve">International forwarding availability depends on destination country and courier restrictions.</w:t>
      </w:r>
    </w:p>
    <w:p>
      <w:r>
        <w:pict>
          <v:rect style="width:0;height:1.5pt" o:hralign="center" o:hrstd="t" o:hr="t"/>
        </w:pict>
      </w:r>
    </w:p>
    <w:bookmarkEnd w:id="26"/>
    <w:bookmarkStart w:id="27" w:name="phone-answering-services"/>
    <w:p>
      <w:pPr>
        <w:pStyle w:val="Heading2"/>
      </w:pPr>
      <w:r>
        <w:t xml:space="preserve">Phone Answering Services</w:t>
      </w:r>
    </w:p>
    <w:p>
      <w:pPr>
        <w:pStyle w:val="FirstParagraph"/>
      </w:pPr>
      <w:r>
        <w:t xml:space="preserve">Phone answering services may be available as an optional add-on.</w:t>
      </w:r>
    </w:p>
    <w:p>
      <w:pPr>
        <w:pStyle w:val="BodyText"/>
      </w:pPr>
      <w:r>
        <w:t xml:space="preserve">Typical features may include:</w:t>
      </w:r>
    </w:p>
    <w:p>
      <w:pPr>
        <w:pStyle w:val="Compact"/>
        <w:numPr>
          <w:ilvl w:val="0"/>
          <w:numId w:val="1008"/>
        </w:numPr>
      </w:pPr>
      <w:r>
        <w:t xml:space="preserve">dedicated business number</w:t>
      </w:r>
    </w:p>
    <w:p>
      <w:pPr>
        <w:pStyle w:val="Compact"/>
        <w:numPr>
          <w:ilvl w:val="0"/>
          <w:numId w:val="1008"/>
        </w:numPr>
      </w:pPr>
      <w:r>
        <w:t xml:space="preserve">personalised greeting</w:t>
      </w:r>
    </w:p>
    <w:p>
      <w:pPr>
        <w:pStyle w:val="Compact"/>
        <w:numPr>
          <w:ilvl w:val="0"/>
          <w:numId w:val="1008"/>
        </w:numPr>
      </w:pPr>
      <w:r>
        <w:t xml:space="preserve">receptionist call answering</w:t>
      </w:r>
    </w:p>
    <w:p>
      <w:pPr>
        <w:pStyle w:val="Compact"/>
        <w:numPr>
          <w:ilvl w:val="0"/>
          <w:numId w:val="1008"/>
        </w:numPr>
      </w:pPr>
      <w:r>
        <w:t xml:space="preserve">message taking</w:t>
      </w:r>
    </w:p>
    <w:p>
      <w:pPr>
        <w:pStyle w:val="Compact"/>
        <w:numPr>
          <w:ilvl w:val="0"/>
          <w:numId w:val="1008"/>
        </w:numPr>
      </w:pPr>
      <w:r>
        <w:t xml:space="preserve">message forwarding</w:t>
      </w:r>
    </w:p>
    <w:p>
      <w:pPr>
        <w:pStyle w:val="Compact"/>
        <w:numPr>
          <w:ilvl w:val="0"/>
          <w:numId w:val="1008"/>
        </w:numPr>
      </w:pPr>
      <w:r>
        <w:t xml:space="preserve">basic call screening</w:t>
      </w:r>
    </w:p>
    <w:p>
      <w:pPr>
        <w:pStyle w:val="FirstParagraph"/>
      </w:pPr>
      <w:r>
        <w:t xml:space="preserve">Phone answering is intended for normal business usage and may not function as a full call centre service.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workspace-meeting-room-access"/>
    <w:p>
      <w:pPr>
        <w:pStyle w:val="Heading1"/>
      </w:pPr>
      <w:r>
        <w:t xml:space="preserve">Workspace &amp; Meeting Room Access</w:t>
      </w:r>
    </w:p>
    <w:bookmarkStart w:id="29" w:name="workspace-access"/>
    <w:p>
      <w:pPr>
        <w:pStyle w:val="Heading2"/>
      </w:pPr>
      <w:r>
        <w:t xml:space="preserve">Workspace Access</w:t>
      </w:r>
    </w:p>
    <w:p>
      <w:pPr>
        <w:pStyle w:val="FirstParagraph"/>
      </w:pPr>
      <w:r>
        <w:t xml:space="preserve">Some Virtual Office plans may include limited coworking or lounge access.</w:t>
      </w:r>
    </w:p>
    <w:p>
      <w:pPr>
        <w:pStyle w:val="BodyText"/>
      </w:pPr>
      <w:r>
        <w:t xml:space="preserve">Workspace access may vary depending on:</w:t>
      </w:r>
    </w:p>
    <w:p>
      <w:pPr>
        <w:pStyle w:val="Compact"/>
        <w:numPr>
          <w:ilvl w:val="0"/>
          <w:numId w:val="1009"/>
        </w:numPr>
      </w:pPr>
      <w:r>
        <w:t xml:space="preserve">package tier</w:t>
      </w:r>
    </w:p>
    <w:p>
      <w:pPr>
        <w:pStyle w:val="Compact"/>
        <w:numPr>
          <w:ilvl w:val="0"/>
          <w:numId w:val="1009"/>
        </w:numPr>
      </w:pPr>
      <w:r>
        <w:t xml:space="preserve">centre location</w:t>
      </w:r>
    </w:p>
    <w:p>
      <w:pPr>
        <w:pStyle w:val="Compact"/>
        <w:numPr>
          <w:ilvl w:val="0"/>
          <w:numId w:val="1009"/>
        </w:numPr>
      </w:pPr>
      <w:r>
        <w:t xml:space="preserve">operational hours</w:t>
      </w:r>
    </w:p>
    <w:p>
      <w:pPr>
        <w:pStyle w:val="Compact"/>
        <w:numPr>
          <w:ilvl w:val="0"/>
          <w:numId w:val="1009"/>
        </w:numPr>
      </w:pPr>
      <w:r>
        <w:t xml:space="preserve">availability</w:t>
      </w:r>
    </w:p>
    <w:p>
      <w:pPr>
        <w:pStyle w:val="FirstParagraph"/>
      </w:pPr>
      <w:r>
        <w:t xml:space="preserve">Virtual Office plans are primarily address-based services and should not be treated as permanent daily workspace memberships unless specifically included.</w:t>
      </w:r>
    </w:p>
    <w:p>
      <w:r>
        <w:pict>
          <v:rect style="width:0;height:1.5pt" o:hralign="center" o:hrstd="t" o:hr="t"/>
        </w:pict>
      </w:r>
    </w:p>
    <w:bookmarkEnd w:id="29"/>
    <w:bookmarkStart w:id="30" w:name="meeting-room-access"/>
    <w:p>
      <w:pPr>
        <w:pStyle w:val="Heading2"/>
      </w:pPr>
      <w:r>
        <w:t xml:space="preserve">Meeting Room Access</w:t>
      </w:r>
    </w:p>
    <w:p>
      <w:pPr>
        <w:pStyle w:val="FirstParagraph"/>
      </w:pPr>
      <w:r>
        <w:t xml:space="preserve">Meeting rooms may be:</w:t>
      </w:r>
    </w:p>
    <w:p>
      <w:pPr>
        <w:pStyle w:val="Compact"/>
        <w:numPr>
          <w:ilvl w:val="0"/>
          <w:numId w:val="1010"/>
        </w:numPr>
      </w:pPr>
      <w:r>
        <w:t xml:space="preserve">included as monthly credits</w:t>
      </w:r>
    </w:p>
    <w:p>
      <w:pPr>
        <w:pStyle w:val="Compact"/>
        <w:numPr>
          <w:ilvl w:val="0"/>
          <w:numId w:val="1010"/>
        </w:numPr>
      </w:pPr>
      <w:r>
        <w:t xml:space="preserve">available at member rates</w:t>
      </w:r>
    </w:p>
    <w:p>
      <w:pPr>
        <w:pStyle w:val="Compact"/>
        <w:numPr>
          <w:ilvl w:val="0"/>
          <w:numId w:val="1010"/>
        </w:numPr>
      </w:pPr>
      <w:r>
        <w:t xml:space="preserve">available on pay-per-use basis</w:t>
      </w:r>
    </w:p>
    <w:p>
      <w:pPr>
        <w:pStyle w:val="FirstParagraph"/>
      </w:pPr>
      <w:r>
        <w:t xml:space="preserve">Advance booking is generally recommended.</w:t>
      </w:r>
    </w:p>
    <w:p>
      <w:pPr>
        <w:pStyle w:val="BodyText"/>
      </w:pPr>
      <w:r>
        <w:t xml:space="preserve">Meeting room access is subject to:</w:t>
      </w:r>
    </w:p>
    <w:p>
      <w:pPr>
        <w:pStyle w:val="Compact"/>
        <w:numPr>
          <w:ilvl w:val="0"/>
          <w:numId w:val="1011"/>
        </w:numPr>
      </w:pPr>
      <w:r>
        <w:t xml:space="preserve">availability</w:t>
      </w:r>
    </w:p>
    <w:p>
      <w:pPr>
        <w:pStyle w:val="Compact"/>
        <w:numPr>
          <w:ilvl w:val="0"/>
          <w:numId w:val="1011"/>
        </w:numPr>
      </w:pPr>
      <w:r>
        <w:t xml:space="preserve">operating hours</w:t>
      </w:r>
    </w:p>
    <w:p>
      <w:pPr>
        <w:pStyle w:val="Compact"/>
        <w:numPr>
          <w:ilvl w:val="0"/>
          <w:numId w:val="1011"/>
        </w:numPr>
      </w:pPr>
      <w:r>
        <w:t xml:space="preserve">booking policies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mpany-registration-compliance"/>
    <w:p>
      <w:pPr>
        <w:pStyle w:val="Heading1"/>
      </w:pPr>
      <w:r>
        <w:t xml:space="preserve">Company Registration &amp; Compliance</w:t>
      </w:r>
    </w:p>
    <w:bookmarkStart w:id="32" w:name="company-registration-eligibility"/>
    <w:p>
      <w:pPr>
        <w:pStyle w:val="Heading2"/>
      </w:pPr>
      <w:r>
        <w:t xml:space="preserve">Company Registration Eligibility</w:t>
      </w:r>
    </w:p>
    <w:p>
      <w:pPr>
        <w:pStyle w:val="FirstParagraph"/>
      </w:pPr>
      <w:r>
        <w:t xml:space="preserve">Some Virtual Office services may support company registration or registered address usage, subject to:</w:t>
      </w:r>
    </w:p>
    <w:p>
      <w:pPr>
        <w:pStyle w:val="Compact"/>
        <w:numPr>
          <w:ilvl w:val="0"/>
          <w:numId w:val="1012"/>
        </w:numPr>
      </w:pPr>
      <w:r>
        <w:t xml:space="preserve">local laws</w:t>
      </w:r>
    </w:p>
    <w:p>
      <w:pPr>
        <w:pStyle w:val="Compact"/>
        <w:numPr>
          <w:ilvl w:val="0"/>
          <w:numId w:val="1012"/>
        </w:numPr>
      </w:pPr>
      <w:r>
        <w:t xml:space="preserve">compliance approval</w:t>
      </w:r>
    </w:p>
    <w:p>
      <w:pPr>
        <w:pStyle w:val="Compact"/>
        <w:numPr>
          <w:ilvl w:val="0"/>
          <w:numId w:val="1012"/>
        </w:numPr>
      </w:pPr>
      <w:r>
        <w:t xml:space="preserve">KYC verification</w:t>
      </w:r>
    </w:p>
    <w:p>
      <w:pPr>
        <w:pStyle w:val="Compact"/>
        <w:numPr>
          <w:ilvl w:val="0"/>
          <w:numId w:val="1012"/>
        </w:numPr>
      </w:pPr>
      <w:r>
        <w:t xml:space="preserve">permitted business activity</w:t>
      </w:r>
    </w:p>
    <w:p>
      <w:pPr>
        <w:pStyle w:val="FirstParagraph"/>
      </w:pPr>
      <w:r>
        <w:t xml:space="preserve">Approval is not guaranteed.</w:t>
      </w:r>
    </w:p>
    <w:p>
      <w:pPr>
        <w:pStyle w:val="BodyText"/>
      </w:pPr>
      <w:r>
        <w:t xml:space="preserve">Certain regulated industries may require additional review or may not be supported.</w:t>
      </w:r>
    </w:p>
    <w:p>
      <w:pPr>
        <w:pStyle w:val="BodyText"/>
      </w:pPr>
      <w:r>
        <w:t xml:space="preserve">Examples may include:</w:t>
      </w:r>
    </w:p>
    <w:p>
      <w:pPr>
        <w:pStyle w:val="Compact"/>
        <w:numPr>
          <w:ilvl w:val="0"/>
          <w:numId w:val="1013"/>
        </w:numPr>
      </w:pPr>
      <w:r>
        <w:t xml:space="preserve">financial services</w:t>
      </w:r>
    </w:p>
    <w:p>
      <w:pPr>
        <w:pStyle w:val="Compact"/>
        <w:numPr>
          <w:ilvl w:val="0"/>
          <w:numId w:val="1013"/>
        </w:numPr>
      </w:pPr>
      <w:r>
        <w:t xml:space="preserve">cryptocurrency-related businesses</w:t>
      </w:r>
    </w:p>
    <w:p>
      <w:pPr>
        <w:pStyle w:val="Compact"/>
        <w:numPr>
          <w:ilvl w:val="0"/>
          <w:numId w:val="1013"/>
        </w:numPr>
      </w:pPr>
      <w:r>
        <w:t xml:space="preserve">gambling-related activities</w:t>
      </w:r>
    </w:p>
    <w:p>
      <w:pPr>
        <w:pStyle w:val="Compact"/>
        <w:numPr>
          <w:ilvl w:val="0"/>
          <w:numId w:val="1013"/>
        </w:numPr>
      </w:pPr>
      <w:r>
        <w:t xml:space="preserve">money lending</w:t>
      </w:r>
    </w:p>
    <w:p>
      <w:pPr>
        <w:pStyle w:val="Compact"/>
        <w:numPr>
          <w:ilvl w:val="0"/>
          <w:numId w:val="1013"/>
        </w:numPr>
      </w:pPr>
      <w:r>
        <w:t xml:space="preserve">regulated medical services</w:t>
      </w:r>
    </w:p>
    <w:p>
      <w:pPr>
        <w:pStyle w:val="Compact"/>
        <w:numPr>
          <w:ilvl w:val="0"/>
          <w:numId w:val="1013"/>
        </w:numPr>
      </w:pPr>
      <w:r>
        <w:t xml:space="preserve">high-risk trading activities</w:t>
      </w:r>
    </w:p>
    <w:p>
      <w:pPr>
        <w:pStyle w:val="FirstParagraph"/>
      </w:pPr>
      <w:r>
        <w:t xml:space="preserve">The AI assistant must never guarantee registration approval.</w:t>
      </w:r>
    </w:p>
    <w:p>
      <w:pPr>
        <w:pStyle w:val="BodyText"/>
      </w:pPr>
      <w:r>
        <w:t xml:space="preserve">Complex or regulated cases should always be escalated to a human advisor.</w:t>
      </w:r>
    </w:p>
    <w:p>
      <w:r>
        <w:pict>
          <v:rect style="width:0;height:1.5pt" o:hralign="center" o:hrstd="t" o:hr="t"/>
        </w:pict>
      </w:r>
    </w:p>
    <w:bookmarkEnd w:id="32"/>
    <w:bookmarkStart w:id="33" w:name="compliance-requirements"/>
    <w:p>
      <w:pPr>
        <w:pStyle w:val="Heading2"/>
      </w:pPr>
      <w:r>
        <w:t xml:space="preserve">Compliance Requirements</w:t>
      </w:r>
    </w:p>
    <w:p>
      <w:pPr>
        <w:pStyle w:val="FirstParagraph"/>
      </w:pPr>
      <w:r>
        <w:t xml:space="preserve">Customers may be required to provide:</w:t>
      </w:r>
    </w:p>
    <w:p>
      <w:pPr>
        <w:pStyle w:val="Compact"/>
        <w:numPr>
          <w:ilvl w:val="0"/>
          <w:numId w:val="1014"/>
        </w:numPr>
      </w:pPr>
      <w:r>
        <w:t xml:space="preserve">government-issued identification</w:t>
      </w:r>
    </w:p>
    <w:p>
      <w:pPr>
        <w:pStyle w:val="Compact"/>
        <w:numPr>
          <w:ilvl w:val="0"/>
          <w:numId w:val="1014"/>
        </w:numPr>
      </w:pPr>
      <w:r>
        <w:t xml:space="preserve">proof of residential address</w:t>
      </w:r>
    </w:p>
    <w:p>
      <w:pPr>
        <w:pStyle w:val="Compact"/>
        <w:numPr>
          <w:ilvl w:val="0"/>
          <w:numId w:val="1014"/>
        </w:numPr>
      </w:pPr>
      <w:r>
        <w:t xml:space="preserve">company registration documents</w:t>
      </w:r>
    </w:p>
    <w:p>
      <w:pPr>
        <w:pStyle w:val="Compact"/>
        <w:numPr>
          <w:ilvl w:val="0"/>
          <w:numId w:val="1014"/>
        </w:numPr>
      </w:pPr>
      <w:r>
        <w:t xml:space="preserve">shareholder/director information</w:t>
      </w:r>
    </w:p>
    <w:p>
      <w:pPr>
        <w:pStyle w:val="Compact"/>
        <w:numPr>
          <w:ilvl w:val="0"/>
          <w:numId w:val="1014"/>
        </w:numPr>
      </w:pPr>
      <w:r>
        <w:t xml:space="preserve">beneficial ownership information</w:t>
      </w:r>
    </w:p>
    <w:p>
      <w:pPr>
        <w:pStyle w:val="FirstParagraph"/>
      </w:pPr>
      <w:r>
        <w:t xml:space="preserve">Additional verification may be required for overseas entities or regulated industries.</w:t>
      </w:r>
    </w:p>
    <w:p>
      <w:pPr>
        <w:pStyle w:val="BodyText"/>
      </w:pPr>
      <w:r>
        <w:t xml:space="preserve">Compliance checks may be conducted before service activation.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ccess-operations"/>
    <w:p>
      <w:pPr>
        <w:pStyle w:val="Heading1"/>
      </w:pPr>
      <w:r>
        <w:t xml:space="preserve">Access &amp; Operations</w:t>
      </w:r>
    </w:p>
    <w:bookmarkStart w:id="35" w:name="business-hours"/>
    <w:p>
      <w:pPr>
        <w:pStyle w:val="Heading2"/>
      </w:pPr>
      <w:r>
        <w:t xml:space="preserve">Business Hours</w:t>
      </w:r>
    </w:p>
    <w:p>
      <w:pPr>
        <w:pStyle w:val="FirstParagraph"/>
      </w:pPr>
      <w:r>
        <w:t xml:space="preserve">Virtual Office services are generally supported during standard business operating hours.</w:t>
      </w:r>
    </w:p>
    <w:p>
      <w:pPr>
        <w:pStyle w:val="BodyText"/>
      </w:pPr>
      <w:r>
        <w:t xml:space="preserve">Mail collection and onsite support may only be available during staffed hours.</w:t>
      </w:r>
    </w:p>
    <w:p>
      <w:pPr>
        <w:pStyle w:val="BodyText"/>
      </w:pPr>
      <w:r>
        <w:t xml:space="preserve">Some centres may offer extended access depending on package type.</w:t>
      </w:r>
    </w:p>
    <w:p>
      <w:r>
        <w:pict>
          <v:rect style="width:0;height:1.5pt" o:hralign="center" o:hrstd="t" o:hr="t"/>
        </w:pict>
      </w:r>
    </w:p>
    <w:bookmarkEnd w:id="35"/>
    <w:bookmarkStart w:id="36" w:name="visitor-handling"/>
    <w:p>
      <w:pPr>
        <w:pStyle w:val="Heading2"/>
      </w:pPr>
      <w:r>
        <w:t xml:space="preserve">Visitor Handling</w:t>
      </w:r>
    </w:p>
    <w:p>
      <w:pPr>
        <w:pStyle w:val="FirstParagraph"/>
      </w:pPr>
      <w:r>
        <w:t xml:space="preserve">Virtual Office customers may receive visitors by appointment.</w:t>
      </w:r>
    </w:p>
    <w:p>
      <w:pPr>
        <w:pStyle w:val="BodyText"/>
      </w:pPr>
      <w:r>
        <w:t xml:space="preserve">Reception staff may assist with:</w:t>
      </w:r>
    </w:p>
    <w:p>
      <w:pPr>
        <w:pStyle w:val="Compact"/>
        <w:numPr>
          <w:ilvl w:val="0"/>
          <w:numId w:val="1015"/>
        </w:numPr>
      </w:pPr>
      <w:r>
        <w:t xml:space="preserve">visitor registration</w:t>
      </w:r>
    </w:p>
    <w:p>
      <w:pPr>
        <w:pStyle w:val="Compact"/>
        <w:numPr>
          <w:ilvl w:val="0"/>
          <w:numId w:val="1015"/>
        </w:numPr>
      </w:pPr>
      <w:r>
        <w:t xml:space="preserve">guest direction</w:t>
      </w:r>
    </w:p>
    <w:p>
      <w:pPr>
        <w:pStyle w:val="Compact"/>
        <w:numPr>
          <w:ilvl w:val="0"/>
          <w:numId w:val="1015"/>
        </w:numPr>
      </w:pPr>
      <w:r>
        <w:t xml:space="preserve">meeting room coordination</w:t>
      </w:r>
    </w:p>
    <w:p>
      <w:pPr>
        <w:pStyle w:val="FirstParagraph"/>
      </w:pPr>
      <w:r>
        <w:t xml:space="preserve">Walk-in usage without booking may not be permitted.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commercial-terms"/>
    <w:p>
      <w:pPr>
        <w:pStyle w:val="Heading1"/>
      </w:pPr>
      <w:r>
        <w:t xml:space="preserve">Commercial Terms</w:t>
      </w:r>
    </w:p>
    <w:bookmarkStart w:id="38" w:name="billing-cycle"/>
    <w:p>
      <w:pPr>
        <w:pStyle w:val="Heading2"/>
      </w:pPr>
      <w:r>
        <w:t xml:space="preserve">Billing Cycle</w:t>
      </w:r>
    </w:p>
    <w:p>
      <w:pPr>
        <w:pStyle w:val="FirstParagraph"/>
      </w:pPr>
      <w:r>
        <w:t xml:space="preserve">Virtual Office services are typically billed:</w:t>
      </w:r>
    </w:p>
    <w:p>
      <w:pPr>
        <w:pStyle w:val="Compact"/>
        <w:numPr>
          <w:ilvl w:val="0"/>
          <w:numId w:val="1016"/>
        </w:numPr>
      </w:pPr>
      <w:r>
        <w:t xml:space="preserve">monthly</w:t>
      </w:r>
    </w:p>
    <w:p>
      <w:pPr>
        <w:pStyle w:val="Compact"/>
        <w:numPr>
          <w:ilvl w:val="0"/>
          <w:numId w:val="1016"/>
        </w:numPr>
      </w:pPr>
      <w:r>
        <w:t xml:space="preserve">quarterly</w:t>
      </w:r>
    </w:p>
    <w:p>
      <w:pPr>
        <w:pStyle w:val="Compact"/>
        <w:numPr>
          <w:ilvl w:val="0"/>
          <w:numId w:val="1016"/>
        </w:numPr>
      </w:pPr>
      <w:r>
        <w:t xml:space="preserve">annually</w:t>
      </w:r>
    </w:p>
    <w:p>
      <w:pPr>
        <w:pStyle w:val="FirstParagraph"/>
      </w:pPr>
      <w:r>
        <w:t xml:space="preserve">Longer commitments may qualify for promotional pricing.</w:t>
      </w:r>
    </w:p>
    <w:p>
      <w:r>
        <w:pict>
          <v:rect style="width:0;height:1.5pt" o:hralign="center" o:hrstd="t" o:hr="t"/>
        </w:pict>
      </w:r>
    </w:p>
    <w:bookmarkEnd w:id="38"/>
    <w:bookmarkStart w:id="39" w:name="deposit-policy"/>
    <w:p>
      <w:pPr>
        <w:pStyle w:val="Heading2"/>
      </w:pPr>
      <w:r>
        <w:t xml:space="preserve">Deposit Policy</w:t>
      </w:r>
    </w:p>
    <w:p>
      <w:pPr>
        <w:pStyle w:val="FirstParagraph"/>
      </w:pPr>
      <w:r>
        <w:t xml:space="preserve">Deposit requirements may vary depending on:</w:t>
      </w:r>
    </w:p>
    <w:p>
      <w:pPr>
        <w:pStyle w:val="Compact"/>
        <w:numPr>
          <w:ilvl w:val="0"/>
          <w:numId w:val="1017"/>
        </w:numPr>
      </w:pPr>
      <w:r>
        <w:t xml:space="preserve">payment method</w:t>
      </w:r>
    </w:p>
    <w:p>
      <w:pPr>
        <w:pStyle w:val="Compact"/>
        <w:numPr>
          <w:ilvl w:val="0"/>
          <w:numId w:val="1017"/>
        </w:numPr>
      </w:pPr>
      <w:r>
        <w:t xml:space="preserve">contract duration</w:t>
      </w:r>
    </w:p>
    <w:p>
      <w:pPr>
        <w:pStyle w:val="Compact"/>
        <w:numPr>
          <w:ilvl w:val="0"/>
          <w:numId w:val="1017"/>
        </w:numPr>
      </w:pPr>
      <w:r>
        <w:t xml:space="preserve">risk assessment</w:t>
      </w:r>
    </w:p>
    <w:p>
      <w:pPr>
        <w:pStyle w:val="Compact"/>
        <w:numPr>
          <w:ilvl w:val="0"/>
          <w:numId w:val="1017"/>
        </w:numPr>
      </w:pPr>
      <w:r>
        <w:t xml:space="preserve">jurisdiction</w:t>
      </w:r>
    </w:p>
    <w:p>
      <w:pPr>
        <w:pStyle w:val="FirstParagraph"/>
      </w:pPr>
      <w:r>
        <w:t xml:space="preserve">Some plans may not require deposits.</w:t>
      </w:r>
    </w:p>
    <w:p>
      <w:r>
        <w:pict>
          <v:rect style="width:0;height:1.5pt" o:hralign="center" o:hrstd="t" o:hr="t"/>
        </w:pict>
      </w:r>
    </w:p>
    <w:bookmarkEnd w:id="39"/>
    <w:bookmarkStart w:id="40" w:name="minimum-commitment"/>
    <w:p>
      <w:pPr>
        <w:pStyle w:val="Heading2"/>
      </w:pPr>
      <w:r>
        <w:t xml:space="preserve">Minimum Commitment</w:t>
      </w:r>
    </w:p>
    <w:p>
      <w:pPr>
        <w:pStyle w:val="FirstParagraph"/>
      </w:pPr>
      <w:r>
        <w:t xml:space="preserve">Virtual Office services commonly require a minimum commitment period to activate.</w:t>
      </w:r>
    </w:p>
    <w:p>
      <w:pPr>
        <w:pStyle w:val="BodyText"/>
      </w:pPr>
      <w:r>
        <w:t xml:space="preserve">Shorter promotional or trial periods may occasionally be available.</w:t>
      </w:r>
    </w:p>
    <w:p>
      <w:r>
        <w:pict>
          <v:rect style="width:0;height:1.5pt" o:hralign="center" o:hrstd="t" o:hr="t"/>
        </w:pict>
      </w:r>
    </w:p>
    <w:bookmarkEnd w:id="40"/>
    <w:bookmarkStart w:id="41" w:name="cancellation-policy"/>
    <w:p>
      <w:pPr>
        <w:pStyle w:val="Heading2"/>
      </w:pPr>
      <w:r>
        <w:t xml:space="preserve">Cancellation Policy</w:t>
      </w:r>
    </w:p>
    <w:p>
      <w:pPr>
        <w:pStyle w:val="FirstParagraph"/>
      </w:pPr>
      <w:r>
        <w:t xml:space="preserve">Cancellation generally requires advance written notice before the next billing cycle.</w:t>
      </w:r>
    </w:p>
    <w:p>
      <w:pPr>
        <w:pStyle w:val="BodyText"/>
      </w:pPr>
      <w:r>
        <w:t xml:space="preserve">Early termination charges may apply depending on contract terms and promotions received.</w:t>
      </w:r>
    </w:p>
    <w:p>
      <w:r>
        <w:pict>
          <v:rect style="width:0;height:1.5pt" o:hralign="center" o:hrstd="t" o:hr="t"/>
        </w:pict>
      </w:r>
    </w:p>
    <w:bookmarkEnd w:id="41"/>
    <w:bookmarkStart w:id="42" w:name="upgrade-policy"/>
    <w:p>
      <w:pPr>
        <w:pStyle w:val="Heading2"/>
      </w:pPr>
      <w:r>
        <w:t xml:space="preserve">Upgrade Policy</w:t>
      </w:r>
    </w:p>
    <w:p>
      <w:pPr>
        <w:pStyle w:val="FirstParagraph"/>
      </w:pPr>
      <w:r>
        <w:t xml:space="preserve">Customers may usually upgrade to:</w:t>
      </w:r>
    </w:p>
    <w:p>
      <w:pPr>
        <w:pStyle w:val="Compact"/>
        <w:numPr>
          <w:ilvl w:val="0"/>
          <w:numId w:val="1018"/>
        </w:numPr>
      </w:pPr>
      <w:r>
        <w:t xml:space="preserve">coworking membership</w:t>
      </w:r>
    </w:p>
    <w:p>
      <w:pPr>
        <w:pStyle w:val="Compact"/>
        <w:numPr>
          <w:ilvl w:val="0"/>
          <w:numId w:val="1018"/>
        </w:numPr>
      </w:pPr>
      <w:r>
        <w:t xml:space="preserve">dedicated workstation</w:t>
      </w:r>
    </w:p>
    <w:p>
      <w:pPr>
        <w:pStyle w:val="Compact"/>
        <w:numPr>
          <w:ilvl w:val="0"/>
          <w:numId w:val="1018"/>
        </w:numPr>
      </w:pPr>
      <w:r>
        <w:t xml:space="preserve">serviced office</w:t>
      </w:r>
    </w:p>
    <w:p>
      <w:pPr>
        <w:pStyle w:val="Compact"/>
        <w:numPr>
          <w:ilvl w:val="0"/>
          <w:numId w:val="1018"/>
        </w:numPr>
      </w:pPr>
      <w:r>
        <w:t xml:space="preserve">larger workspace solutions</w:t>
      </w:r>
    </w:p>
    <w:p>
      <w:pPr>
        <w:pStyle w:val="FirstParagraph"/>
      </w:pPr>
      <w:r>
        <w:t xml:space="preserve">Upgrades are subject to availability and operational approval.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internet-technology"/>
    <w:p>
      <w:pPr>
        <w:pStyle w:val="Heading1"/>
      </w:pPr>
      <w:r>
        <w:t xml:space="preserve">Internet &amp; Technology</w:t>
      </w:r>
    </w:p>
    <w:bookmarkStart w:id="44" w:name="internet-access"/>
    <w:p>
      <w:pPr>
        <w:pStyle w:val="Heading2"/>
      </w:pPr>
      <w:r>
        <w:t xml:space="preserve">Internet Access</w:t>
      </w:r>
    </w:p>
    <w:p>
      <w:pPr>
        <w:pStyle w:val="FirstParagraph"/>
      </w:pPr>
      <w:r>
        <w:t xml:space="preserve">Limited guest Wi-Fi access may be available when using onsite facilities.</w:t>
      </w:r>
    </w:p>
    <w:p>
      <w:pPr>
        <w:pStyle w:val="BodyText"/>
      </w:pPr>
      <w:r>
        <w:t xml:space="preserve">Dedicated internet services are generally not included within standard Virtual Office plans.</w:t>
      </w:r>
    </w:p>
    <w:p>
      <w:r>
        <w:pict>
          <v:rect style="width:0;height:1.5pt" o:hralign="center" o:hrstd="t" o:hr="t"/>
        </w:pict>
      </w:r>
    </w:p>
    <w:bookmarkEnd w:id="44"/>
    <w:bookmarkStart w:id="45" w:name="digital-services"/>
    <w:p>
      <w:pPr>
        <w:pStyle w:val="Heading2"/>
      </w:pPr>
      <w:r>
        <w:t xml:space="preserve">Digital Services</w:t>
      </w:r>
    </w:p>
    <w:p>
      <w:pPr>
        <w:pStyle w:val="FirstParagraph"/>
      </w:pPr>
      <w:r>
        <w:t xml:space="preserve">Some centres may provide:</w:t>
      </w:r>
    </w:p>
    <w:p>
      <w:pPr>
        <w:pStyle w:val="Compact"/>
        <w:numPr>
          <w:ilvl w:val="0"/>
          <w:numId w:val="1019"/>
        </w:numPr>
      </w:pPr>
      <w:r>
        <w:t xml:space="preserve">member portals</w:t>
      </w:r>
    </w:p>
    <w:p>
      <w:pPr>
        <w:pStyle w:val="Compact"/>
        <w:numPr>
          <w:ilvl w:val="0"/>
          <w:numId w:val="1019"/>
        </w:numPr>
      </w:pPr>
      <w:r>
        <w:t xml:space="preserve">online booking systems</w:t>
      </w:r>
    </w:p>
    <w:p>
      <w:pPr>
        <w:pStyle w:val="Compact"/>
        <w:numPr>
          <w:ilvl w:val="0"/>
          <w:numId w:val="1019"/>
        </w:numPr>
      </w:pPr>
      <w:r>
        <w:t xml:space="preserve">digital invoices</w:t>
      </w:r>
    </w:p>
    <w:p>
      <w:pPr>
        <w:pStyle w:val="Compact"/>
        <w:numPr>
          <w:ilvl w:val="0"/>
          <w:numId w:val="1019"/>
        </w:numPr>
      </w:pPr>
      <w:r>
        <w:t xml:space="preserve">visitor notifications</w:t>
      </w:r>
    </w:p>
    <w:p>
      <w:pPr>
        <w:pStyle w:val="FirstParagraph"/>
      </w:pPr>
      <w:r>
        <w:t xml:space="preserve">Feature availability may vary by location.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restrictions-acceptable-use"/>
    <w:p>
      <w:pPr>
        <w:pStyle w:val="Heading1"/>
      </w:pPr>
      <w:r>
        <w:t xml:space="preserve">Restrictions &amp; Acceptable Use</w:t>
      </w:r>
    </w:p>
    <w:bookmarkStart w:id="47" w:name="restricted-activities"/>
    <w:p>
      <w:pPr>
        <w:pStyle w:val="Heading2"/>
      </w:pPr>
      <w:r>
        <w:t xml:space="preserve">Restricted Activities</w:t>
      </w:r>
    </w:p>
    <w:p>
      <w:pPr>
        <w:pStyle w:val="FirstParagraph"/>
      </w:pPr>
      <w:r>
        <w:t xml:space="preserve">The following activities are generally prohibited:</w:t>
      </w:r>
    </w:p>
    <w:p>
      <w:pPr>
        <w:pStyle w:val="Compact"/>
        <w:numPr>
          <w:ilvl w:val="0"/>
          <w:numId w:val="1020"/>
        </w:numPr>
      </w:pPr>
      <w:r>
        <w:t xml:space="preserve">illegal activities</w:t>
      </w:r>
    </w:p>
    <w:p>
      <w:pPr>
        <w:pStyle w:val="Compact"/>
        <w:numPr>
          <w:ilvl w:val="0"/>
          <w:numId w:val="1020"/>
        </w:numPr>
      </w:pPr>
      <w:r>
        <w:t xml:space="preserve">high-risk regulated operations</w:t>
      </w:r>
    </w:p>
    <w:p>
      <w:pPr>
        <w:pStyle w:val="Compact"/>
        <w:numPr>
          <w:ilvl w:val="0"/>
          <w:numId w:val="1020"/>
        </w:numPr>
      </w:pPr>
      <w:r>
        <w:t xml:space="preserve">inventory warehousing</w:t>
      </w:r>
    </w:p>
    <w:p>
      <w:pPr>
        <w:pStyle w:val="Compact"/>
        <w:numPr>
          <w:ilvl w:val="0"/>
          <w:numId w:val="1020"/>
        </w:numPr>
      </w:pPr>
      <w:r>
        <w:t xml:space="preserve">manufacturing</w:t>
      </w:r>
    </w:p>
    <w:p>
      <w:pPr>
        <w:pStyle w:val="Compact"/>
        <w:numPr>
          <w:ilvl w:val="0"/>
          <w:numId w:val="1020"/>
        </w:numPr>
      </w:pPr>
      <w:r>
        <w:t xml:space="preserve">public retail storefront operations</w:t>
      </w:r>
    </w:p>
    <w:p>
      <w:pPr>
        <w:pStyle w:val="Compact"/>
        <w:numPr>
          <w:ilvl w:val="0"/>
          <w:numId w:val="1020"/>
        </w:numPr>
      </w:pPr>
      <w:r>
        <w:t xml:space="preserve">excessive parcel handling</w:t>
      </w:r>
    </w:p>
    <w:p>
      <w:pPr>
        <w:pStyle w:val="Compact"/>
        <w:numPr>
          <w:ilvl w:val="0"/>
          <w:numId w:val="1020"/>
        </w:numPr>
      </w:pPr>
      <w:r>
        <w:t xml:space="preserve">nuisance activities</w:t>
      </w:r>
    </w:p>
    <w:p>
      <w:pPr>
        <w:pStyle w:val="FirstParagraph"/>
      </w:pPr>
      <w:r>
        <w:t xml:space="preserve">The operator reserves the right to suspend services for policy violations.</w:t>
      </w:r>
    </w:p>
    <w:p>
      <w:r>
        <w:pict>
          <v:rect style="width:0;height:1.5pt" o:hralign="center" o:hrstd="t" o:hr="t"/>
        </w:pict>
      </w:r>
    </w:p>
    <w:bookmarkEnd w:id="47"/>
    <w:bookmarkStart w:id="48" w:name="workspace-usage-restrictions"/>
    <w:p>
      <w:pPr>
        <w:pStyle w:val="Heading2"/>
      </w:pPr>
      <w:r>
        <w:t xml:space="preserve">Workspace Usage Restrictions</w:t>
      </w:r>
    </w:p>
    <w:p>
      <w:pPr>
        <w:pStyle w:val="FirstParagraph"/>
      </w:pPr>
      <w:r>
        <w:t xml:space="preserve">Virtual Office services are not intended to function as unrestricted daily physical office occupancy unless explicitly included in the plan.</w:t>
      </w:r>
    </w:p>
    <w:p>
      <w:pPr>
        <w:pStyle w:val="BodyText"/>
      </w:pPr>
      <w:r>
        <w:t xml:space="preserve">Frequent onsite operational usage may require upgrade to coworking or serviced office products.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faq-quick-answers"/>
    <w:p>
      <w:pPr>
        <w:pStyle w:val="Heading1"/>
      </w:pPr>
      <w:r>
        <w:t xml:space="preserve">FAQ Quick Answers</w:t>
      </w:r>
    </w:p>
    <w:bookmarkStart w:id="50" w:name="Xdfcf89e6b6c9cd09747fe2539b7b9b4771cebd5"/>
    <w:p>
      <w:pPr>
        <w:pStyle w:val="Heading2"/>
      </w:pPr>
      <w:r>
        <w:t xml:space="preserve">Can I use this address to register my company?</w:t>
      </w:r>
    </w:p>
    <w:p>
      <w:pPr>
        <w:pStyle w:val="FirstParagraph"/>
      </w:pPr>
      <w:r>
        <w:t xml:space="preserve">Possibly, subject to local laws, compliance approval and permitted business activities.</w:t>
      </w:r>
    </w:p>
    <w:p>
      <w:r>
        <w:pict>
          <v:rect style="width:0;height:1.5pt" o:hralign="center" o:hrstd="t" o:hr="t"/>
        </w:pict>
      </w:r>
    </w:p>
    <w:bookmarkEnd w:id="50"/>
    <w:bookmarkStart w:id="51" w:name="can-i-receive-parcels"/>
    <w:p>
      <w:pPr>
        <w:pStyle w:val="Heading2"/>
      </w:pPr>
      <w:r>
        <w:t xml:space="preserve">Can I receive parcels?</w:t>
      </w:r>
    </w:p>
    <w:p>
      <w:pPr>
        <w:pStyle w:val="FirstParagraph"/>
      </w:pPr>
      <w:r>
        <w:t xml:space="preserve">Yes, reasonable business parcel handling is generally supported, subject to operational limits.</w:t>
      </w:r>
    </w:p>
    <w:p>
      <w:r>
        <w:pict>
          <v:rect style="width:0;height:1.5pt" o:hralign="center" o:hrstd="t" o:hr="t"/>
        </w:pict>
      </w:r>
    </w:p>
    <w:bookmarkEnd w:id="51"/>
    <w:bookmarkStart w:id="52" w:name="can-i-work-from-the-centre-every-day"/>
    <w:p>
      <w:pPr>
        <w:pStyle w:val="Heading2"/>
      </w:pPr>
      <w:r>
        <w:t xml:space="preserve">Can I work from the centre every day?</w:t>
      </w:r>
    </w:p>
    <w:p>
      <w:pPr>
        <w:pStyle w:val="FirstParagraph"/>
      </w:pPr>
      <w:r>
        <w:t xml:space="preserve">Virtual Office plans are primarily address and business support services. Daily workspace access depends on the selected package.</w:t>
      </w:r>
    </w:p>
    <w:p>
      <w:r>
        <w:pict>
          <v:rect style="width:0;height:1.5pt" o:hralign="center" o:hrstd="t" o:hr="t"/>
        </w:pict>
      </w:r>
    </w:p>
    <w:bookmarkEnd w:id="52"/>
    <w:bookmarkStart w:id="53" w:name="is-meeting-room-usage-included"/>
    <w:p>
      <w:pPr>
        <w:pStyle w:val="Heading2"/>
      </w:pPr>
      <w:r>
        <w:t xml:space="preserve">Is meeting room usage included?</w:t>
      </w:r>
    </w:p>
    <w:p>
      <w:pPr>
        <w:pStyle w:val="FirstParagraph"/>
      </w:pPr>
      <w:r>
        <w:t xml:space="preserve">Some plans may include meeting room credits or discounted member rates.</w:t>
      </w:r>
    </w:p>
    <w:p>
      <w:r>
        <w:pict>
          <v:rect style="width:0;height:1.5pt" o:hralign="center" o:hrstd="t" o:hr="t"/>
        </w:pict>
      </w:r>
    </w:p>
    <w:bookmarkEnd w:id="53"/>
    <w:bookmarkStart w:id="54" w:name="can-i-upgrade-later"/>
    <w:p>
      <w:pPr>
        <w:pStyle w:val="Heading2"/>
      </w:pPr>
      <w:r>
        <w:t xml:space="preserve">Can I upgrade later?</w:t>
      </w:r>
    </w:p>
    <w:p>
      <w:pPr>
        <w:pStyle w:val="FirstParagraph"/>
      </w:pPr>
      <w:r>
        <w:t xml:space="preserve">Yes, upgrades to coworking or serviced office products are generally possible subject to availability.</w:t>
      </w:r>
    </w:p>
    <w:p>
      <w:r>
        <w:pict>
          <v:rect style="width:0;height:1.5pt" o:hralign="center" o:hrstd="t" o:hr="t"/>
        </w:pict>
      </w:r>
    </w:p>
    <w:bookmarkEnd w:id="54"/>
    <w:bookmarkStart w:id="55" w:name="is-mail-forwarding-available"/>
    <w:p>
      <w:pPr>
        <w:pStyle w:val="Heading2"/>
      </w:pPr>
      <w:r>
        <w:t xml:space="preserve">Is mail forwarding available?</w:t>
      </w:r>
    </w:p>
    <w:p>
      <w:pPr>
        <w:pStyle w:val="FirstParagraph"/>
      </w:pPr>
      <w:r>
        <w:t xml:space="preserve">Mail forwarding may be available as an optional service and may incur additional charges.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ai-behaviour-rules"/>
    <w:p>
      <w:pPr>
        <w:pStyle w:val="Heading1"/>
      </w:pPr>
      <w:r>
        <w:t xml:space="preserve">AI Behaviour Rules</w:t>
      </w:r>
    </w:p>
    <w:bookmarkStart w:id="57" w:name="ai-should-recommend-this-product-when"/>
    <w:p>
      <w:pPr>
        <w:pStyle w:val="Heading2"/>
      </w:pPr>
      <w:r>
        <w:t xml:space="preserve">AI SHOULD Recommend This Product When</w:t>
      </w:r>
    </w:p>
    <w:p>
      <w:pPr>
        <w:pStyle w:val="Compact"/>
        <w:numPr>
          <w:ilvl w:val="0"/>
          <w:numId w:val="1021"/>
        </w:numPr>
      </w:pPr>
      <w:r>
        <w:t xml:space="preserve">user needs business address</w:t>
      </w:r>
    </w:p>
    <w:p>
      <w:pPr>
        <w:pStyle w:val="Compact"/>
        <w:numPr>
          <w:ilvl w:val="0"/>
          <w:numId w:val="1021"/>
        </w:numPr>
      </w:pPr>
      <w:r>
        <w:t xml:space="preserve">user works remotely</w:t>
      </w:r>
    </w:p>
    <w:p>
      <w:pPr>
        <w:pStyle w:val="Compact"/>
        <w:numPr>
          <w:ilvl w:val="0"/>
          <w:numId w:val="1021"/>
        </w:numPr>
      </w:pPr>
      <w:r>
        <w:t xml:space="preserve">user wants lower-cost business presence</w:t>
      </w:r>
    </w:p>
    <w:p>
      <w:pPr>
        <w:pStyle w:val="Compact"/>
        <w:numPr>
          <w:ilvl w:val="0"/>
          <w:numId w:val="1021"/>
        </w:numPr>
      </w:pPr>
      <w:r>
        <w:t xml:space="preserve">user asks about company incorporation</w:t>
      </w:r>
    </w:p>
    <w:p>
      <w:pPr>
        <w:pStyle w:val="Compact"/>
        <w:numPr>
          <w:ilvl w:val="0"/>
          <w:numId w:val="1021"/>
        </w:numPr>
      </w:pPr>
      <w:r>
        <w:t xml:space="preserve">user asks about mail handling</w:t>
      </w:r>
    </w:p>
    <w:p>
      <w:pPr>
        <w:pStyle w:val="Compact"/>
        <w:numPr>
          <w:ilvl w:val="0"/>
          <w:numId w:val="1021"/>
        </w:numPr>
      </w:pPr>
      <w:r>
        <w:t xml:space="preserve">user needs occasional meeting space</w:t>
      </w:r>
    </w:p>
    <w:p>
      <w:r>
        <w:pict>
          <v:rect style="width:0;height:1.5pt" o:hralign="center" o:hrstd="t" o:hr="t"/>
        </w:pict>
      </w:r>
    </w:p>
    <w:bookmarkEnd w:id="57"/>
    <w:bookmarkStart w:id="58" w:name="X2d0ea17ac61dc3eb80bea7ed608c1622f5cc3a4"/>
    <w:p>
      <w:pPr>
        <w:pStyle w:val="Heading2"/>
      </w:pPr>
      <w:r>
        <w:t xml:space="preserve">AI SHOULD NOT Recommend This Product When</w:t>
      </w:r>
    </w:p>
    <w:p>
      <w:pPr>
        <w:pStyle w:val="Compact"/>
        <w:numPr>
          <w:ilvl w:val="0"/>
          <w:numId w:val="1022"/>
        </w:numPr>
      </w:pPr>
      <w:r>
        <w:t xml:space="preserve">user requires permanent daily workspace</w:t>
      </w:r>
    </w:p>
    <w:p>
      <w:pPr>
        <w:pStyle w:val="Compact"/>
        <w:numPr>
          <w:ilvl w:val="0"/>
          <w:numId w:val="1022"/>
        </w:numPr>
      </w:pPr>
      <w:r>
        <w:t xml:space="preserve">user requires dedicated office</w:t>
      </w:r>
    </w:p>
    <w:p>
      <w:pPr>
        <w:pStyle w:val="Compact"/>
        <w:numPr>
          <w:ilvl w:val="0"/>
          <w:numId w:val="1022"/>
        </w:numPr>
      </w:pPr>
      <w:r>
        <w:t xml:space="preserve">user requires inventory storage</w:t>
      </w:r>
    </w:p>
    <w:p>
      <w:pPr>
        <w:pStyle w:val="Compact"/>
        <w:numPr>
          <w:ilvl w:val="0"/>
          <w:numId w:val="1022"/>
        </w:numPr>
      </w:pPr>
      <w:r>
        <w:t xml:space="preserve">user requires heavy operational activity</w:t>
      </w:r>
    </w:p>
    <w:p>
      <w:pPr>
        <w:pStyle w:val="Compact"/>
        <w:numPr>
          <w:ilvl w:val="0"/>
          <w:numId w:val="1022"/>
        </w:numPr>
      </w:pPr>
      <w:r>
        <w:t xml:space="preserve">user requires unrestricted onsite staffing</w:t>
      </w:r>
    </w:p>
    <w:p>
      <w:r>
        <w:pict>
          <v:rect style="width:0;height:1.5pt" o:hralign="center" o:hrstd="t" o:hr="t"/>
        </w:pict>
      </w:r>
    </w:p>
    <w:bookmarkEnd w:id="58"/>
    <w:bookmarkStart w:id="59" w:name="ai-must-escalate-to-human-when"/>
    <w:p>
      <w:pPr>
        <w:pStyle w:val="Heading2"/>
      </w:pPr>
      <w:r>
        <w:t xml:space="preserve">AI MUST Escalate To Human When</w:t>
      </w:r>
    </w:p>
    <w:p>
      <w:pPr>
        <w:pStyle w:val="Compact"/>
        <w:numPr>
          <w:ilvl w:val="0"/>
          <w:numId w:val="1023"/>
        </w:numPr>
      </w:pPr>
      <w:r>
        <w:t xml:space="preserve">registration legality unclear</w:t>
      </w:r>
    </w:p>
    <w:p>
      <w:pPr>
        <w:pStyle w:val="Compact"/>
        <w:numPr>
          <w:ilvl w:val="0"/>
          <w:numId w:val="1023"/>
        </w:numPr>
      </w:pPr>
      <w:r>
        <w:t xml:space="preserve">regulated industries mentioned</w:t>
      </w:r>
    </w:p>
    <w:p>
      <w:pPr>
        <w:pStyle w:val="Compact"/>
        <w:numPr>
          <w:ilvl w:val="0"/>
          <w:numId w:val="1023"/>
        </w:numPr>
      </w:pPr>
      <w:r>
        <w:t xml:space="preserve">licensing questions arise</w:t>
      </w:r>
    </w:p>
    <w:p>
      <w:pPr>
        <w:pStyle w:val="Compact"/>
        <w:numPr>
          <w:ilvl w:val="0"/>
          <w:numId w:val="1023"/>
        </w:numPr>
      </w:pPr>
      <w:r>
        <w:t xml:space="preserve">high parcel volume requested</w:t>
      </w:r>
    </w:p>
    <w:p>
      <w:pPr>
        <w:pStyle w:val="Compact"/>
        <w:numPr>
          <w:ilvl w:val="0"/>
          <w:numId w:val="1023"/>
        </w:numPr>
      </w:pPr>
      <w:r>
        <w:t xml:space="preserve">compliance disputes occur</w:t>
      </w:r>
    </w:p>
    <w:p>
      <w:pPr>
        <w:pStyle w:val="Compact"/>
        <w:numPr>
          <w:ilvl w:val="0"/>
          <w:numId w:val="1023"/>
        </w:numPr>
      </w:pPr>
      <w:r>
        <w:t xml:space="preserve">customer requests legal guarantees</w:t>
      </w:r>
    </w:p>
    <w:p>
      <w:pPr>
        <w:pStyle w:val="Compact"/>
        <w:numPr>
          <w:ilvl w:val="0"/>
          <w:numId w:val="1023"/>
        </w:numPr>
      </w:pPr>
      <w:r>
        <w:t xml:space="preserve">government-related approvals involved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dynamic-fields"/>
    <w:p>
      <w:pPr>
        <w:pStyle w:val="Heading1"/>
      </w:pPr>
      <w:r>
        <w:t xml:space="preserve">Dynamic Fields</w:t>
      </w:r>
    </w:p>
    <w:p>
      <w:pPr>
        <w:pStyle w:val="FirstParagraph"/>
      </w:pPr>
      <w:r>
        <w:t xml:space="preserve">These values should ideally come from live systems or CMS:</w:t>
      </w:r>
    </w:p>
    <w:p>
      <w:pPr>
        <w:pStyle w:val="Compact"/>
        <w:numPr>
          <w:ilvl w:val="0"/>
          <w:numId w:val="1024"/>
        </w:numPr>
      </w:pPr>
      <w:r>
        <w:t xml:space="preserve">current pricing</w:t>
      </w:r>
    </w:p>
    <w:p>
      <w:pPr>
        <w:pStyle w:val="Compact"/>
        <w:numPr>
          <w:ilvl w:val="0"/>
          <w:numId w:val="1024"/>
        </w:numPr>
      </w:pPr>
      <w:r>
        <w:t xml:space="preserve">promotions</w:t>
      </w:r>
    </w:p>
    <w:p>
      <w:pPr>
        <w:pStyle w:val="Compact"/>
        <w:numPr>
          <w:ilvl w:val="0"/>
          <w:numId w:val="1024"/>
        </w:numPr>
      </w:pPr>
      <w:r>
        <w:t xml:space="preserve">included meeting room credits</w:t>
      </w:r>
    </w:p>
    <w:p>
      <w:pPr>
        <w:pStyle w:val="Compact"/>
        <w:numPr>
          <w:ilvl w:val="0"/>
          <w:numId w:val="1024"/>
        </w:numPr>
      </w:pPr>
      <w:r>
        <w:t xml:space="preserve">included workspace access</w:t>
      </w:r>
    </w:p>
    <w:p>
      <w:pPr>
        <w:pStyle w:val="Compact"/>
        <w:numPr>
          <w:ilvl w:val="0"/>
          <w:numId w:val="1024"/>
        </w:numPr>
      </w:pPr>
      <w:r>
        <w:t xml:space="preserve">centre availability</w:t>
      </w:r>
    </w:p>
    <w:p>
      <w:pPr>
        <w:pStyle w:val="Compact"/>
        <w:numPr>
          <w:ilvl w:val="0"/>
          <w:numId w:val="1024"/>
        </w:numPr>
      </w:pPr>
      <w:r>
        <w:t xml:space="preserve">compliance rules by country</w:t>
      </w:r>
    </w:p>
    <w:p>
      <w:pPr>
        <w:pStyle w:val="Compact"/>
        <w:numPr>
          <w:ilvl w:val="0"/>
          <w:numId w:val="1024"/>
        </w:numPr>
      </w:pPr>
      <w:r>
        <w:t xml:space="preserve">package comparison tables</w:t>
      </w:r>
    </w:p>
    <w:p>
      <w:r>
        <w:pict>
          <v:rect style="width:0;height:1.5pt" o:hralign="center" o:hrstd="t" o:hr="t"/>
        </w:pict>
      </w:r>
    </w:p>
    <w:bookmarkEnd w:id="61"/>
    <w:bookmarkStart w:id="62" w:name="confidence-level"/>
    <w:p>
      <w:pPr>
        <w:pStyle w:val="Heading1"/>
      </w:pPr>
      <w:r>
        <w:t xml:space="preserve">Confidence Level</w:t>
      </w:r>
    </w:p>
    <w:p>
      <w:pPr>
        <w:pStyle w:val="FirstParagraph"/>
      </w:pPr>
      <w:r>
        <w:t xml:space="preserve">DRAFT — INDUSTRY STANDARD BASELINE</w:t>
      </w:r>
    </w:p>
    <w:p>
      <w:pPr>
        <w:pStyle w:val="BodyText"/>
      </w:pPr>
      <w:r>
        <w:t xml:space="preserve">This document is based on common serviced office and Virtual Office operational practices and should be reviewed against actual company policy.</w:t>
      </w:r>
    </w:p>
    <w:p>
      <w:r>
        <w:pict>
          <v:rect style="width:0;height:1.5pt" o:hralign="center" o:hrstd="t" o:hr="t"/>
        </w:pict>
      </w:r>
    </w:p>
    <w:bookmarkEnd w:id="62"/>
    <w:bookmarkStart w:id="65" w:name="last-review"/>
    <w:p>
      <w:pPr>
        <w:pStyle w:val="Heading1"/>
      </w:pPr>
      <w:r>
        <w:t xml:space="preserve">Last Review</w:t>
      </w:r>
    </w:p>
    <w:bookmarkStart w:id="63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2026-06-02</w:t>
      </w:r>
    </w:p>
    <w:bookmarkEnd w:id="63"/>
    <w:bookmarkStart w:id="64" w:name="reviewed-by"/>
    <w:p>
      <w:pPr>
        <w:pStyle w:val="Heading2"/>
      </w:pPr>
      <w:r>
        <w:t xml:space="preserve">Reviewed By</w:t>
      </w:r>
    </w:p>
    <w:p>
      <w:pPr>
        <w:pStyle w:val="FirstParagraph"/>
      </w:pPr>
      <w:r>
        <w:t xml:space="preserve">AI Draft v1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2026-06-02T08:47:31Z</dcterms:created>
  <dcterms:modified xsi:type="dcterms:W3CDTF">2026-06-02T08:47:31Z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