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1A3C5E"/>
          <w:sz w:val="64"/>
          <w:szCs w:val="64"/>
        </w:rPr>
        <w:t xml:space="preserve">STOCKBRIDGE</w:t>
      </w:r>
    </w:p>
    <w:p>
      <w:pPr>
        <w:spacing w:after="40" w:before="0"/>
        <w:jc w:val="center"/>
      </w:pPr>
      <w:r>
        <w:rPr>
          <w:rFonts w:ascii="Arial" w:cs="Arial" w:eastAsia="Arial" w:hAnsi="Arial"/>
          <w:i/>
          <w:iCs/>
          <w:color w:val="2E75B6"/>
          <w:sz w:val="28"/>
          <w:szCs w:val="28"/>
        </w:rPr>
        <w:t xml:space="preserve">Intelligent Retail Management Platform</w:t>
      </w:r>
    </w:p>
    <w:p>
      <w:pPr>
        <w:pBdr>
          <w:bottom w:val="single" w:color="17A589" w:sz="10" w:space="2"/>
        </w:pBdr>
        <w:spacing w:after="200" w:before="0"/>
        <w:jc w:val="center"/>
      </w:pPr>
      <w:r>
        <w:rPr>
          <w:rFonts w:ascii="Arial" w:cs="Arial" w:eastAsia="Arial" w:hAnsi="Arial"/>
          <w:color w:val="666666"/>
          <w:sz w:val="20"/>
          <w:szCs w:val="20"/>
        </w:rPr>
        <w:t xml:space="preserve">Technical Synopsis  |  Viva / Examination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7A589" w:sz="3"/>
              <w:left w:val="single" w:color="17A589" w:sz="3"/>
              <w:bottom w:val="single" w:color="17A589" w:sz="3"/>
              <w:right w:val="single" w:color="17A589" w:sz="3"/>
            </w:tcBorders>
            <w:shd w:fill="1A3C5E"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MongoDB</w:t>
            </w:r>
          </w:p>
        </w:tc>
        <w:tc>
          <w:tcPr>
            <w:tcW w:type="dxa" w:w="1872"/>
            <w:tcBorders>
              <w:top w:val="single" w:color="17A589" w:sz="3"/>
              <w:left w:val="single" w:color="17A589" w:sz="3"/>
              <w:bottom w:val="single" w:color="17A589" w:sz="3"/>
              <w:right w:val="single" w:color="17A589" w:sz="3"/>
            </w:tcBorders>
            <w:shd w:fill="1A3C5E"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Express.js</w:t>
            </w:r>
          </w:p>
        </w:tc>
        <w:tc>
          <w:tcPr>
            <w:tcW w:type="dxa" w:w="1872"/>
            <w:tcBorders>
              <w:top w:val="single" w:color="17A589" w:sz="3"/>
              <w:left w:val="single" w:color="17A589" w:sz="3"/>
              <w:bottom w:val="single" w:color="17A589" w:sz="3"/>
              <w:right w:val="single" w:color="17A589" w:sz="3"/>
            </w:tcBorders>
            <w:shd w:fill="1A3C5E"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React 18</w:t>
            </w:r>
          </w:p>
        </w:tc>
        <w:tc>
          <w:tcPr>
            <w:tcW w:type="dxa" w:w="1872"/>
            <w:tcBorders>
              <w:top w:val="single" w:color="17A589" w:sz="3"/>
              <w:left w:val="single" w:color="17A589" w:sz="3"/>
              <w:bottom w:val="single" w:color="17A589" w:sz="3"/>
              <w:right w:val="single" w:color="17A589" w:sz="3"/>
            </w:tcBorders>
            <w:shd w:fill="1A3C5E"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Node.js</w:t>
            </w:r>
          </w:p>
        </w:tc>
        <w:tc>
          <w:tcPr>
            <w:tcW w:type="dxa" w:w="1872"/>
            <w:tcBorders>
              <w:top w:val="single" w:color="17A589" w:sz="3"/>
              <w:left w:val="single" w:color="17A589" w:sz="3"/>
              <w:bottom w:val="single" w:color="17A589" w:sz="3"/>
              <w:right w:val="single" w:color="17A589" w:sz="3"/>
            </w:tcBorders>
            <w:shd w:fill="1A3C5E"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Groq AI</w:t>
            </w:r>
          </w:p>
        </w:tc>
      </w:tr>
    </w:tbl>
    <w:p>
      <w:pPr>
        <w:spacing w:after="0" w:before="240"/>
      </w:pPr>
    </w:p>
    <w:p>
      <w:pPr>
        <w:pStyle w:val="Heading1"/>
        <w:spacing w:after="120" w:before="320"/>
      </w:pPr>
      <w:r>
        <w:rPr>
          <w:rFonts w:ascii="Arial" w:cs="Arial" w:eastAsia="Arial" w:hAnsi="Arial"/>
          <w:b/>
          <w:bCs/>
          <w:color w:val="1A3C5E"/>
          <w:sz w:val="30"/>
          <w:szCs w:val="30"/>
        </w:rPr>
        <w:t xml:space="preserve">1.  Abstract</w:t>
      </w:r>
    </w:p>
    <w:p>
      <w:pPr>
        <w:pBdr>
          <w:bottom w:val="single" w:color="17A589" w:sz="6" w:space="1"/>
        </w:pBdr>
        <w:spacing w:after="80" w:before="80"/>
      </w:pPr>
    </w:p>
    <w:p>
      <w:pPr>
        <w:spacing w:after="60" w:before="60"/>
        <w:jc w:val="both"/>
      </w:pPr>
      <w:r>
        <w:rPr>
          <w:rFonts w:ascii="Arial" w:cs="Arial" w:eastAsia="Arial" w:hAnsi="Arial"/>
          <w:sz w:val="20"/>
          <w:szCs w:val="20"/>
        </w:rPr>
        <w:t xml:space="preserve">StockBridge is a full-stack, AI-augmented retail management platform engineered on the MERN architecture — MongoDB, Express.js, React 18, and Node.js — with a vertically integrated automation and intelligence layer. The system addresses a critical gap in small-to-medium retail operations: the absence of a unified, intelligent tool that consolidates point-of-sale transactions, inventory lifecycle management, credit ledger tracking, and contextual business analytics under a single, real-time interface.</w:t>
      </w:r>
    </w:p>
    <w:p>
      <w:pPr>
        <w:spacing w:after="60" w:before="60"/>
      </w:pPr>
    </w:p>
    <w:p>
      <w:pPr>
        <w:spacing w:after="60" w:before="60"/>
        <w:jc w:val="both"/>
      </w:pPr>
      <w:r>
        <w:rPr>
          <w:rFonts w:ascii="Arial" w:cs="Arial" w:eastAsia="Arial" w:hAnsi="Arial"/>
          <w:sz w:val="20"/>
          <w:szCs w:val="20"/>
        </w:rPr>
        <w:t xml:space="preserve">At the core of its innovation is a Context-Injection AI Engine powered by Groq SDK (Llama 3.1 8B), which receives a dynamically compiled JSON Shop Snapshot — encapsulating live revenue, profit margins, top-selling SKUs, and low-stock thresholds — as a system-level prompt, enabling the model to deliver deterministic, shop-specific business intelligence rather than generic conversational output.</w:t>
      </w:r>
    </w:p>
    <w:p>
      <w:pPr>
        <w:spacing w:after="60" w:before="60"/>
      </w:pPr>
    </w:p>
    <w:p>
      <w:pPr>
        <w:spacing w:after="60" w:before="60"/>
        <w:jc w:val="both"/>
      </w:pPr>
      <w:r>
        <w:rPr>
          <w:rFonts w:ascii="Arial" w:cs="Arial" w:eastAsia="Arial" w:hAnsi="Arial"/>
          <w:sz w:val="20"/>
          <w:szCs w:val="20"/>
        </w:rPr>
        <w:t xml:space="preserve">The POS module supports three asynchronous barcode scanning modalities — hardware keyboard-wedge, real-time camera decoding via @zxing/browser, and static image upload — augmented by an external Barcode Lookup API that performs automatic product meta-population upon cache miss. Financial operations support multi-tender split-payment transactions (Cash, UPI, Credit) processed atomically. The Khata (credit ledger) subsystem is governed by a Node.js cron scheduler that dispatches dynamically rendered WhatsApp notifications carrying deep-linked UPI payment URIs (upi://pay) for frictionless debt settlement. All data access patterns are optimised through Mongoose compound indexing on (shop, createdAt) fields, achieving sub-millisecond query latency across dashboard aggregation pipelines. StockBridge represents a convergence of systems design, applied AI, and UX engineering.</w:t>
      </w:r>
    </w:p>
    <w:p>
      <w:pPr>
        <w:pStyle w:val="Heading1"/>
        <w:spacing w:after="120" w:before="320"/>
      </w:pPr>
      <w:r>
        <w:rPr>
          <w:rFonts w:ascii="Arial" w:cs="Arial" w:eastAsia="Arial" w:hAnsi="Arial"/>
          <w:b/>
          <w:bCs/>
          <w:color w:val="1A3C5E"/>
          <w:sz w:val="30"/>
          <w:szCs w:val="30"/>
        </w:rPr>
        <w:t xml:space="preserve">2.  Technical Architecture</w:t>
      </w:r>
    </w:p>
    <w:p>
      <w:pPr>
        <w:pBdr>
          <w:bottom w:val="single" w:color="2E75B6" w:sz="6" w:space="1"/>
        </w:pBdr>
        <w:spacing w:after="80" w:before="80"/>
      </w:pPr>
    </w:p>
    <w:p>
      <w:pPr>
        <w:spacing w:after="60" w:before="60"/>
        <w:jc w:val="both"/>
      </w:pPr>
      <w:r>
        <w:rPr>
          <w:rFonts w:ascii="Arial" w:cs="Arial" w:eastAsia="Arial" w:hAnsi="Arial"/>
          <w:sz w:val="20"/>
          <w:szCs w:val="20"/>
        </w:rPr>
        <w:t xml:space="preserve">StockBridge is structured as a four-layer distributed system: a React-based Client Layer, a RESTful API Service Layer, a Data Persistence Layer, and a cross-cutting Automation &amp; Intelligence Layer operating asynchronously.</w:t>
      </w:r>
    </w:p>
    <w:p>
      <w:pPr>
        <w:pStyle w:val="Heading2"/>
        <w:spacing w:after="80" w:before="200"/>
      </w:pPr>
      <w:r>
        <w:rPr>
          <w:rFonts w:ascii="Arial" w:cs="Arial" w:eastAsia="Arial" w:hAnsi="Arial"/>
          <w:b/>
          <w:bCs/>
          <w:color w:val="2E75B6"/>
          <w:sz w:val="24"/>
          <w:szCs w:val="24"/>
        </w:rPr>
        <w:t xml:space="preserve">2.1  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20" w:before="60"/>
              <w:jc w:val="center"/>
            </w:pPr>
            <w:r>
              <w:rPr>
                <w:rFonts w:ascii="Courier New" w:cs="Courier New" w:eastAsia="Courier New" w:hAnsi="Courier New"/>
                <w:b/>
                <w:bCs/>
                <w:color w:val="1A3C5E"/>
                <w:sz w:val="20"/>
                <w:szCs w:val="20"/>
              </w:rPr>
              <w:t xml:space="preserve">CLIENT LAYER (React 18 + Vite)</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jc w:val="center"/>
            </w:pPr>
            <w:r>
              <w:rPr>
                <w:rFonts w:ascii="Courier New" w:cs="Courier New" w:eastAsia="Courier New" w:hAnsi="Courier New"/>
                <w:color w:val="555555"/>
                <w:sz w:val="18"/>
                <w:szCs w:val="18"/>
              </w:rPr>
              <w:t xml:space="preserve">Recharts  |  Sonner Toasts  |  Lucide Icons  |  @zxing/browser</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8" w:before="8"/>
              <w:jc w:val="center"/>
            </w:pPr>
            <w:r>
              <w:rPr>
                <w:rFonts w:ascii="Courier New" w:cs="Courier New" w:eastAsia="Courier New" w:hAnsi="Courier New"/>
                <w:color w:val="2E75B6"/>
                <w:sz w:val="18"/>
                <w:szCs w:val="18"/>
              </w:rPr>
              <w:t xml:space="preserve">▼  HTTPS / REST  ▼</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jc w:val="center"/>
            </w:pPr>
            <w:r>
              <w:rPr>
                <w:rFonts w:ascii="Courier New" w:cs="Courier New" w:eastAsia="Courier New" w:hAnsi="Courier New"/>
                <w:b/>
                <w:bCs/>
                <w:color w:val="1A3C5E"/>
                <w:sz w:val="20"/>
                <w:szCs w:val="20"/>
              </w:rPr>
              <w:t xml:space="preserve">API SERVICE LAYER (Express.js + Node.js)</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jc w:val="center"/>
            </w:pPr>
            <w:r>
              <w:rPr>
                <w:rFonts w:ascii="Courier New" w:cs="Courier New" w:eastAsia="Courier New" w:hAnsi="Courier New"/>
                <w:color w:val="555555"/>
                <w:sz w:val="18"/>
                <w:szCs w:val="18"/>
              </w:rPr>
              <w:t xml:space="preserve">JWT Auth  |  Rate Limiter  |  Route Controllers  |  Groq SDK Client</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8" w:before="8"/>
              <w:jc w:val="center"/>
            </w:pPr>
            <w:r>
              <w:rPr>
                <w:rFonts w:ascii="Courier New" w:cs="Courier New" w:eastAsia="Courier New" w:hAnsi="Courier New"/>
                <w:color w:val="2E75B6"/>
                <w:sz w:val="18"/>
                <w:szCs w:val="18"/>
              </w:rPr>
              <w:t xml:space="preserve">▼  Mongoose ODM  ▼</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jc w:val="center"/>
            </w:pPr>
            <w:r>
              <w:rPr>
                <w:rFonts w:ascii="Courier New" w:cs="Courier New" w:eastAsia="Courier New" w:hAnsi="Courier New"/>
                <w:b/>
                <w:bCs/>
                <w:color w:val="1A3C5E"/>
                <w:sz w:val="20"/>
                <w:szCs w:val="20"/>
              </w:rPr>
              <w:t xml:space="preserve">DATA LAYER (MongoDB Atlas)</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20" w:before="0"/>
              <w:jc w:val="center"/>
            </w:pPr>
            <w:r>
              <w:rPr>
                <w:rFonts w:ascii="Courier New" w:cs="Courier New" w:eastAsia="Courier New" w:hAnsi="Courier New"/>
                <w:color w:val="555555"/>
                <w:sz w:val="18"/>
                <w:szCs w:val="18"/>
              </w:rPr>
              <w:t xml:space="preserve">Compound Indexes  |  Batch Inventory Schema  |  Aggregation Pipelines</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8" w:before="8"/>
              <w:jc w:val="center"/>
            </w:pPr>
            <w:r>
              <w:rPr>
                <w:rFonts w:ascii="Courier New" w:cs="Courier New" w:eastAsia="Courier New" w:hAnsi="Courier New"/>
                <w:color w:val="17A589"/>
                <w:sz w:val="18"/>
                <w:szCs w:val="18"/>
              </w:rPr>
              <w:t xml:space="preserve">— — AUTOMATION LAYER (Async / Out-of-Band) — —</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20" w:before="0"/>
              <w:jc w:val="center"/>
            </w:pPr>
            <w:r>
              <w:rPr>
                <w:rFonts w:ascii="Courier New" w:cs="Courier New" w:eastAsia="Courier New" w:hAnsi="Courier New"/>
                <w:color w:val="555555"/>
                <w:sz w:val="18"/>
                <w:szCs w:val="18"/>
              </w:rPr>
              <w:t xml:space="preserve">node-cron  |  WhatsApp API  |  UPI Deep-Link Generator  |  Groq LLM</w:t>
            </w:r>
          </w:p>
        </w:tc>
      </w:tr>
    </w:tbl>
    <w:p>
      <w:pPr>
        <w:pStyle w:val="Heading2"/>
        <w:spacing w:after="80" w:before="200"/>
      </w:pPr>
      <w:r>
        <w:rPr>
          <w:rFonts w:ascii="Arial" w:cs="Arial" w:eastAsia="Arial" w:hAnsi="Arial"/>
          <w:b/>
          <w:bCs/>
          <w:color w:val="2E75B6"/>
          <w:sz w:val="24"/>
          <w:szCs w:val="24"/>
        </w:rPr>
        <w:t xml:space="preserve">2.2  MERN Stack —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Layer</w:t>
            </w:r>
          </w:p>
        </w:tc>
        <w:tc>
          <w:tcPr>
            <w:tcW w:type="dxa" w:w="624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Responsibility &amp; Key Technologies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React 18 (Client)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Component-driven SPA; real-time barcode scanning via @zxing/browser WebWorker; Recharts for time-series visualisation; Sonner for non-blocking toast notifications; Lucide for consistent iconography.</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Express.js (API)</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RESTful route handlers; JWT middleware for stateless auth; express-rate-limit for DDoS mitigation; Multer for barcode image upload processing; modular controller architecture.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Node.js (Runtime)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Async I/O event loop; node-cron for 24-hour reminder job scheduling; Groq SDK instantiation; external Barcode API HTTP calls via Axios.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MongoDB (DB)</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Document-oriented storage; compound indexes on (shop, createdAt); aggregation pipeline for dashboard KPIs; Batch sub-documents for multi-price inventory.</w:t>
            </w:r>
          </w:p>
        </w:tc>
      </w:tr>
    </w:tbl>
    <w:p>
      <w:pPr>
        <w:pStyle w:val="Heading2"/>
        <w:spacing w:after="80" w:before="200"/>
      </w:pPr>
      <w:r>
        <w:rPr>
          <w:rFonts w:ascii="Arial" w:cs="Arial" w:eastAsia="Arial" w:hAnsi="Arial"/>
          <w:b/>
          <w:bCs/>
          <w:color w:val="2E75B6"/>
          <w:sz w:val="24"/>
          <w:szCs w:val="24"/>
        </w:rPr>
        <w:t xml:space="preserve">2.3  AI &amp; Automation Layers</w:t>
      </w:r>
    </w:p>
    <w:p>
      <w:pPr>
        <w:spacing w:after="60" w:before="60"/>
        <w:jc w:val="both"/>
      </w:pPr>
      <w:r>
        <w:rPr>
          <w:rFonts w:ascii="Arial" w:cs="Arial" w:eastAsia="Arial" w:hAnsi="Arial"/>
          <w:sz w:val="20"/>
          <w:szCs w:val="20"/>
        </w:rPr>
        <w:t xml:space="preserve">Two distinct asynchronous subsystems operate outside the synchronous request-response cycle: the Groq AI Engine and the Cron-driven Reminder Dispatcher. Both are decoupled from the core API to preserve response latency on critical POS endpoints.</w:t>
      </w:r>
    </w:p>
    <w:p>
      <w:r>
        <w:br/>
      </w:r>
    </w:p>
    <w:p>
      <w:pPr>
        <w:pStyle w:val="Heading1"/>
        <w:spacing w:after="120" w:before="320"/>
      </w:pPr>
      <w:r>
        <w:rPr>
          <w:rFonts w:ascii="Arial" w:cs="Arial" w:eastAsia="Arial" w:hAnsi="Arial"/>
          <w:b/>
          <w:bCs/>
          <w:color w:val="1A3C5E"/>
          <w:sz w:val="30"/>
          <w:szCs w:val="30"/>
        </w:rPr>
        <w:t xml:space="preserve">3.  Module Breakdown</w:t>
      </w:r>
    </w:p>
    <w:p>
      <w:pPr>
        <w:pBdr>
          <w:bottom w:val="single" w:color="2E75B6" w:sz="6" w:space="1"/>
        </w:pBdr>
        <w:spacing w:after="80" w:before="80"/>
      </w:pPr>
    </w:p>
    <w:p>
      <w:pPr>
        <w:pStyle w:val="Heading2"/>
        <w:spacing w:after="80" w:before="200"/>
      </w:pPr>
      <w:r>
        <w:rPr>
          <w:rFonts w:ascii="Arial" w:cs="Arial" w:eastAsia="Arial" w:hAnsi="Arial"/>
          <w:b/>
          <w:bCs/>
          <w:color w:val="2E75B6"/>
          <w:sz w:val="24"/>
          <w:szCs w:val="24"/>
        </w:rPr>
        <w:t xml:space="preserve">3.1  AI Insights Engine — Context Injection Architecture</w:t>
      </w:r>
    </w:p>
    <w:p>
      <w:pPr>
        <w:spacing w:after="60" w:before="60"/>
        <w:jc w:val="both"/>
      </w:pPr>
      <w:r>
        <w:rPr>
          <w:rFonts w:ascii="Arial" w:cs="Arial" w:eastAsia="Arial" w:hAnsi="Arial"/>
          <w:sz w:val="20"/>
          <w:szCs w:val="20"/>
        </w:rPr>
        <w:t xml:space="preserve">The AI module is built on a 'Shop Snapshot' pattern — a pre-flight data assembly mechanism that executes before every LLM invocation. This design ensures the language model operates within a fully grounded, real-time business context rather than relying on stochastic world knowledge.</w:t>
      </w:r>
    </w:p>
    <w:p>
      <w:pPr>
        <w:spacing w:after="60" w:before="160"/>
      </w:pPr>
      <w:r>
        <w:rPr>
          <w:rFonts w:ascii="Arial" w:cs="Arial" w:eastAsia="Arial" w:hAnsi="Arial"/>
          <w:b/>
          <w:bCs/>
          <w:color w:val="17A589"/>
          <w:sz w:val="22"/>
          <w:szCs w:val="22"/>
        </w:rPr>
        <w:t xml:space="preserve">Shop Snapshot — Data Pipeline</w:t>
      </w:r>
    </w:p>
    <w:p>
      <w:pPr>
        <w:pStyle w:val="ListParagraph"/>
        <w:numPr>
          <w:ilvl w:val="0"/>
          <w:numId w:val="2"/>
        </w:numPr>
        <w:spacing w:after="40" w:before="40"/>
      </w:pPr>
      <w:r>
        <w:rPr>
          <w:rFonts w:ascii="Arial" w:cs="Arial" w:eastAsia="Arial" w:hAnsi="Arial"/>
          <w:sz w:val="20"/>
          <w:szCs w:val="20"/>
        </w:rPr>
        <w:t xml:space="preserve">Step 1 — Parallel MongoDB Aggregation: The backend concurrently resolves Today's Revenue (sum of all sales.totalAmount where createdAt &gt;= today), Today's Profit (revenue minus cost-of-goods-sold from Batch purchase prices), Top 5 Items (sorted by quantity sold descending), and Low Stock Items (inventory.quantity &lt; reorderThreshold).</w:t>
      </w:r>
    </w:p>
    <w:p>
      <w:pPr>
        <w:pStyle w:val="ListParagraph"/>
        <w:numPr>
          <w:ilvl w:val="0"/>
          <w:numId w:val="2"/>
        </w:numPr>
        <w:spacing w:after="40" w:before="40"/>
      </w:pPr>
      <w:r>
        <w:rPr>
          <w:rFonts w:ascii="Arial" w:cs="Arial" w:eastAsia="Arial" w:hAnsi="Arial"/>
          <w:sz w:val="20"/>
          <w:szCs w:val="20"/>
        </w:rPr>
        <w:t xml:space="preserve">Step 2 — JSON Serialisation: The resolved data is serialised into a structured JSON object: { revenue, profit, topItems: [...], lowStock: [...] }.</w:t>
      </w:r>
    </w:p>
    <w:p>
      <w:pPr>
        <w:pStyle w:val="ListParagraph"/>
        <w:numPr>
          <w:ilvl w:val="0"/>
          <w:numId w:val="2"/>
        </w:numPr>
        <w:spacing w:after="40" w:before="40"/>
      </w:pPr>
      <w:r>
        <w:rPr>
          <w:rFonts w:ascii="Arial" w:cs="Arial" w:eastAsia="Arial" w:hAnsi="Arial"/>
          <w:sz w:val="20"/>
          <w:szCs w:val="20"/>
        </w:rPr>
        <w:t xml:space="preserve">Step 3 — Context Injection: The JSON snapshot is injected into the Groq SDK call as a system-prompt directive: 'You are a business AI assistant. Here is today’s shop data: &lt;snapshot&gt;. Answer all questions using this data.'</w:t>
      </w:r>
    </w:p>
    <w:p>
      <w:pPr>
        <w:pStyle w:val="ListParagraph"/>
        <w:numPr>
          <w:ilvl w:val="0"/>
          <w:numId w:val="2"/>
        </w:numPr>
        <w:spacing w:after="40" w:before="40"/>
      </w:pPr>
      <w:r>
        <w:rPr>
          <w:rFonts w:ascii="Arial" w:cs="Arial" w:eastAsia="Arial" w:hAnsi="Arial"/>
          <w:sz w:val="20"/>
          <w:szCs w:val="20"/>
        </w:rPr>
        <w:t xml:space="preserve">Step 4 — LLM Invocation: The user’s query is appended as the user role message. Groq's Llama 3.1 8B model returns a deterministic, context-bound response in under 800ms due to Groq’s LPU inference hardware.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20" w:before="60"/>
            </w:pPr>
            <w:r>
              <w:rPr>
                <w:rFonts w:ascii="Arial" w:cs="Arial" w:eastAsia="Arial" w:hAnsi="Arial"/>
                <w:b/>
                <w:bCs/>
                <w:color w:val="1A3C5E"/>
                <w:sz w:val="18"/>
                <w:szCs w:val="18"/>
              </w:rPr>
              <w:t xml:space="preserve">Sample Context-Injected System Prompt (Pseudo-code)</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pPr>
            <w:r>
              <w:rPr>
                <w:rFonts w:ascii="Courier New" w:cs="Courier New" w:eastAsia="Courier New" w:hAnsi="Courier New"/>
                <w:color w:val="C0392B"/>
                <w:sz w:val="18"/>
                <w:szCs w:val="18"/>
              </w:rPr>
              <w:t xml:space="preserve">system: "You are a shop AI. Data: { revenue: 14200, profit: 3100,</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pPr>
            <w:r>
              <w:rPr>
                <w:rFonts w:ascii="Courier New" w:cs="Courier New" w:eastAsia="Courier New" w:hAnsi="Courier New"/>
                <w:color w:val="C0392B"/>
                <w:sz w:val="18"/>
                <w:szCs w:val="18"/>
              </w:rPr>
              <w:t xml:space="preserve">         topItems: [{name:"Rice 5kg", qty:42}], lowStock:[{name:"Oil 1L"}] }"</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0" w:before="0"/>
            </w:pPr>
            <w:r>
              <w:rPr>
                <w:rFonts w:ascii="Courier New" w:cs="Courier New" w:eastAsia="Courier New" w:hAnsi="Courier New"/>
                <w:color w:val="C0392B"/>
                <w:sz w:val="18"/>
                <w:szCs w:val="18"/>
              </w:rPr>
              <w:t xml:space="preserve">user:   "Which items should I restock and what was my profit today?"</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C0392B"/>
                <w:sz w:val="18"/>
                <w:szCs w:val="18"/>
              </w:rPr>
              <w:t xml:space="preserve">→ AI grounds answer in the injected JSON, not parametric knowledge.</w:t>
            </w:r>
          </w:p>
        </w:tc>
      </w:tr>
    </w:tbl>
    <w:p>
      <w:pPr>
        <w:pStyle w:val="Heading2"/>
        <w:spacing w:after="80" w:before="200"/>
      </w:pPr>
      <w:r>
        <w:rPr>
          <w:rFonts w:ascii="Arial" w:cs="Arial" w:eastAsia="Arial" w:hAnsi="Arial"/>
          <w:b/>
          <w:bCs/>
          <w:color w:val="2E75B6"/>
          <w:sz w:val="24"/>
          <w:szCs w:val="24"/>
        </w:rPr>
        <w:t xml:space="preserve">3.2  Advanced POS &amp; Barcode Subsystem</w:t>
      </w:r>
    </w:p>
    <w:p>
      <w:pPr>
        <w:spacing w:after="60" w:before="60"/>
        <w:jc w:val="both"/>
      </w:pPr>
      <w:r>
        <w:rPr>
          <w:rFonts w:ascii="Arial" w:cs="Arial" w:eastAsia="Arial" w:hAnsi="Arial"/>
          <w:sz w:val="20"/>
          <w:szCs w:val="20"/>
        </w:rPr>
        <w:t xml:space="preserve">The Point-of-Sale module is a multi-modal, fault-tolerant transaction engine. Three independent scanning pipelines feed a unified cart state managed via React useReducer, ensuring atomic cart operations regardless of input modality.</w:t>
      </w:r>
    </w:p>
    <w:p>
      <w:pPr>
        <w:spacing w:after="60" w:before="160"/>
      </w:pPr>
      <w:r>
        <w:rPr>
          <w:rFonts w:ascii="Arial" w:cs="Arial" w:eastAsia="Arial" w:hAnsi="Arial"/>
          <w:b/>
          <w:bCs/>
          <w:color w:val="17A589"/>
          <w:sz w:val="22"/>
          <w:szCs w:val="22"/>
        </w:rPr>
        <w:t xml:space="preserve">Scanning Mode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Mode</w:t>
            </w:r>
          </w:p>
        </w:tc>
        <w:tc>
          <w:tcPr>
            <w:tcW w:type="dxa" w:w="624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Technical Implementation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Keyboard Wedge (Hardware Scanner)</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HID device emits keystrokes terminated by Enter. A focused input field captures the character stream. Debounced onKeyDown handler fires lookup after 50ms of inactivity, distinguishing scanner input from keyboard typing.</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Live Camera (@zxing/browser)</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BrowserMultiFormatReader instantiated in a React useEffect hook. Streams MediaDevices.getUserMedia() frames through ZXing's WASM decoder. Supports QR, Code128, EAN-13, and 40+ other symbologies asynchronously.</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Image Upload</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File processed via FileReader API to an ImageBitmap. Fed to ZXing's decodeFromImageElement method for single-shot barcode extraction. Handles receipts, packaging photos, and screenshots.</w:t>
            </w:r>
          </w:p>
        </w:tc>
      </w:tr>
    </w:tbl>
    <w:p>
      <w:pPr>
        <w:spacing w:after="60" w:before="160"/>
      </w:pPr>
      <w:r>
        <w:rPr>
          <w:rFonts w:ascii="Arial" w:cs="Arial" w:eastAsia="Arial" w:hAnsi="Arial"/>
          <w:b/>
          <w:bCs/>
          <w:color w:val="17A589"/>
          <w:sz w:val="22"/>
          <w:szCs w:val="22"/>
        </w:rPr>
        <w:t xml:space="preserve">External Barcode API — Cache-Miss Resolution</w:t>
      </w:r>
    </w:p>
    <w:p>
      <w:pPr>
        <w:spacing w:after="60" w:before="60"/>
        <w:jc w:val="both"/>
      </w:pPr>
      <w:r>
        <w:rPr>
          <w:rFonts w:ascii="Arial" w:cs="Arial" w:eastAsia="Arial" w:hAnsi="Arial"/>
          <w:sz w:val="20"/>
          <w:szCs w:val="20"/>
        </w:rPr>
        <w:t xml:space="preserve">If a scanned barcode yields no result in the local MongoDB product collection, the backend asynchronously queries an external Open Food Facts / Barcode Lookup API. The resolved product name and category are returned to the client for auto-population of the add-product form, eliminating manual SKU entry. Results are cached in the local DB post-confirmation to reduce future API calls.</w:t>
      </w:r>
    </w:p>
    <w:p>
      <w:pPr>
        <w:spacing w:after="60" w:before="160"/>
      </w:pPr>
      <w:r>
        <w:rPr>
          <w:rFonts w:ascii="Arial" w:cs="Arial" w:eastAsia="Arial" w:hAnsi="Arial"/>
          <w:b/>
          <w:bCs/>
          <w:color w:val="17A589"/>
          <w:sz w:val="22"/>
          <w:szCs w:val="22"/>
        </w:rPr>
        <w:t xml:space="preserve">Split Payment Transaction Logic</w:t>
      </w:r>
    </w:p>
    <w:p>
      <w:pPr>
        <w:spacing w:after="60" w:before="60"/>
        <w:jc w:val="both"/>
      </w:pPr>
      <w:r>
        <w:rPr>
          <w:rFonts w:ascii="Arial" w:cs="Arial" w:eastAsia="Arial" w:hAnsi="Arial"/>
          <w:sz w:val="20"/>
          <w:szCs w:val="20"/>
        </w:rPr>
        <w:t xml:space="preserve">A single sale transaction supports multiple concurrent tender types. The client accumulates tender allocations: { cash: 200, upi: 150, credit: 100 }. The total is validated server-side against the cart grand total before atomic persistence. The credit portion is posted to the customer's Khata ledger in the same database transaction, ensuring financial consistency.</w:t>
      </w:r>
    </w:p>
    <w:p>
      <w:pPr>
        <w:pStyle w:val="Heading2"/>
        <w:spacing w:after="80" w:before="200"/>
      </w:pPr>
      <w:r>
        <w:rPr>
          <w:rFonts w:ascii="Arial" w:cs="Arial" w:eastAsia="Arial" w:hAnsi="Arial"/>
          <w:b/>
          <w:bCs/>
          <w:color w:val="2E75B6"/>
          <w:sz w:val="24"/>
          <w:szCs w:val="24"/>
        </w:rPr>
        <w:t xml:space="preserve">3.3  Khata (Credit Ledger) &amp; Cron Reminder System</w:t>
      </w:r>
    </w:p>
    <w:p>
      <w:pPr>
        <w:spacing w:after="60" w:before="60"/>
        <w:jc w:val="both"/>
      </w:pPr>
      <w:r>
        <w:rPr>
          <w:rFonts w:ascii="Arial" w:cs="Arial" w:eastAsia="Arial" w:hAnsi="Arial"/>
          <w:sz w:val="20"/>
          <w:szCs w:val="20"/>
        </w:rPr>
        <w:t xml:space="preserve">The Khata module implements a double-entry style credit ledger per customer. Each credit extension appends a ledger entry { amount, date, description } to the customer document and increments totalCredit. Payments decrement totalCredit and log a settlement entry.</w:t>
      </w:r>
    </w:p>
    <w:p>
      <w:pPr>
        <w:spacing w:after="60" w:before="160"/>
      </w:pPr>
      <w:r>
        <w:rPr>
          <w:rFonts w:ascii="Arial" w:cs="Arial" w:eastAsia="Arial" w:hAnsi="Arial"/>
          <w:b/>
          <w:bCs/>
          <w:color w:val="17A589"/>
          <w:sz w:val="22"/>
          <w:szCs w:val="22"/>
        </w:rPr>
        <w:t xml:space="preserve">Automated Reminder — Execution Flow</w:t>
      </w:r>
    </w:p>
    <w:p>
      <w:pPr>
        <w:pStyle w:val="ListParagraph"/>
        <w:numPr>
          <w:ilvl w:val="0"/>
          <w:numId w:val="2"/>
        </w:numPr>
        <w:spacing w:after="40" w:before="40"/>
      </w:pPr>
      <w:r>
        <w:rPr>
          <w:rFonts w:ascii="Arial" w:cs="Arial" w:eastAsia="Arial" w:hAnsi="Arial"/>
          <w:sz w:val="20"/>
          <w:szCs w:val="20"/>
        </w:rPr>
        <w:t xml:space="preserve">Cron Trigger: A node-cron job fires at 09:00 AM every 24 hours: cron.schedule('0 9 * * *', reminderJob).</w:t>
      </w:r>
    </w:p>
    <w:p>
      <w:pPr>
        <w:pStyle w:val="ListParagraph"/>
        <w:numPr>
          <w:ilvl w:val="0"/>
          <w:numId w:val="2"/>
        </w:numPr>
        <w:spacing w:after="40" w:before="40"/>
      </w:pPr>
      <w:r>
        <w:rPr>
          <w:rFonts w:ascii="Arial" w:cs="Arial" w:eastAsia="Arial" w:hAnsi="Arial"/>
          <w:sz w:val="20"/>
          <w:szCs w:val="20"/>
        </w:rPr>
        <w:t xml:space="preserve">Query: The job queries all customers where totalCredit &gt; 0 AND nextReminderDate equals today's date (date-only comparison, timezone-aware).</w:t>
      </w:r>
    </w:p>
    <w:p>
      <w:pPr>
        <w:pStyle w:val="ListParagraph"/>
        <w:numPr>
          <w:ilvl w:val="0"/>
          <w:numId w:val="2"/>
        </w:numPr>
        <w:spacing w:after="40" w:before="40"/>
      </w:pPr>
      <w:r>
        <w:rPr>
          <w:rFonts w:ascii="Arial" w:cs="Arial" w:eastAsia="Arial" w:hAnsi="Arial"/>
          <w:sz w:val="20"/>
          <w:szCs w:val="20"/>
        </w:rPr>
        <w:t xml:space="preserve">Message Generation: For each matched customer, a dynamic WhatsApp message is composed containing: customer name, itemised outstanding balance, a formatted ledger summary, and a deep-linked UPI payment URI.</w:t>
      </w:r>
    </w:p>
    <w:p>
      <w:pPr>
        <w:pStyle w:val="ListParagraph"/>
        <w:numPr>
          <w:ilvl w:val="0"/>
          <w:numId w:val="2"/>
        </w:numPr>
        <w:spacing w:after="40" w:before="40"/>
      </w:pPr>
      <w:r>
        <w:rPr>
          <w:rFonts w:ascii="Arial" w:cs="Arial" w:eastAsia="Arial" w:hAnsi="Arial"/>
          <w:sz w:val="20"/>
          <w:szCs w:val="20"/>
        </w:rPr>
        <w:t xml:space="preserve">UPI Deep-Link: The link follows the UPI URI scheme: upi://pay?pa=&lt;vpa&gt;&amp;pn=&lt;shopName&gt;&amp;am=&lt;amount&gt;&amp;tn=&lt;txnNote&gt;. On Android/iOS, this launches the preferred UPI app (GPay, PhonePe, Paytm) with the amount pre-filled.</w:t>
      </w:r>
    </w:p>
    <w:p>
      <w:pPr>
        <w:pStyle w:val="ListParagraph"/>
        <w:numPr>
          <w:ilvl w:val="0"/>
          <w:numId w:val="2"/>
        </w:numPr>
        <w:spacing w:after="40" w:before="40"/>
      </w:pPr>
      <w:r>
        <w:rPr>
          <w:rFonts w:ascii="Arial" w:cs="Arial" w:eastAsia="Arial" w:hAnsi="Arial"/>
          <w:sz w:val="20"/>
          <w:szCs w:val="20"/>
        </w:rPr>
        <w:t xml:space="preserve">Dispatch: The message is sent via WhatsApp Business API, requiring only a registered phone number and API token, with no per-message cost for template-approved messages.</w:t>
      </w:r>
    </w:p>
    <w:p>
      <w:r>
        <w:br/>
      </w:r>
    </w:p>
    <w:p>
      <w:pPr>
        <w:pStyle w:val="Heading1"/>
        <w:spacing w:after="120" w:before="320"/>
      </w:pPr>
      <w:r>
        <w:rPr>
          <w:rFonts w:ascii="Arial" w:cs="Arial" w:eastAsia="Arial" w:hAnsi="Arial"/>
          <w:b/>
          <w:bCs/>
          <w:color w:val="1A3C5E"/>
          <w:sz w:val="30"/>
          <w:szCs w:val="30"/>
        </w:rPr>
        <w:t xml:space="preserve">4.  Security &amp; Scalability</w:t>
      </w:r>
    </w:p>
    <w:p>
      <w:pPr>
        <w:pBdr>
          <w:bottom w:val="single" w:color="2E75B6" w:sz="6" w:space="1"/>
        </w:pBdr>
        <w:spacing w:after="80" w:before="80"/>
      </w:pPr>
    </w:p>
    <w:p>
      <w:pPr>
        <w:pStyle w:val="Heading2"/>
        <w:spacing w:after="80" w:before="200"/>
      </w:pPr>
      <w:r>
        <w:rPr>
          <w:rFonts w:ascii="Arial" w:cs="Arial" w:eastAsia="Arial" w:hAnsi="Arial"/>
          <w:b/>
          <w:bCs/>
          <w:color w:val="2E75B6"/>
          <w:sz w:val="24"/>
          <w:szCs w:val="24"/>
        </w:rPr>
        <w:t xml:space="preserve">4.1  Authentication — Stateless JWT Architecture</w:t>
      </w:r>
    </w:p>
    <w:p>
      <w:pPr>
        <w:spacing w:after="60" w:before="60"/>
        <w:jc w:val="both"/>
      </w:pPr>
      <w:r>
        <w:rPr>
          <w:rFonts w:ascii="Arial" w:cs="Arial" w:eastAsia="Arial" w:hAnsi="Arial"/>
          <w:sz w:val="20"/>
          <w:szCs w:val="20"/>
        </w:rPr>
        <w:t xml:space="preserve">StockBridge uses JSON Web Tokens (JWT) for stateless session management. Upon successful login, the server signs a token containing { userId, shopId, role } with a 256-bit HMAC secret. The token has a configurable expiry (default: 7 days). Every subsequent API request includes the token in the Authorization: Bearer &lt;token&gt; header. A custom Express middleware validates the token signature and injects the decoded payload into req.user, making shop-scoped data access enforcement trivial and preventing cross-tenant data leakage.</w:t>
      </w:r>
    </w:p>
    <w:p>
      <w:pPr>
        <w:pStyle w:val="Heading2"/>
        <w:spacing w:after="80" w:before="200"/>
      </w:pPr>
      <w:r>
        <w:rPr>
          <w:rFonts w:ascii="Arial" w:cs="Arial" w:eastAsia="Arial" w:hAnsi="Arial"/>
          <w:b/>
          <w:bCs/>
          <w:color w:val="2E75B6"/>
          <w:sz w:val="24"/>
          <w:szCs w:val="24"/>
        </w:rPr>
        <w:t xml:space="preserve">4.2  Rate Limiting &amp; Abuse Prevention</w:t>
      </w:r>
    </w:p>
    <w:p>
      <w:pPr>
        <w:spacing w:after="60" w:before="60"/>
        <w:jc w:val="both"/>
      </w:pPr>
      <w:r>
        <w:rPr>
          <w:rFonts w:ascii="Arial" w:cs="Arial" w:eastAsia="Arial" w:hAnsi="Arial"/>
          <w:sz w:val="20"/>
          <w:szCs w:val="20"/>
        </w:rPr>
        <w:t xml:space="preserve">The </w:t>
      </w:r>
      <w:r>
        <w:rPr>
          <w:rFonts w:ascii="Courier New" w:cs="Courier New" w:eastAsia="Courier New" w:hAnsi="Courier New"/>
          <w:color w:val="C0392B"/>
          <w:sz w:val="18"/>
          <w:szCs w:val="18"/>
        </w:rPr>
        <w:t xml:space="preserve">express-rate-limit</w:t>
      </w:r>
      <w:r>
        <w:rPr>
          <w:rFonts w:ascii="Arial" w:cs="Arial" w:eastAsia="Arial" w:hAnsi="Arial"/>
          <w:sz w:val="20"/>
          <w:szCs w:val="20"/>
        </w:rPr>
        <w:t xml:space="preserve"> middleware is applied globally and at sensitive route groups. The AI endpoint is rate-limited to 10 requests/minute per IP to prevent Groq API quota exhaustion. Auth endpoints are limited to 5 attempts/15-minute window to mitigate brute-force attacks. Rate limit state is maintained in an in-memory store (upgradeable to Redis for multi-instance deployments).</w:t>
      </w:r>
    </w:p>
    <w:p>
      <w:pPr>
        <w:pStyle w:val="Heading2"/>
        <w:spacing w:after="80" w:before="200"/>
      </w:pPr>
      <w:r>
        <w:rPr>
          <w:rFonts w:ascii="Arial" w:cs="Arial" w:eastAsia="Arial" w:hAnsi="Arial"/>
          <w:b/>
          <w:bCs/>
          <w:color w:val="2E75B6"/>
          <w:sz w:val="24"/>
          <w:szCs w:val="24"/>
        </w:rPr>
        <w:t xml:space="preserve">4.3  MongoDB Indexing Strategy — Performance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Index</w:t>
            </w:r>
          </w:p>
        </w:tc>
        <w:tc>
          <w:tcPr>
            <w:tcW w:type="dxa" w:w="624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 &amp; Performance Gain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Compound: (shop, createdAt)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Covers all dashboard queries that filter by shop ID and date range. Without this index, a full collection scan over millions of sale documents would be required. With it, the query planner uses an index range scan — O(log n) lookup, typically under 5ms.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Compound: (shop, product)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Accelerates inventory queries that join shop context with product identity, used in restocking and batch lookups.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Single: (customer, shop)</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Speeds up Khata ledger retrieval and cron job customer queries. Supports covered queries where only indexed fields are projected.</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TTL Index (optional)</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Applied to session logs or temporary barcode cache documents for automatic expiry, reducing storage overhead without manual cleanup jobs.</w:t>
            </w:r>
          </w:p>
        </w:tc>
      </w:tr>
    </w:tbl>
    <w:p>
      <w:pPr>
        <w:pStyle w:val="Heading2"/>
        <w:spacing w:after="80" w:before="200"/>
      </w:pPr>
      <w:r>
        <w:rPr>
          <w:rFonts w:ascii="Arial" w:cs="Arial" w:eastAsia="Arial" w:hAnsi="Arial"/>
          <w:b/>
          <w:bCs/>
          <w:color w:val="2E75B6"/>
          <w:sz w:val="24"/>
          <w:szCs w:val="24"/>
        </w:rPr>
        <w:t xml:space="preserve">4.4  Scalability Considerations</w:t>
      </w:r>
    </w:p>
    <w:p>
      <w:pPr>
        <w:pStyle w:val="ListParagraph"/>
        <w:numPr>
          <w:ilvl w:val="0"/>
          <w:numId w:val="2"/>
        </w:numPr>
        <w:spacing w:after="40" w:before="40"/>
      </w:pPr>
      <w:r>
        <w:rPr>
          <w:rFonts w:ascii="Arial" w:cs="Arial" w:eastAsia="Arial" w:hAnsi="Arial"/>
          <w:sz w:val="20"/>
          <w:szCs w:val="20"/>
        </w:rPr>
        <w:t xml:space="preserve">Horizontal Scaling: The Express API is stateless (JWT-based), making it trivially deployable behind a load balancer (Nginx / AWS ALB) with N identical instances.</w:t>
      </w:r>
    </w:p>
    <w:p>
      <w:pPr>
        <w:pStyle w:val="ListParagraph"/>
        <w:numPr>
          <w:ilvl w:val="0"/>
          <w:numId w:val="2"/>
        </w:numPr>
        <w:spacing w:after="40" w:before="40"/>
      </w:pPr>
      <w:r>
        <w:rPr>
          <w:rFonts w:ascii="Arial" w:cs="Arial" w:eastAsia="Arial" w:hAnsi="Arial"/>
          <w:sz w:val="20"/>
          <w:szCs w:val="20"/>
        </w:rPr>
        <w:t xml:space="preserve">MongoDB Atlas: Cloud-hosted with built-in auto-sharding, replica sets for read scaling, and point-in-time backup.</w:t>
      </w:r>
    </w:p>
    <w:p>
      <w:pPr>
        <w:pStyle w:val="ListParagraph"/>
        <w:numPr>
          <w:ilvl w:val="0"/>
          <w:numId w:val="2"/>
        </w:numPr>
        <w:spacing w:after="40" w:before="40"/>
      </w:pPr>
      <w:r>
        <w:rPr>
          <w:rFonts w:ascii="Arial" w:cs="Arial" w:eastAsia="Arial" w:hAnsi="Arial"/>
          <w:sz w:val="20"/>
          <w:szCs w:val="20"/>
        </w:rPr>
        <w:t xml:space="preserve">Groq LLM: API-based integration; no self-hosted GPU infrastructure required. Groq's LPU hardware delivers ~500 tokens/sec, ensuring AI responses complete within a single HTTP timeout window.</w:t>
      </w:r>
    </w:p>
    <w:p>
      <w:pPr>
        <w:pStyle w:val="ListParagraph"/>
        <w:numPr>
          <w:ilvl w:val="0"/>
          <w:numId w:val="2"/>
        </w:numPr>
        <w:spacing w:after="40" w:before="40"/>
      </w:pPr>
      <w:r>
        <w:rPr>
          <w:rFonts w:ascii="Arial" w:cs="Arial" w:eastAsia="Arial" w:hAnsi="Arial"/>
          <w:sz w:val="20"/>
          <w:szCs w:val="20"/>
        </w:rPr>
        <w:t xml:space="preserve">Cron Isolation: The reminder cron runs within the Node.js process but can be extracted to a dedicated worker (BullMQ + Redis) for enterprise-scale deployments handling thousands of shops.</w:t>
      </w:r>
    </w:p>
    <w:p>
      <w:pPr>
        <w:pStyle w:val="Heading1"/>
        <w:spacing w:after="120" w:before="320"/>
      </w:pPr>
      <w:r>
        <w:rPr>
          <w:rFonts w:ascii="Arial" w:cs="Arial" w:eastAsia="Arial" w:hAnsi="Arial"/>
          <w:b/>
          <w:bCs/>
          <w:color w:val="1A3C5E"/>
          <w:sz w:val="30"/>
          <w:szCs w:val="30"/>
        </w:rPr>
        <w:t xml:space="preserve">5.  Innovation Highlights</w:t>
      </w:r>
    </w:p>
    <w:p>
      <w:pPr>
        <w:pBdr>
          <w:bottom w:val="single" w:color="2E75B6" w:sz="6" w:space="1"/>
        </w:pBdr>
        <w:spacing w:after="80" w:before="80"/>
      </w:pPr>
    </w:p>
    <w:p>
      <w:pPr>
        <w:pStyle w:val="Heading2"/>
        <w:spacing w:after="80" w:before="200"/>
      </w:pPr>
      <w:r>
        <w:rPr>
          <w:rFonts w:ascii="Arial" w:cs="Arial" w:eastAsia="Arial" w:hAnsi="Arial"/>
          <w:b/>
          <w:bCs/>
          <w:color w:val="2E75B6"/>
          <w:sz w:val="24"/>
          <w:szCs w:val="24"/>
        </w:rPr>
        <w:t xml:space="preserve">5.1  Barcode Auto-Fill — Frictionless Inventory Onboarding</w:t>
      </w:r>
    </w:p>
    <w:p>
      <w:pPr>
        <w:spacing w:after="60" w:before="60"/>
        <w:jc w:val="both"/>
      </w:pPr>
      <w:r>
        <w:rPr>
          <w:rFonts w:ascii="Arial" w:cs="Arial" w:eastAsia="Arial" w:hAnsi="Arial"/>
          <w:sz w:val="20"/>
          <w:szCs w:val="20"/>
        </w:rPr>
        <w:t xml:space="preserve">The most operationally impactful innovation in the POS module is the External Database Lookup on barcode cache-miss. Traditional retail systems require manual data entry for every new product — a process prone to errors and time-consuming at scale. StockBridge inverts this workflow: the cashier scans a barcode; if the SKU is absent from the local catalogue, the system silently fires an asynchronous HTTP request to an external barcode database API. Within milliseconds, the product name, category, and brand are returned and auto-populated into the product creation form. The operator need only confirm the quantity and pricing. This reduces new product onboarding from a 2-minute manual process to a 10-second scan-and-confirm interaction, with all subsequent scans of the same SKU served from the local cache — zero API latency for repeat products.</w:t>
      </w:r>
    </w:p>
    <w:p>
      <w:pPr>
        <w:pStyle w:val="Heading2"/>
        <w:spacing w:after="80" w:before="200"/>
      </w:pPr>
      <w:r>
        <w:rPr>
          <w:rFonts w:ascii="Arial" w:cs="Arial" w:eastAsia="Arial" w:hAnsi="Arial"/>
          <w:b/>
          <w:bCs/>
          <w:color w:val="2E75B6"/>
          <w:sz w:val="24"/>
          <w:szCs w:val="24"/>
        </w:rPr>
        <w:t xml:space="preserve">5.2  WhatsApp UPI Reminder — Closing the Credit Collection Loop</w:t>
      </w:r>
    </w:p>
    <w:p>
      <w:pPr>
        <w:spacing w:after="60" w:before="60"/>
        <w:jc w:val="both"/>
      </w:pPr>
      <w:r>
        <w:rPr>
          <w:rFonts w:ascii="Arial" w:cs="Arial" w:eastAsia="Arial" w:hAnsi="Arial"/>
          <w:sz w:val="20"/>
          <w:szCs w:val="20"/>
        </w:rPr>
        <w:t xml:space="preserve">The WhatsApp UPI Reminder system is a business-model innovation as much as a technical one. Credit recovery is the most operationally painful process for small retailers — it requires calling customers individually, negotiating, and then waiting for payment. StockBridge automates the entire cycle. The cron job not only sends a professional, itemised statement via WhatsApp (the dominant communication channel in South Asian markets), but also embeds a UPI deep-link that eliminates every friction point in the payment flow: the customer receives the message, taps the link, their UPI app opens with the exact amount pre-filled, and they approve the payment in under 10 seconds. This transforms credit recovery from an active, awkward collection call into a passive, automated, one-tap settlement — a capability previously only available in enterprise ERP systems costing orders of magnitude more.</w:t>
      </w:r>
    </w:p>
    <w:p>
      <w:pPr>
        <w:pStyle w:val="Heading2"/>
        <w:spacing w:after="80" w:before="200"/>
      </w:pPr>
      <w:r>
        <w:rPr>
          <w:rFonts w:ascii="Arial" w:cs="Arial" w:eastAsia="Arial" w:hAnsi="Arial"/>
          <w:b/>
          <w:bCs/>
          <w:color w:val="2E75B6"/>
          <w:sz w:val="24"/>
          <w:szCs w:val="24"/>
        </w:rPr>
        <w:t xml:space="preserve">5.3  Context-Injection AI — Beyond Generic Chatbots</w:t>
      </w:r>
    </w:p>
    <w:p>
      <w:pPr>
        <w:spacing w:after="60" w:before="60"/>
        <w:jc w:val="both"/>
      </w:pPr>
      <w:r>
        <w:rPr>
          <w:rFonts w:ascii="Arial" w:cs="Arial" w:eastAsia="Arial" w:hAnsi="Arial"/>
          <w:sz w:val="20"/>
          <w:szCs w:val="20"/>
        </w:rPr>
        <w:t xml:space="preserve">Standard LLM integrations provide generic responses grounded in parametric training data. StockBridge's Shop Snapshot context-injection pattern fundamentally changes this. By prepending a real-time, shop-specific JSON payload to every LLM system prompt, the AI gains access to ground truth it could not otherwise possess: today's actual revenue, the exact items that are low on stock, which products are driving profit. This enables a category of query that is impossible for generic AI: 'Should I reorder Oil 1L today?' — answered with full awareness of current stock levels, sales velocity, and profit margins. The architecture is model-agnostic; swapping Llama 3.1 8B for any other instruction-following LLM requires only a change to the model string in the Groq SDK configuration.</w:t>
      </w:r>
    </w:p>
    <w:p>
      <w:pPr>
        <w:pStyle w:val="Heading2"/>
        <w:spacing w:after="80" w:before="200"/>
      </w:pPr>
      <w:r>
        <w:rPr>
          <w:rFonts w:ascii="Arial" w:cs="Arial" w:eastAsia="Arial" w:hAnsi="Arial"/>
          <w:b/>
          <w:bCs/>
          <w:color w:val="2E75B6"/>
          <w:sz w:val="24"/>
          <w:szCs w:val="24"/>
        </w:rPr>
        <w:t xml:space="preserve">5.4  Data Model — Batch Inventory System</w:t>
      </w:r>
    </w:p>
    <w:p>
      <w:pPr>
        <w:spacing w:after="60" w:before="60"/>
        <w:jc w:val="both"/>
      </w:pPr>
      <w:r>
        <w:rPr>
          <w:rFonts w:ascii="Arial" w:cs="Arial" w:eastAsia="Arial" w:hAnsi="Arial"/>
          <w:sz w:val="20"/>
          <w:szCs w:val="20"/>
        </w:rPr>
        <w:t xml:space="preserve">The Batch sub-document pattern solves a real inventory problem: the same product purchased at different times has different costs and expiry dates. A naive schema stores a single purchase price per product, leading to inaccurate profit calculations when costs fluctuate. StockBridge models each product as having an array of Batch records: [{ purchasePrice, quantity, expiryDate, supplierName }]. Profit calculation traverses this array using a FIFO depletion model — earliest batches are sold first, and profit is computed against that batch's purchase price. This is the same model used by professional accounting systems (FIFO cost-of-goods-sold), implemented in a lightweight Mongoose schema accessible to a small retailer with no accounting background.</w:t>
      </w:r>
    </w:p>
    <w:p>
      <w:pPr>
        <w:pStyle w:val="Heading1"/>
        <w:spacing w:after="120" w:before="320"/>
      </w:pPr>
      <w:r>
        <w:rPr>
          <w:rFonts w:ascii="Arial" w:cs="Arial" w:eastAsia="Arial" w:hAnsi="Arial"/>
          <w:b/>
          <w:bCs/>
          <w:color w:val="1A3C5E"/>
          <w:sz w:val="30"/>
          <w:szCs w:val="30"/>
        </w:rPr>
        <w:t xml:space="preserve">6.  Technology Stack Summary</w:t>
      </w:r>
    </w:p>
    <w:p>
      <w:pPr>
        <w:pBdr>
          <w:bottom w:val="single" w:color="2E75B6"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Component</w:t>
            </w:r>
          </w:p>
        </w:tc>
        <w:tc>
          <w:tcPr>
            <w:tcW w:type="dxa" w:w="6240"/>
            <w:tcBorders>
              <w:top w:val="single" w:color="1A3C5E" w:sz="2"/>
              <w:left w:val="single" w:color="1A3C5E" w:sz="2"/>
              <w:bottom w:val="single" w:color="1A3C5E" w:sz="2"/>
              <w:right w:val="single" w:color="1A3C5E" w:sz="2"/>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Technology &amp; Version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Frontend Framework</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React 18 with Vite build tooling; React Router v6 for client-side routing</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Backend Runtime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Node.js 20 LTS; Express.js 4.x</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MongoDB 7 via Mongoose ODM; Atlas cloud deployment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AI / LLM</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Groq SDK; Llama 3.1 8B Instruct model; context-injection pattern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Barcode Scanning</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@zxing/browser (WebAssembly-based multi-format decoder)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Charts &amp; Visualisation</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Recharts (D3-backed React charting library)</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Notifications (UI)</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Sonner toast library; Lucide React icon set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Job Scheduling</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node-cron (POSIX cron expression scheduler)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jsonwebtoken (RS256/HS256 JWT signing &amp; verification)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Rate Limiting</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express-rate-limit with sliding window algorithm</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Payment Integration</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UPI URI scheme (upi://pay) for deep-linked mobile payments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Messaging</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WhatsApp Business API for automated credit reminders</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20" w:before="80"/>
              <w:jc w:val="center"/>
            </w:pPr>
            <w:r>
              <w:rPr>
                <w:rFonts w:ascii="Arial" w:cs="Arial" w:eastAsia="Arial" w:hAnsi="Arial"/>
                <w:b/>
                <w:bCs/>
                <w:color w:val="1A3C5E"/>
                <w:sz w:val="18"/>
                <w:szCs w:val="18"/>
              </w:rPr>
              <w:t xml:space="preserve">Document Classification: Technical Viva / Examination Submission</w:t>
            </w:r>
          </w:p>
        </w:tc>
      </w:tr>
      <w:tr>
        <w:tc>
          <w:tcPr>
            <w:tcW w:type="dxa" w:w="9360"/>
            <w:tcBorders>
              <w:top w:val="single" w:color="2E75B6" w:sz="4"/>
              <w:left w:val="single" w:color="2E75B6" w:sz="4"/>
              <w:bottom w:val="single" w:color="2E75B6" w:sz="4"/>
              <w:right w:val="single" w:color="2E75B6" w:sz="4"/>
            </w:tcBorders>
            <w:shd w:fill="F0F4F8" w:val="clear"/>
            <w:tcMar>
              <w:top w:type="dxa" w:w="100"/>
              <w:left w:type="dxa" w:w="180"/>
              <w:bottom w:type="dxa" w:w="100"/>
              <w:right w:type="dxa" w:w="180"/>
            </w:tcMar>
          </w:tcPr>
          <w:p>
            <w:pPr>
              <w:spacing w:after="80" w:before="0"/>
              <w:jc w:val="center"/>
            </w:pPr>
            <w:r>
              <w:rPr>
                <w:rFonts w:ascii="Arial" w:cs="Arial" w:eastAsia="Arial" w:hAnsi="Arial"/>
                <w:color w:val="555555"/>
                <w:sz w:val="18"/>
                <w:szCs w:val="18"/>
              </w:rPr>
              <w:t xml:space="preserve">StockBridge  |  Full-Stack AI-Powered Retail Management System  |  MERN Stack</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Arial" w:cs="Arial" w:eastAsia="Arial" w:hAnsi="Arial"/>
        <w:color w:val="888888"/>
        <w:sz w:val="16"/>
        <w:szCs w:val="16"/>
      </w:rPr>
      <w:t xml:space="preserve">© 2025 StockBridge Project  |  MERN + AI + Automation Stack</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before="0"/>
    </w:pPr>
    <w:r>
      <w:rPr>
        <w:rFonts w:ascii="Arial" w:cs="Arial" w:eastAsia="Arial" w:hAnsi="Arial"/>
        <w:b/>
        <w:bCs/>
        <w:color w:val="1A3C5E"/>
        <w:sz w:val="18"/>
        <w:szCs w:val="18"/>
      </w:rPr>
      <w:t xml:space="preserve">StockBridge — Technical Synopsis</w:t>
    </w:r>
    <w:r>
      <w:rPr>
        <w:rFonts w:ascii="Arial" w:cs="Arial" w:eastAsia="Arial" w:hAnsi="Arial"/>
        <w:color w:val="888888"/>
        <w:sz w:val="16"/>
        <w:szCs w:val="16"/>
      </w:rPr>
      <w:t xml:space="preserve">	Confidential  |  Project Viva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2026-05-10T17:26:19.697Z</dcterms:created>
  <dcterms:modified xsi:type="dcterms:W3CDTF">2026-05-10T17:26:19.697Z</dcterms:modified>
</cp:coreProperties>
</file>

<file path=docProps/custom.xml><?xml version="1.0" encoding="utf-8"?>
<Properties xmlns="http://schemas.openxmlformats.org/officeDocument/2006/custom-properties" xmlns:vt="http://schemas.openxmlformats.org/officeDocument/2006/docPropsVTypes"/>
</file>