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368"/>
      </w:tblGrid>
      <w:tr>
        <w:tc>
          <w:tcPr>
            <w:tcW w:type="dxa" w:w="10368"/>
            <w:shd w:fill="0F3F33"/>
            <w:tcMar>
              <w:top w:w="520" w:type="dxa"/>
              <w:start w:w="360" w:type="dxa"/>
              <w:bottom w:w="520" w:type="dxa"/>
              <w:end w:w="360" w:type="dxa"/>
            </w:tcMar>
          </w:tcPr>
          <w:p>
            <w:pPr>
              <w:jc w:val="center"/>
            </w:pPr>
            <w:r/>
            <w:r>
              <w:rPr>
                <w:rFonts w:ascii="Aptos" w:hAnsi="Aptos" w:eastAsia="Aptos"/>
                <w:b/>
                <w:color w:val="FFFFFF"/>
                <w:sz w:val="56"/>
              </w:rPr>
              <w:t>LoanTrack</w:t>
            </w:r>
          </w:p>
          <w:p>
            <w:pPr>
              <w:jc w:val="center"/>
            </w:pPr>
            <w:r>
              <w:rPr>
                <w:rFonts w:ascii="Aptos" w:hAnsi="Aptos" w:eastAsia="Aptos"/>
                <w:b/>
                <w:color w:val="F4B942"/>
                <w:sz w:val="42"/>
              </w:rPr>
              <w:t>Marketing Document for Indian Lending Businesses</w:t>
            </w:r>
          </w:p>
          <w:p>
            <w:pPr>
              <w:spacing w:after="280"/>
              <w:jc w:val="center"/>
            </w:pPr>
            <w:r>
              <w:rPr>
                <w:rFonts w:ascii="Aptos" w:hAnsi="Aptos" w:eastAsia="Aptos"/>
                <w:color w:val="D8FFF0"/>
                <w:sz w:val="22"/>
              </w:rPr>
              <w:t>A practical web and mobile platform to manage customers, loans, field collections, agents, accounting and borrower communication in one place.</w:t>
            </w:r>
          </w:p>
          <w:p>
            <w:pPr>
              <w:jc w:val="center"/>
            </w:pPr>
            <w:r>
              <w:rPr>
                <w:rFonts w:ascii="Aptos" w:hAnsi="Aptos" w:eastAsia="Aptos"/>
                <w:color w:val="FFFFFF"/>
                <w:sz w:val="18"/>
              </w:rPr>
              <w:t>Built for Indian lenders  |  Web + Mobile  |  GPS collections  |  Multi-product lending</w:t>
            </w:r>
          </w:p>
        </w:tc>
      </w:tr>
    </w:tbl>
    <w:p/>
    <w:tbl>
      <w:tblPr>
        <w:tblW w:type="auto" w:w="0"/>
        <w:jc w:val="center"/>
        <w:tblLook w:firstColumn="1" w:firstRow="1" w:lastColumn="0" w:lastRow="0" w:noHBand="0" w:noVBand="1" w:val="04A0"/>
      </w:tblPr>
      <w:tblGrid>
        <w:gridCol w:w="10368"/>
      </w:tblGrid>
      <w:tr>
        <w:tc>
          <w:tcPr>
            <w:tcW w:type="dxa" w:w="10368"/>
            <w:shd w:fill="E6F6EF"/>
            <w:tcBorders>
              <w:top w:val="single" w:sz="8" w:space="0" w:color="D9E5DF"/>
              <w:left w:val="single" w:sz="8" w:space="0" w:color="D9E5DF"/>
              <w:bottom w:val="single" w:sz="8" w:space="0" w:color="D9E5DF"/>
              <w:right w:val="single" w:sz="8" w:space="0" w:color="D9E5DF"/>
            </w:tcBorders>
            <w:tcMar>
              <w:top w:w="170" w:type="dxa"/>
              <w:start w:w="220" w:type="dxa"/>
              <w:bottom w:w="170" w:type="dxa"/>
              <w:end w:w="220" w:type="dxa"/>
            </w:tcMar>
          </w:tcPr>
          <w:p>
            <w:pPr>
              <w:pStyle w:val="Callout"/>
              <w:jc w:val="center"/>
            </w:pPr>
            <w:r>
              <w:rPr>
                <w:rFonts w:ascii="Aptos" w:hAnsi="Aptos" w:eastAsia="Aptos"/>
              </w:rPr>
              <w:t>Replace Excel, paper ledgers and manual follow-ups with one secure lending management system.</w:t>
            </w:r>
          </w:p>
        </w:tc>
      </w:tr>
    </w:tbl>
    <w:p/>
    <w:p>
      <w:pPr>
        <w:pStyle w:val="Heading1"/>
        <w:spacing w:before="160" w:after="80"/>
      </w:pPr>
      <w:r>
        <w:t>1. Product Positioning</w:t>
      </w:r>
    </w:p>
    <w:p>
      <w:pPr>
        <w:pStyle w:val="SmallMuted"/>
      </w:pPr>
      <w:r>
        <w:t>Use this message consistently in website, brochures, WhatsApp campaigns and demo presentations.</w:t>
      </w:r>
    </w:p>
    <w:p>
      <w:pPr>
        <w:pStyle w:val="BrandBody"/>
      </w:pPr>
      <w:r>
        <w:rPr>
          <w:rFonts w:ascii="Aptos" w:hAnsi="Aptos" w:eastAsia="Aptos"/>
        </w:rPr>
        <w:t>LoanTrack is an affordable lending management platform for Indian finance businesses. It helps lenders manage customers, KYC, loan creation, repayment schedules, field collections, agents, accounting, reports and borrower communication from a single web and mobile system.</w:t>
      </w:r>
    </w:p>
    <w:p>
      <w:pPr>
        <w:pStyle w:val="BrandBody"/>
      </w:pPr>
      <w:r>
        <w:rPr>
          <w:rFonts w:ascii="Aptos" w:hAnsi="Aptos" w:eastAsia="Aptos"/>
        </w:rPr>
        <w:t>LoanTrack is best positioned as a practical operations platform for lenders who currently depend on notebooks, Excel sheets, WhatsApp follow-ups and manual receipts.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Marketing Message</w:t>
            </w:r>
          </w:p>
        </w:tc>
        <w:tc>
          <w:tcPr>
            <w:tcW w:type="dxa" w:w="6192"/>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Recommended Usage</w:t>
            </w:r>
          </w:p>
        </w:tc>
      </w:tr>
      <w:tr>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Main tagline</w:t>
            </w:r>
          </w:p>
        </w:tc>
        <w:tc>
          <w:tcPr>
            <w:tcW w:type="dxa" w:w="61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Run your lending business from one clear dashboard.</w:t>
            </w:r>
          </w:p>
        </w:tc>
      </w:tr>
      <w:tr>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Problem-focused tagline</w:t>
            </w:r>
          </w:p>
        </w:tc>
        <w:tc>
          <w:tcPr>
            <w:tcW w:type="dxa" w:w="61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Stop losing time in Excel, paper ledgers and manual collection follow-ups.</w:t>
            </w:r>
          </w:p>
        </w:tc>
      </w:tr>
      <w:tr>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Benefit-focused tagline</w:t>
            </w:r>
          </w:p>
        </w:tc>
        <w:tc>
          <w:tcPr>
            <w:tcW w:type="dxa" w:w="61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Track every customer, loan, collection and agent activity in real time.</w:t>
            </w:r>
          </w:p>
        </w:tc>
      </w:tr>
      <w:tr>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Trust-focused tagline</w:t>
            </w:r>
          </w:p>
        </w:tc>
        <w:tc>
          <w:tcPr>
            <w:tcW w:type="dxa" w:w="61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 secure web and mobile system built for Indian finance operations.</w:t>
            </w:r>
          </w:p>
        </w:tc>
      </w:tr>
    </w:tbl>
    <w:p/>
    <w:p>
      <w:pPr>
        <w:pStyle w:val="Heading1"/>
        <w:spacing w:before="160" w:after="80"/>
      </w:pPr>
      <w:r>
        <w:t>2. Target Customers</w:t>
      </w:r>
    </w:p>
    <w:p>
      <w:pPr>
        <w:pStyle w:val="SmallMuted"/>
      </w:pPr>
      <w:r>
        <w:t>The first marketing focus should be small and mid-sized lenders before approaching larger banks.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Target Segment</w:t>
            </w:r>
          </w:p>
        </w:tc>
        <w:tc>
          <w:tcPr>
            <w:tcW w:type="dxa" w:w="3888"/>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Why They Need LoanTrack</w:t>
            </w:r>
          </w:p>
        </w:tc>
        <w:tc>
          <w:tcPr>
            <w:tcW w:type="dxa" w:w="3744"/>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Suggested Pitch</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Local finance companies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Many still use notebooks, Excel files and manual receipts.</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Digitize your complete lending business without a heavy banking system.</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Microfinance and money lending firms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They need daily/weekly collection tracking, agent control and overdue visibility.</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Manage field collections with GPS proof and live owner dashboard.</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Gold loan firms and pawn brokers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They need customer, loan, gold valuation, collateral and repayment tracking.</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Manage gold loan records, valuation, storage and repayment in one platform.</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Auto finance companies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They need vehicle, RC, insurance, EMI, overdue and collection tracking.</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Track vehicle-backed loans and collections from one place.</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Chit fund operators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They need member, auction, dividend and monthly payment control.</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Digitize chit groups, auctions and member contributions.</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Small NBFCs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They need structured operations, approvals, reports, audit trail and NPA visibility.</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 practical LMS and collections platform for growing NBFC operations.</w:t>
            </w:r>
          </w:p>
        </w:tc>
      </w:tr>
      <w:tr>
        <w:tc>
          <w:tcPr>
            <w:tcW w:type="dxa" w:w="2160"/>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Small Finance Banks</w:t>
            </w:r>
          </w:p>
        </w:tc>
        <w:tc>
          <w:tcPr>
            <w:tcW w:type="dxa" w:w="38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They require enterprise-grade integrations and compliance, so they should be future targets.</w:t>
            </w:r>
          </w:p>
        </w:tc>
        <w:tc>
          <w:tcPr>
            <w:tcW w:type="dxa" w:w="3744"/>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Target later after enterprise readiness, API layer and formal audits.</w:t>
            </w:r>
          </w:p>
        </w:tc>
      </w:tr>
    </w:tbl>
    <w:p/>
    <w:p>
      <w:pPr>
        <w:pStyle w:val="Heading1"/>
        <w:spacing w:before="160" w:after="80"/>
      </w:pPr>
      <w:r>
        <w:t>3. Core Problems LoanTrack Solves</w:t>
      </w:r>
    </w:p>
    <w:tbl>
      <w:tblPr>
        <w:tblW w:type="auto" w:w="0"/>
        <w:jc w:val="center"/>
        <w:tblLayout w:type="autofit"/>
        <w:tblLook w:firstColumn="1" w:firstRow="1" w:lastColumn="0" w:lastRow="0" w:noHBand="0" w:noVBand="1" w:val="04A0"/>
      </w:tblPr>
      <w:tblGrid>
        <w:gridCol w:w="5184"/>
        <w:gridCol w:w="5184"/>
      </w:tblGrid>
      <w:tr>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FFFFF"/>
          </w:tcPr>
          <w:p>
            <w:r>
              <w:rPr>
                <w:rFonts w:ascii="Aptos" w:hAnsi="Aptos" w:eastAsia="Aptos"/>
                <w:b/>
                <w:color w:val="0F3F33"/>
                <w:sz w:val="20"/>
              </w:rPr>
              <w:t>Manual records</w:t>
            </w:r>
          </w:p>
          <w:p>
            <w:pPr>
              <w:spacing w:after="0"/>
            </w:pPr>
            <w:r>
              <w:rPr>
                <w:rFonts w:ascii="Aptos" w:hAnsi="Aptos" w:eastAsia="Aptos"/>
                <w:color w:val="49635A"/>
                <w:sz w:val="17"/>
              </w:rPr>
              <w:t>Moves customer, loan and collection data from paper and Excel into one searchable system.</w:t>
            </w:r>
          </w:p>
        </w:tc>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7FAF8"/>
          </w:tcPr>
          <w:p>
            <w:r>
              <w:rPr>
                <w:rFonts w:ascii="Aptos" w:hAnsi="Aptos" w:eastAsia="Aptos"/>
                <w:b/>
                <w:color w:val="0F3F33"/>
                <w:sz w:val="20"/>
              </w:rPr>
              <w:t>No collection visibility</w:t>
            </w:r>
          </w:p>
          <w:p>
            <w:pPr>
              <w:spacing w:after="0"/>
            </w:pPr>
            <w:r>
              <w:rPr>
                <w:rFonts w:ascii="Aptos" w:hAnsi="Aptos" w:eastAsia="Aptos"/>
                <w:color w:val="49635A"/>
                <w:sz w:val="17"/>
              </w:rPr>
              <w:t>Owners can monitor expected vs collected amounts, overdue customers and agent performance.</w:t>
            </w:r>
          </w:p>
        </w:tc>
      </w:tr>
      <w:tr>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FFFFF"/>
          </w:tcPr>
          <w:p>
            <w:r>
              <w:rPr>
                <w:rFonts w:ascii="Aptos" w:hAnsi="Aptos" w:eastAsia="Aptos"/>
                <w:b/>
                <w:color w:val="0F3F33"/>
                <w:sz w:val="20"/>
              </w:rPr>
              <w:t>Field-agent leakage risk</w:t>
            </w:r>
          </w:p>
          <w:p>
            <w:pPr>
              <w:spacing w:after="0"/>
            </w:pPr>
            <w:r>
              <w:rPr>
                <w:rFonts w:ascii="Aptos" w:hAnsi="Aptos" w:eastAsia="Aptos"/>
                <w:color w:val="49635A"/>
                <w:sz w:val="17"/>
              </w:rPr>
              <w:t>GPS stamps, route tracking, cash handover and approval workflows improve control.</w:t>
            </w:r>
          </w:p>
        </w:tc>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7FAF8"/>
          </w:tcPr>
          <w:p>
            <w:r>
              <w:rPr>
                <w:rFonts w:ascii="Aptos" w:hAnsi="Aptos" w:eastAsia="Aptos"/>
                <w:b/>
                <w:color w:val="0F3F33"/>
                <w:sz w:val="20"/>
              </w:rPr>
              <w:t>Customer disputes</w:t>
            </w:r>
          </w:p>
          <w:p>
            <w:pPr>
              <w:spacing w:after="0"/>
            </w:pPr>
            <w:r>
              <w:rPr>
                <w:rFonts w:ascii="Aptos" w:hAnsi="Aptos" w:eastAsia="Aptos"/>
                <w:color w:val="49635A"/>
                <w:sz w:val="17"/>
              </w:rPr>
              <w:t>Receipts, payment history, QR proof and borrower confirmation reduce confusion.</w:t>
            </w:r>
          </w:p>
        </w:tc>
      </w:tr>
      <w:tr>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FFFFF"/>
          </w:tcPr>
          <w:p>
            <w:r>
              <w:rPr>
                <w:rFonts w:ascii="Aptos" w:hAnsi="Aptos" w:eastAsia="Aptos"/>
                <w:b/>
                <w:color w:val="0F3F33"/>
                <w:sz w:val="20"/>
              </w:rPr>
              <w:t>Overdue follow-up gaps</w:t>
            </w:r>
          </w:p>
          <w:p>
            <w:pPr>
              <w:spacing w:after="0"/>
            </w:pPr>
            <w:r>
              <w:rPr>
                <w:rFonts w:ascii="Aptos" w:hAnsi="Aptos" w:eastAsia="Aptos"/>
                <w:color w:val="49635A"/>
                <w:sz w:val="17"/>
              </w:rPr>
              <w:t>Overdue reports and NPA-style buckets help teams act early.</w:t>
            </w:r>
          </w:p>
        </w:tc>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7FAF8"/>
          </w:tcPr>
          <w:p>
            <w:r>
              <w:rPr>
                <w:rFonts w:ascii="Aptos" w:hAnsi="Aptos" w:eastAsia="Aptos"/>
                <w:b/>
                <w:color w:val="0F3F33"/>
                <w:sz w:val="20"/>
              </w:rPr>
              <w:t>Accounting mismatch</w:t>
            </w:r>
          </w:p>
          <w:p>
            <w:pPr>
              <w:spacing w:after="0"/>
            </w:pPr>
            <w:r>
              <w:rPr>
                <w:rFonts w:ascii="Aptos" w:hAnsi="Aptos" w:eastAsia="Aptos"/>
                <w:color w:val="49635A"/>
                <w:sz w:val="17"/>
              </w:rPr>
              <w:t>Ledger, reports, bank reconciliation and period locks help finance teams stay organized.</w:t>
            </w:r>
          </w:p>
        </w:tc>
      </w:tr>
      <w:tr>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FFFFF"/>
          </w:tcPr>
          <w:p>
            <w:r>
              <w:rPr>
                <w:rFonts w:ascii="Aptos" w:hAnsi="Aptos" w:eastAsia="Aptos"/>
                <w:b/>
                <w:color w:val="0F3F33"/>
                <w:sz w:val="20"/>
              </w:rPr>
              <w:t>Multi-branch confusion</w:t>
            </w:r>
          </w:p>
          <w:p>
            <w:pPr>
              <w:spacing w:after="0"/>
            </w:pPr>
            <w:r>
              <w:rPr>
                <w:rFonts w:ascii="Aptos" w:hAnsi="Aptos" w:eastAsia="Aptos"/>
                <w:color w:val="49635A"/>
                <w:sz w:val="17"/>
              </w:rPr>
              <w:t>Branch-wise users, agents, customers and reports support growing teams.</w:t>
            </w:r>
          </w:p>
        </w:tc>
        <w:tc>
          <w:tcPr>
            <w:tcW w:type="dxa" w:w="5184"/>
            <w:tcBorders>
              <w:top w:val="single" w:sz="8" w:space="0" w:color="D9E5DF"/>
              <w:left w:val="single" w:sz="8" w:space="0" w:color="D9E5DF"/>
              <w:bottom w:val="single" w:sz="8" w:space="0" w:color="D9E5DF"/>
              <w:right w:val="single" w:sz="8" w:space="0" w:color="D9E5DF"/>
            </w:tcBorders>
            <w:tcMar>
              <w:top w:w="150" w:type="dxa"/>
              <w:start w:w="150" w:type="dxa"/>
              <w:bottom w:w="150" w:type="dxa"/>
              <w:end w:w="150" w:type="dxa"/>
            </w:tcMar>
            <w:shd w:fill="F7FAF8"/>
          </w:tcPr>
          <w:p>
            <w:r>
              <w:rPr>
                <w:rFonts w:ascii="Aptos" w:hAnsi="Aptos" w:eastAsia="Aptos"/>
                <w:b/>
                <w:color w:val="0F3F33"/>
                <w:sz w:val="20"/>
              </w:rPr>
              <w:t>Limited customer service</w:t>
            </w:r>
          </w:p>
          <w:p>
            <w:pPr>
              <w:spacing w:after="0"/>
            </w:pPr>
            <w:r>
              <w:rPr>
                <w:rFonts w:ascii="Aptos" w:hAnsi="Aptos" w:eastAsia="Aptos"/>
                <w:color w:val="49635A"/>
                <w:sz w:val="17"/>
              </w:rPr>
              <w:t>Borrower portal gives customers repayment schedule, history and proof actions.</w:t>
            </w:r>
          </w:p>
        </w:tc>
      </w:tr>
    </w:tbl>
    <w:p/>
    <w:p>
      <w:pPr>
        <w:pStyle w:val="Heading1"/>
        <w:spacing w:before="160" w:after="80"/>
      </w:pPr>
      <w:r>
        <w:t>4. Key Features to Promote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Module</w:t>
            </w:r>
          </w:p>
        </w:tc>
        <w:tc>
          <w:tcPr>
            <w:tcW w:type="dxa" w:w="4752"/>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What to Promote</w:t>
            </w:r>
          </w:p>
        </w:tc>
        <w:tc>
          <w:tcPr>
            <w:tcW w:type="dxa" w:w="3312"/>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Customer Benefit</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Customer and KYC</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Customer profiles, PAN, Aadhaar, document uploads, guarantors and status tracking.</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Clean customer records and faster onboarding.</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Loan Management</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Flexible interest types, schedules, calculator, statements, receipts, renewal and closure options.</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Easy loan setup and clear repayment tracking.</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Field Collections</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Daily collection list, GPS stamp, QR proof, partial payments and cash handover.</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Better control over field operations.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Gold Loan Support</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Weight, purity, valuation, collateral photos, storage and LTV checks.</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Useful for gold loan and pawn broker businesses.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Auto Finance</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Vehicle make, model, RC, insurance, engine and chassis details.</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Loan and vehicle records stay linked.</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Chit Fund</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Chit groups, auctions, dividends and member payments.</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Manual chit calculations can be reduced.</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Accounting</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Ledger, P&amp;L, balance sheet, trial balance, cash flow and bank reconciliation.</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Less dependency on separate spreadsheets.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Reports and Dashboard</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Daily collection, overdue, agent performance, payment mode and route reports.</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Owners can take decisions quickly.</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Borrower Portal</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Loan schedule, payment history, proof approval and QR generation.</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Professional experience for borrowers.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Mobile App</w:t>
            </w:r>
          </w:p>
        </w:tc>
        <w:tc>
          <w:tcPr>
            <w:tcW w:type="dxa" w:w="475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Agent route, collections, KYC photo, GPS, notifications and offline-ready work.</w:t>
            </w:r>
          </w:p>
        </w:tc>
        <w:tc>
          <w:tcPr>
            <w:tcW w:type="dxa" w:w="33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Field work becomes easier and trackable.</w:t>
            </w:r>
          </w:p>
        </w:tc>
      </w:tr>
    </w:tbl>
    <w:p/>
    <w:p>
      <w:pPr>
        <w:pStyle w:val="Heading1"/>
        <w:spacing w:before="160" w:after="80"/>
      </w:pPr>
      <w:r>
        <w:t>5. Why Choose LoanTrack?</w:t>
      </w:r>
    </w:p>
    <w:p>
      <w:pPr>
        <w:pStyle w:val="ListBullet"/>
        <w:spacing w:after="40"/>
      </w:pPr>
      <w:r>
        <w:rPr>
          <w:rFonts w:ascii="Aptos" w:hAnsi="Aptos" w:eastAsia="Aptos"/>
          <w:sz w:val="20"/>
        </w:rPr>
        <w:t>Built for Indian lending workflows such as microfinance, gold loan, auto finance and chit fund operations.</w:t>
      </w:r>
    </w:p>
    <w:p>
      <w:pPr>
        <w:pStyle w:val="ListBullet"/>
        <w:spacing w:after="40"/>
      </w:pPr>
      <w:r>
        <w:rPr>
          <w:rFonts w:ascii="Aptos" w:hAnsi="Aptos" w:eastAsia="Aptos"/>
          <w:sz w:val="20"/>
        </w:rPr>
        <w:t>Works on both web and mobile, making it useful for office teams and field agents.</w:t>
      </w:r>
    </w:p>
    <w:p>
      <w:pPr>
        <w:pStyle w:val="ListBullet"/>
        <w:spacing w:after="40"/>
      </w:pPr>
      <w:r>
        <w:rPr>
          <w:rFonts w:ascii="Aptos" w:hAnsi="Aptos" w:eastAsia="Aptos"/>
          <w:sz w:val="20"/>
        </w:rPr>
        <w:t>Supports practical control features such as GPS proof, approvals, audit trail and cash handover.</w:t>
      </w:r>
    </w:p>
    <w:p>
      <w:pPr>
        <w:pStyle w:val="ListBullet"/>
        <w:spacing w:after="40"/>
      </w:pPr>
      <w:r>
        <w:rPr>
          <w:rFonts w:ascii="Aptos" w:hAnsi="Aptos" w:eastAsia="Aptos"/>
          <w:sz w:val="20"/>
        </w:rPr>
        <w:t>Improves borrower trust through receipts, statements, QR proof and borrower portal access.</w:t>
      </w:r>
    </w:p>
    <w:p>
      <w:pPr>
        <w:pStyle w:val="ListBullet"/>
        <w:spacing w:after="40"/>
      </w:pPr>
      <w:r>
        <w:rPr>
          <w:rFonts w:ascii="Aptos" w:hAnsi="Aptos" w:eastAsia="Aptos"/>
          <w:sz w:val="20"/>
        </w:rPr>
        <w:t>Helps owners move away from manual records and get a clear view of business performance.</w:t>
      </w:r>
    </w:p>
    <w:p>
      <w:pPr>
        <w:pStyle w:val="ListBullet"/>
        <w:spacing w:after="40"/>
      </w:pPr>
      <w:r>
        <w:rPr>
          <w:rFonts w:ascii="Aptos" w:hAnsi="Aptos" w:eastAsia="Aptos"/>
          <w:sz w:val="20"/>
        </w:rPr>
        <w:t>Can be sold as a modular product, allowing small lenders to start simple and upgrade later.</w:t>
      </w:r>
    </w:p>
    <w:p>
      <w:pPr>
        <w:pStyle w:val="Heading1"/>
        <w:spacing w:before="160" w:after="80"/>
      </w:pPr>
      <w:r>
        <w:t>6. Marketing Strategy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Channel</w:t>
            </w:r>
          </w:p>
        </w:tc>
        <w:tc>
          <w:tcPr>
            <w:tcW w:type="dxa" w:w="6912"/>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Action Plan</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Direct local sales</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Visit finance offices, gold loan shops, auto finance firms and chit fund operators with a live demo.</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WhatsApp marketing</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Share short demo videos, brochures and customer benefit messages in local language.</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Google search ads</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Target keywords like loan management software, NBFC software, gold loan software and chit fund software.</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Auditor and CA referrals</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Partner with local auditors and finance consultants who work with lending businesses.</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YouTube demos</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Publish simple videos showing customer creation, loan creation, collection entry and reports.</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LinkedIn outreach</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Target NBFC founders, operations heads, branch heads and finance company directors.</w:t>
            </w:r>
          </w:p>
        </w:tc>
      </w:tr>
      <w:tr>
        <w:tc>
          <w:tcPr>
            <w:tcW w:type="dxa" w:w="259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Free lead magnets</w:t>
            </w:r>
          </w:p>
        </w:tc>
        <w:tc>
          <w:tcPr>
            <w:tcW w:type="dxa" w:w="6912"/>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Offer EMI calculator, gold LTV calculator, collection Excel template and free software audit.</w:t>
            </w:r>
          </w:p>
        </w:tc>
      </w:tr>
    </w:tbl>
    <w:p/>
    <w:p>
      <w:pPr>
        <w:pStyle w:val="Heading1"/>
        <w:spacing w:before="160" w:after="80"/>
      </w:pPr>
      <w:r>
        <w:t>7. Suggested Sales Demo Flow</w:t>
      </w:r>
    </w:p>
    <w:p>
      <w:pPr>
        <w:pStyle w:val="ListNumber"/>
        <w:spacing w:after="40"/>
      </w:pPr>
      <w:r>
        <w:rPr>
          <w:rFonts w:ascii="Aptos" w:hAnsi="Aptos" w:eastAsia="Aptos"/>
          <w:sz w:val="20"/>
        </w:rPr>
        <w:t>Show owner dashboard with active loans, today collections, overdue amount and pending approvals.</w:t>
      </w:r>
    </w:p>
    <w:p>
      <w:pPr>
        <w:pStyle w:val="ListNumber"/>
        <w:spacing w:after="40"/>
      </w:pPr>
      <w:r>
        <w:rPr>
          <w:rFonts w:ascii="Aptos" w:hAnsi="Aptos" w:eastAsia="Aptos"/>
          <w:sz w:val="20"/>
        </w:rPr>
        <w:t>Create a new customer and upload KYC documents.</w:t>
      </w:r>
    </w:p>
    <w:p>
      <w:pPr>
        <w:pStyle w:val="ListNumber"/>
        <w:spacing w:after="40"/>
      </w:pPr>
      <w:r>
        <w:rPr>
          <w:rFonts w:ascii="Aptos" w:hAnsi="Aptos" w:eastAsia="Aptos"/>
          <w:sz w:val="20"/>
        </w:rPr>
        <w:t>Create a loan with interest type, tenure and repayment schedule.</w:t>
      </w:r>
    </w:p>
    <w:p>
      <w:pPr>
        <w:pStyle w:val="ListNumber"/>
        <w:spacing w:after="40"/>
      </w:pPr>
      <w:r>
        <w:rPr>
          <w:rFonts w:ascii="Aptos" w:hAnsi="Aptos" w:eastAsia="Aptos"/>
          <w:sz w:val="20"/>
        </w:rPr>
        <w:t>Assign the customer to a route and field agent.</w:t>
      </w:r>
    </w:p>
    <w:p>
      <w:pPr>
        <w:pStyle w:val="ListNumber"/>
        <w:spacing w:after="40"/>
      </w:pPr>
      <w:r>
        <w:rPr>
          <w:rFonts w:ascii="Aptos" w:hAnsi="Aptos" w:eastAsia="Aptos"/>
          <w:sz w:val="20"/>
        </w:rPr>
        <w:t>Record a field collection with GPS proof and receipt.</w:t>
      </w:r>
    </w:p>
    <w:p>
      <w:pPr>
        <w:pStyle w:val="ListNumber"/>
        <w:spacing w:after="40"/>
      </w:pPr>
      <w:r>
        <w:rPr>
          <w:rFonts w:ascii="Aptos" w:hAnsi="Aptos" w:eastAsia="Aptos"/>
          <w:sz w:val="20"/>
        </w:rPr>
        <w:t>Show borrower portal with schedule and payment history.</w:t>
      </w:r>
    </w:p>
    <w:p>
      <w:pPr>
        <w:pStyle w:val="ListNumber"/>
        <w:spacing w:after="40"/>
      </w:pPr>
      <w:r>
        <w:rPr>
          <w:rFonts w:ascii="Aptos" w:hAnsi="Aptos" w:eastAsia="Aptos"/>
          <w:sz w:val="20"/>
        </w:rPr>
        <w:t>Show reports: daily collection, overdue, agent performance and cash handover.</w:t>
      </w:r>
    </w:p>
    <w:p>
      <w:pPr>
        <w:pStyle w:val="ListNumber"/>
        <w:spacing w:after="40"/>
      </w:pPr>
      <w:r>
        <w:rPr>
          <w:rFonts w:ascii="Aptos" w:hAnsi="Aptos" w:eastAsia="Aptos"/>
          <w:sz w:val="20"/>
        </w:rPr>
        <w:t>Close with pricing, data migration support and trial offer.</w:t>
      </w:r>
    </w:p>
    <w:p>
      <w:pPr>
        <w:pStyle w:val="Heading1"/>
        <w:spacing w:before="160" w:after="80"/>
      </w:pPr>
      <w:r>
        <w:t>8. Suggested Packages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Package</w:t>
            </w:r>
          </w:p>
        </w:tc>
        <w:tc>
          <w:tcPr>
            <w:tcW w:type="dxa" w:w="3168"/>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Best For</w:t>
            </w:r>
          </w:p>
        </w:tc>
        <w:tc>
          <w:tcPr>
            <w:tcW w:type="dxa" w:w="4608"/>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Key Modules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Starter</w:t>
            </w:r>
          </w:p>
        </w:tc>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Single-branch local finance offices</w:t>
            </w:r>
          </w:p>
        </w:tc>
        <w:tc>
          <w:tcPr>
            <w:tcW w:type="dxa" w:w="460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Customer, loan, collections, receipts and basic reports.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Growth</w:t>
            </w:r>
          </w:p>
        </w:tc>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Multi-agent and multi-branch lenders</w:t>
            </w:r>
          </w:p>
        </w:tc>
        <w:tc>
          <w:tcPr>
            <w:tcW w:type="dxa" w:w="460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Field app, GPS tracking, approval workflow, reports and accounting.</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Gold Loan Pro</w:t>
            </w:r>
          </w:p>
        </w:tc>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Gold loan and pawn broker businesses</w:t>
            </w:r>
          </w:p>
        </w:tc>
        <w:tc>
          <w:tcPr>
            <w:tcW w:type="dxa" w:w="460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Gold valuation, collateral photos, storage, LTV, renewal and closure workflows.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NBFC Pro</w:t>
            </w:r>
          </w:p>
        </w:tc>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Small and growing NBFCs</w:t>
            </w:r>
          </w:p>
        </w:tc>
        <w:tc>
          <w:tcPr>
            <w:tcW w:type="dxa" w:w="460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Approvals, NPA visibility, audit trail, reports, accounting and borrower portal.</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Enterprise</w:t>
            </w:r>
          </w:p>
        </w:tc>
        <w:tc>
          <w:tcPr>
            <w:tcW w:type="dxa" w:w="316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Large NBFCs and future banking customers</w:t>
            </w:r>
          </w:p>
        </w:tc>
        <w:tc>
          <w:tcPr>
            <w:tcW w:type="dxa" w:w="460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Custom integrations, API support, advanced security and implementation support.</w:t>
            </w:r>
          </w:p>
        </w:tc>
      </w:tr>
    </w:tbl>
    <w:p/>
    <w:p>
      <w:pPr>
        <w:pStyle w:val="Heading1"/>
        <w:spacing w:before="160" w:after="80"/>
      </w:pPr>
      <w:r>
        <w:t>9. Implementation Promise</w:t>
      </w:r>
    </w:p>
    <w:tbl>
      <w:tblPr>
        <w:tblW w:type="auto" w:w="0"/>
        <w:jc w:val="center"/>
        <w:tblLook w:firstColumn="1" w:firstRow="1" w:lastColumn="0" w:lastRow="0" w:noHBand="0" w:noVBand="1" w:val="04A0"/>
      </w:tblPr>
      <w:tblGrid>
        <w:gridCol w:w="10368"/>
      </w:tblGrid>
      <w:tr>
        <w:tc>
          <w:tcPr>
            <w:tcW w:type="dxa" w:w="10368"/>
            <w:shd w:fill="FFF1CF"/>
            <w:tcBorders>
              <w:top w:val="single" w:sz="8" w:space="0" w:color="D9E5DF"/>
              <w:left w:val="single" w:sz="8" w:space="0" w:color="D9E5DF"/>
              <w:bottom w:val="single" w:sz="8" w:space="0" w:color="D9E5DF"/>
              <w:right w:val="single" w:sz="8" w:space="0" w:color="D9E5DF"/>
            </w:tcBorders>
            <w:tcMar>
              <w:top w:w="170" w:type="dxa"/>
              <w:start w:w="220" w:type="dxa"/>
              <w:bottom w:w="170" w:type="dxa"/>
              <w:end w:w="220" w:type="dxa"/>
            </w:tcMar>
          </w:tcPr>
          <w:p>
            <w:pPr>
              <w:pStyle w:val="Callout"/>
              <w:jc w:val="center"/>
            </w:pPr>
            <w:r>
              <w:rPr>
                <w:rFonts w:ascii="Aptos" w:hAnsi="Aptos" w:eastAsia="Aptos"/>
              </w:rPr>
              <w:t>Start small, migrate existing data, train the team, go live quickly and add advanced modules as the business grows.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Step</w:t>
            </w:r>
          </w:p>
        </w:tc>
        <w:tc>
          <w:tcPr>
            <w:tcW w:type="dxa" w:w="7488"/>
            <w:shd w:fill="0F3F33"/>
            <w:tcBorders>
              <w:top w:val="single" w:sz="8" w:space="0" w:color="0F3F33"/>
              <w:left w:val="single" w:sz="8" w:space="0" w:color="0F3F33"/>
              <w:bottom w:val="single" w:sz="8" w:space="0" w:color="0F3F33"/>
              <w:right w:val="single" w:sz="8" w:space="0" w:color="0F3F33"/>
            </w:tcBorders>
            <w:tcMar>
              <w:top w:w="110" w:type="dxa"/>
              <w:start w:w="90" w:type="dxa"/>
              <w:bottom w:w="110" w:type="dxa"/>
              <w:end w:w="90" w:type="dxa"/>
            </w:tcMar>
            <w:vAlign w:val="center"/>
          </w:tcPr>
          <w:p>
            <w:pPr>
              <w:jc w:val="center"/>
            </w:pPr>
            <w:r>
              <w:rPr>
                <w:rFonts w:ascii="Aptos" w:hAnsi="Aptos" w:eastAsia="Aptos"/>
                <w:b/>
                <w:color w:val="FFFFFF"/>
                <w:sz w:val="18"/>
              </w:rPr>
              <w:t>What LoanTrack Team Can Offer</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1. Business review</w:t>
            </w:r>
          </w:p>
        </w:tc>
        <w:tc>
          <w:tcPr>
            <w:tcW w:type="dxa" w:w="74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Understand loan types, collection frequency, branches, agents and current Excel/manual process.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2. Configuration</w:t>
            </w:r>
          </w:p>
        </w:tc>
        <w:tc>
          <w:tcPr>
            <w:tcW w:type="dxa" w:w="74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Set company settings, loan products, penalties, roles, branches and notification rules.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3. Data migration</w:t>
            </w:r>
          </w:p>
        </w:tc>
        <w:tc>
          <w:tcPr>
            <w:tcW w:type="dxa" w:w="74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Import customers, loans and opening balances from Excel or existing records.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4. Training</w:t>
            </w:r>
          </w:p>
        </w:tc>
        <w:tc>
          <w:tcPr>
            <w:tcW w:type="dxa" w:w="74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Train owner/admin team and field agents using real sample cases.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5. Go-live support</w:t>
            </w:r>
          </w:p>
        </w:tc>
        <w:tc>
          <w:tcPr>
            <w:tcW w:type="dxa" w:w="74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tcPr>
          <w:p>
            <w:r>
              <w:rPr>
                <w:rFonts w:ascii="Aptos" w:hAnsi="Aptos" w:eastAsia="Aptos"/>
                <w:color w:val="12201B"/>
                <w:sz w:val="17"/>
              </w:rPr>
              <w:t>Support first week operations, reports, corrections and user questions.</w:t>
            </w:r>
          </w:p>
        </w:tc>
      </w:tr>
      <w:tr>
        <w:tc>
          <w:tcPr>
            <w:tcW w:type="dxa" w:w="2016"/>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6. Growth support</w:t>
            </w:r>
          </w:p>
        </w:tc>
        <w:tc>
          <w:tcPr>
            <w:tcW w:type="dxa" w:w="7488"/>
            <w:tcBorders>
              <w:top w:val="single" w:sz="8" w:space="0" w:color="D9E5DF"/>
              <w:left w:val="single" w:sz="8" w:space="0" w:color="D9E5DF"/>
              <w:bottom w:val="single" w:sz="8" w:space="0" w:color="D9E5DF"/>
              <w:right w:val="single" w:sz="8" w:space="0" w:color="D9E5DF"/>
            </w:tcBorders>
            <w:tcMar>
              <w:top w:w="100" w:type="dxa"/>
              <w:start w:w="90" w:type="dxa"/>
              <w:bottom w:w="100" w:type="dxa"/>
              <w:end w:w="90" w:type="dxa"/>
            </w:tcMar>
            <w:shd w:fill="F7FAF8"/>
          </w:tcPr>
          <w:p>
            <w:r>
              <w:rPr>
                <w:rFonts w:ascii="Aptos" w:hAnsi="Aptos" w:eastAsia="Aptos"/>
                <w:color w:val="12201B"/>
                <w:sz w:val="17"/>
              </w:rPr>
              <w:t>Add modules like gold loan, accounting, WhatsApp, bureau or borrower portal later.</w:t>
            </w:r>
          </w:p>
        </w:tc>
      </w:tr>
    </w:tbl>
    <w:p/>
    <w:p>
      <w:pPr>
        <w:pStyle w:val="Heading1"/>
        <w:spacing w:before="160" w:after="80"/>
      </w:pPr>
      <w:r>
        <w:t>10. Call to Action</w:t>
      </w:r>
    </w:p>
    <w:p>
      <w:pPr>
        <w:pStyle w:val="BrandBody"/>
      </w:pPr>
      <w:r>
        <w:rPr>
          <w:rFonts w:ascii="Aptos" w:hAnsi="Aptos" w:eastAsia="Aptos"/>
        </w:rPr>
        <w:t>Book a demo to see how LoanTrack can digitize your finance business. In one demo, you can see customer onboarding, loan creation, field collection, GPS proof, borrower portal, accounting and reports working together.</w:t>
      </w:r>
    </w:p>
    <w:tbl>
      <w:tblPr>
        <w:tblW w:type="auto" w:w="0"/>
        <w:jc w:val="center"/>
        <w:tblLook w:firstColumn="1" w:firstRow="1" w:lastColumn="0" w:lastRow="0" w:noHBand="0" w:noVBand="1" w:val="04A0"/>
      </w:tblPr>
      <w:tblGrid>
        <w:gridCol w:w="10368"/>
      </w:tblGrid>
      <w:tr>
        <w:tc>
          <w:tcPr>
            <w:tcW w:type="dxa" w:w="10368"/>
            <w:shd w:fill="0F3F33"/>
            <w:tcBorders>
              <w:top w:val="single" w:sz="8" w:space="0" w:color="D9E5DF"/>
              <w:left w:val="single" w:sz="8" w:space="0" w:color="D9E5DF"/>
              <w:bottom w:val="single" w:sz="8" w:space="0" w:color="D9E5DF"/>
              <w:right w:val="single" w:sz="8" w:space="0" w:color="D9E5DF"/>
            </w:tcBorders>
            <w:tcMar>
              <w:top w:w="170" w:type="dxa"/>
              <w:start w:w="220" w:type="dxa"/>
              <w:bottom w:w="170" w:type="dxa"/>
              <w:end w:w="220" w:type="dxa"/>
            </w:tcMar>
          </w:tcPr>
          <w:p>
            <w:pPr>
              <w:pStyle w:val="Callout"/>
              <w:jc w:val="center"/>
            </w:pPr>
            <w:r>
              <w:rPr>
                <w:rFonts w:ascii="Aptos" w:hAnsi="Aptos" w:eastAsia="Aptos"/>
                <w:color w:val="FFFFFF"/>
              </w:rPr>
              <w:t>LoanTrack - One platform for customers, loans, collections, agents, accounting and reports.</w:t>
            </w:r>
          </w:p>
        </w:tc>
      </w:tr>
    </w:tbl>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49635A"/>
        <w:sz w:val="16"/>
      </w:rPr>
      <w:t>LoanTrack | Web + Mobile lending management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49635A"/>
        <w:sz w:val="16"/>
      </w:rPr>
      <w:t>LoanTrack Marketing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220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F3F3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6876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F3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F3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963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Body">
    <w:name w:val="Brand Body"/>
    <w:pPr>
      <w:spacing w:after="100" w:line="276" w:lineRule="auto"/>
    </w:pPr>
    <w:rPr>
      <w:rFonts w:ascii="Aptos" w:hAnsi="Aptos" w:eastAsia="Aptos"/>
      <w:color w:val="12201B"/>
      <w:sz w:val="21"/>
    </w:rPr>
  </w:style>
  <w:style w:type="paragraph" w:customStyle="1" w:styleId="SmallMuted">
    <w:name w:val="Small Muted"/>
    <w:pPr>
      <w:spacing w:after="60"/>
    </w:pPr>
    <w:rPr>
      <w:rFonts w:ascii="Aptos" w:hAnsi="Aptos" w:eastAsia="Aptos"/>
      <w:color w:val="49635A"/>
      <w:sz w:val="18"/>
    </w:rPr>
  </w:style>
  <w:style w:type="paragraph" w:customStyle="1" w:styleId="Callout">
    <w:name w:val="Callout"/>
    <w:rPr>
      <w:rFonts w:ascii="Aptos" w:hAnsi="Aptos" w:eastAsia="Aptos"/>
      <w:b/>
      <w:color w:val="0F3F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