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FINAL INSIGHTS &amp; RECOMMENDATIONS</w:t>
      </w:r>
    </w:p>
    <w:p>
      <w:pPr>
        <w:jc w:val="center"/>
      </w:pPr>
      <w:r>
        <w:rPr>
          <w:b/>
          <w:sz w:val="24"/>
        </w:rPr>
        <w:t>Sales Forecasting &amp; Demand Prediction Analysis</w:t>
      </w:r>
    </w:p>
    <w:p>
      <w:pPr>
        <w:spacing w:before="140" w:after="60"/>
      </w:pPr>
      <w:r>
        <w:rPr>
          <w:b/>
          <w:sz w:val="26"/>
        </w:rPr>
        <w:t>1. Key Insights</w:t>
      </w:r>
    </w:p>
    <w:p>
      <w:pPr>
        <w:pStyle w:val="ListBullet"/>
        <w:spacing w:after="20"/>
      </w:pPr>
      <w:r>
        <w:t>Total sales are approximately 77.96M across the analyzed dataset.</w:t>
      </w:r>
    </w:p>
    <w:p>
      <w:pPr>
        <w:pStyle w:val="ListBullet"/>
        <w:spacing w:after="20"/>
      </w:pPr>
      <w:r>
        <w:t>2016 was the strongest sales year, with approximately 22M in sales.</w:t>
      </w:r>
    </w:p>
    <w:p>
      <w:pPr>
        <w:pStyle w:val="ListBullet"/>
        <w:spacing w:after="20"/>
      </w:pPr>
      <w:r>
        <w:t>GROCERY I is the top product family at approximately 36.69M, followed by BEVERAGES and PRODUCE.</w:t>
      </w:r>
    </w:p>
    <w:p>
      <w:pPr>
        <w:pStyle w:val="ListBullet"/>
        <w:spacing w:after="20"/>
      </w:pPr>
      <w:r>
        <w:t>Store 44 is the leading store in the current Top 10 analysis at approximately 5.8M in sales.</w:t>
      </w:r>
    </w:p>
    <w:p>
      <w:pPr>
        <w:pStyle w:val="ListBullet"/>
        <w:spacing w:after="20"/>
      </w:pPr>
      <w:r>
        <w:t>Promotion sales are approximately 53.89M, compared with 24.07M for non-promotion sales.</w:t>
      </w:r>
    </w:p>
    <w:p>
      <w:pPr>
        <w:pStyle w:val="ListBullet"/>
        <w:spacing w:after="20"/>
      </w:pPr>
      <w:r>
        <w:t>Holiday sales are approximately 6.60M, compared with 71.36M for non-holiday sales.</w:t>
      </w:r>
    </w:p>
    <w:p>
      <w:pPr>
        <w:pStyle w:val="ListBullet"/>
        <w:spacing w:after="20"/>
      </w:pPr>
      <w:r>
        <w:t>Monthly sales show clear peaks and fluctuations, while the forecast indicates continued demand with uncertainty.</w:t>
      </w:r>
    </w:p>
    <w:p>
      <w:pPr>
        <w:spacing w:before="140" w:after="60"/>
      </w:pPr>
      <w:r>
        <w:rPr>
          <w:b/>
          <w:sz w:val="26"/>
        </w:rPr>
        <w:t>2. Business Questions to Answer</w:t>
      </w:r>
    </w:p>
    <w:p>
      <w:pPr>
        <w:spacing w:before="60"/>
      </w:pPr>
      <w:r>
        <w:rPr>
          <w:b/>
        </w:rPr>
        <w:t>1. Which months have the highest sales?</w:t>
      </w:r>
    </w:p>
    <w:p>
      <w:r>
        <w:t>July is a prominent peak in the monthly trend, while the Best Sales Month KPI currently shows December.</w:t>
      </w:r>
    </w:p>
    <w:p>
      <w:pPr>
        <w:spacing w:before="60"/>
      </w:pPr>
      <w:r>
        <w:rPr>
          <w:b/>
        </w:rPr>
        <w:t>2. Is there any seasonal pattern in sales?</w:t>
      </w:r>
    </w:p>
    <w:p>
      <w:r>
        <w:t>Yes. Sales vary across months, with recurring peaks and lower-demand periods, although the pattern differs by year.</w:t>
      </w:r>
    </w:p>
    <w:p>
      <w:pPr>
        <w:spacing w:before="60"/>
      </w:pPr>
      <w:r>
        <w:rPr>
          <w:b/>
        </w:rPr>
        <w:t>3. What is the overall sales trend?</w:t>
      </w:r>
    </w:p>
    <w:p>
      <w:r>
        <w:t>Sales increased from 2013 to the 2016 peak and declined in 2017.</w:t>
      </w:r>
    </w:p>
    <w:p>
      <w:pPr>
        <w:spacing w:before="60"/>
      </w:pPr>
      <w:r>
        <w:rPr>
          <w:b/>
        </w:rPr>
        <w:t>4. Which products are expected to have high demand?</w:t>
      </w:r>
    </w:p>
    <w:p>
      <w:r>
        <w:t>GROCERY I, BEVERAGES, and PRODUCE have the strongest historical sales and should receive priority in demand planning.</w:t>
      </w:r>
    </w:p>
    <w:p>
      <w:pPr>
        <w:spacing w:before="60"/>
      </w:pPr>
      <w:r>
        <w:rPr>
          <w:b/>
        </w:rPr>
        <w:t>5. How can the company improve demand planning?</w:t>
      </w:r>
    </w:p>
    <w:p>
      <w:r>
        <w:t>Use historical trends, store performance, product demand, promotion/holiday effects, and forecast ranges to plan inventory and replenishment.</w:t>
      </w:r>
    </w:p>
    <w:p>
      <w:pPr>
        <w:spacing w:before="140" w:after="60"/>
      </w:pPr>
      <w:r>
        <w:rPr>
          <w:b/>
          <w:sz w:val="26"/>
        </w:rPr>
        <w:t>3. Recommendations</w:t>
      </w:r>
    </w:p>
    <w:p>
      <w:pPr>
        <w:pStyle w:val="ListBullet"/>
      </w:pPr>
      <w:r>
        <w:rPr>
          <w:b/>
        </w:rPr>
        <w:t xml:space="preserve">Focus on high-demand products: </w:t>
      </w:r>
      <w:r>
        <w:t>Maintain strong availability for the leading product families.</w:t>
      </w:r>
    </w:p>
    <w:p>
      <w:pPr>
        <w:pStyle w:val="ListBullet"/>
      </w:pPr>
      <w:r>
        <w:rPr>
          <w:b/>
        </w:rPr>
        <w:t xml:space="preserve">Improve store-level planning: </w:t>
      </w:r>
      <w:r>
        <w:t>Give closer inventory attention to high-performing stores.</w:t>
      </w:r>
    </w:p>
    <w:p>
      <w:pPr>
        <w:pStyle w:val="ListBullet"/>
      </w:pPr>
      <w:r>
        <w:rPr>
          <w:b/>
        </w:rPr>
        <w:t xml:space="preserve">Optimize promotions: </w:t>
      </w:r>
      <w:r>
        <w:t>Evaluate promotional performance by product, store, and period.</w:t>
      </w:r>
    </w:p>
    <w:p>
      <w:pPr>
        <w:pStyle w:val="ListBullet"/>
      </w:pPr>
      <w:r>
        <w:rPr>
          <w:b/>
        </w:rPr>
        <w:t xml:space="preserve">Prepare for peak periods: </w:t>
      </w:r>
      <w:r>
        <w:t>Increase inventory readiness during historically strong months.</w:t>
      </w:r>
    </w:p>
    <w:p>
      <w:pPr>
        <w:pStyle w:val="ListBullet"/>
      </w:pPr>
      <w:r>
        <w:rPr>
          <w:b/>
        </w:rPr>
        <w:t xml:space="preserve">Use forecasts carefully: </w:t>
      </w:r>
      <w:r>
        <w:t>Use forecast ranges as planning guidance rather than guaranteed sales.</w:t>
      </w:r>
    </w:p>
    <w:p>
      <w:pPr>
        <w:pStyle w:val="ListBullet"/>
      </w:pPr>
      <w:r>
        <w:rPr>
          <w:b/>
        </w:rPr>
        <w:t xml:space="preserve">Investigate sales decline: </w:t>
      </w:r>
      <w:r>
        <w:t>Review the reasons behind the drop after the 2016 peak.</w:t>
      </w:r>
    </w:p>
    <w:p>
      <w:pPr>
        <w:spacing w:before="140" w:after="60"/>
      </w:pPr>
      <w:r>
        <w:rPr>
          <w:b/>
          <w:sz w:val="26"/>
        </w:rPr>
        <w:t>4. KPI 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Metric</w:t>
            </w:r>
          </w:p>
        </w:tc>
        <w:tc>
          <w:tcPr>
            <w:tcW w:type="dxa" w:w="5040"/>
          </w:tcPr>
          <w:p>
            <w:r>
              <w:t>Result</w:t>
            </w:r>
          </w:p>
        </w:tc>
      </w:tr>
      <w:tr>
        <w:tc>
          <w:tcPr>
            <w:tcW w:type="dxa" w:w="5040"/>
          </w:tcPr>
          <w:p>
            <w:r>
              <w:t>Total Sales</w:t>
            </w:r>
          </w:p>
        </w:tc>
        <w:tc>
          <w:tcPr>
            <w:tcW w:type="dxa" w:w="5040"/>
          </w:tcPr>
          <w:p>
            <w:r>
              <w:t>77.96M</w:t>
            </w:r>
          </w:p>
        </w:tc>
      </w:tr>
      <w:tr>
        <w:tc>
          <w:tcPr>
            <w:tcW w:type="dxa" w:w="5040"/>
          </w:tcPr>
          <w:p>
            <w:r>
              <w:t>Total Records</w:t>
            </w:r>
          </w:p>
        </w:tc>
        <w:tc>
          <w:tcPr>
            <w:tcW w:type="dxa" w:w="5040"/>
          </w:tcPr>
          <w:p>
            <w:r>
              <w:t>100.03K</w:t>
            </w:r>
          </w:p>
        </w:tc>
      </w:tr>
      <w:tr>
        <w:tc>
          <w:tcPr>
            <w:tcW w:type="dxa" w:w="5040"/>
          </w:tcPr>
          <w:p>
            <w:r>
              <w:t>Promotion Sales</w:t>
            </w:r>
          </w:p>
        </w:tc>
        <w:tc>
          <w:tcPr>
            <w:tcW w:type="dxa" w:w="5040"/>
          </w:tcPr>
          <w:p>
            <w:r>
              <w:t>53.89M</w:t>
            </w:r>
          </w:p>
        </w:tc>
      </w:tr>
      <w:tr>
        <w:tc>
          <w:tcPr>
            <w:tcW w:type="dxa" w:w="5040"/>
          </w:tcPr>
          <w:p>
            <w:r>
              <w:t>Holiday Sales</w:t>
            </w:r>
          </w:p>
        </w:tc>
        <w:tc>
          <w:tcPr>
            <w:tcW w:type="dxa" w:w="5040"/>
          </w:tcPr>
          <w:p>
            <w:r>
              <w:t>6.60M</w:t>
            </w:r>
          </w:p>
        </w:tc>
      </w:tr>
      <w:tr>
        <w:tc>
          <w:tcPr>
            <w:tcW w:type="dxa" w:w="5040"/>
          </w:tcPr>
          <w:p>
            <w:r>
              <w:t>Non-Holiday Sales</w:t>
            </w:r>
          </w:p>
        </w:tc>
        <w:tc>
          <w:tcPr>
            <w:tcW w:type="dxa" w:w="5040"/>
          </w:tcPr>
          <w:p>
            <w:r>
              <w:t>71.36M</w:t>
            </w:r>
          </w:p>
        </w:tc>
      </w:tr>
      <w:tr>
        <w:tc>
          <w:tcPr>
            <w:tcW w:type="dxa" w:w="5040"/>
          </w:tcPr>
          <w:p>
            <w:r>
              <w:t>Best Sales Year</w:t>
            </w:r>
          </w:p>
        </w:tc>
        <w:tc>
          <w:tcPr>
            <w:tcW w:type="dxa" w:w="5040"/>
          </w:tcPr>
          <w:p>
            <w:r>
              <w:t>2016</w:t>
            </w:r>
          </w:p>
        </w:tc>
      </w:tr>
    </w:tbl>
    <w:p>
      <w:r>
        <w:rPr>
          <w:b/>
        </w:rPr>
        <w:t>Data Scope: The 100.03K record count and the related SQL/Power BI metrics refer to the 100K-record subset. The Excel workbook contains the full dataset and may therefore show different totals when calculated across all records.</w:t>
      </w:r>
    </w:p>
    <w:p>
      <w:pPr>
        <w:spacing w:before="120"/>
      </w:pPr>
      <w:r>
        <w:rPr>
          <w:b/>
        </w:rPr>
        <w:t xml:space="preserve">Note: </w:t>
      </w:r>
      <w:r>
        <w:t>Forecast results are trend-based estimates and should be used for planning, not treated as guaranteed future sales.</w:t>
      </w:r>
    </w:p>
    <w:p>
      <w:pPr/>
      <w:r>
        <w:rPr>
          <w:b/>
        </w:rPr>
        <w:t>Dataset Scope Note: The Excel analysis uses the full available dataset. For SQL and Power BI, a 100K-record subset was used for analysis and dashboard development. Therefore, figures and insights shown in SQL/Power BI are based on the 100K-record subset, while the Excel analysis represents the full dataset.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