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40" w:before="0"/>
        <w:jc w:val="center"/>
      </w:pPr>
      <w:r>
        <w:rPr>
          <w:rFonts w:ascii="Arial" w:cs="Arial" w:eastAsia="Arial" w:hAnsi="Arial"/>
          <w:b/>
          <w:bCs/>
          <w:caps/>
          <w:color w:val="C0392B"/>
          <w:sz w:val="18"/>
          <w:szCs w:val="18"/>
        </w:rPr>
        <w:t xml:space="preserve">CONFIDENTIAL</w:t>
      </w:r>
    </w:p>
    <w:p>
      <w:pPr>
        <w:spacing w:after="0" w:before="120"/>
      </w:pPr>
      <w:r>
        <w:t xml:space="preserve"/>
      </w:r>
    </w:p>
    <w:p>
      <w:pPr>
        <w:spacing w:after="60" w:before="0"/>
        <w:jc w:val="center"/>
      </w:pPr>
      <w:r>
        <w:rPr>
          <w:rFonts w:ascii="Arial" w:cs="Arial" w:eastAsia="Arial" w:hAnsi="Arial"/>
          <w:b/>
          <w:bCs/>
          <w:color w:val="1B3A6B"/>
          <w:sz w:val="40"/>
          <w:szCs w:val="40"/>
        </w:rPr>
        <w:t xml:space="preserve">NovaPay Financial Technologies</w:t>
      </w:r>
    </w:p>
    <w:p>
      <w:pPr>
        <w:spacing w:after="200" w:before="0"/>
        <w:jc w:val="center"/>
      </w:pPr>
      <w:r>
        <w:rPr>
          <w:rFonts w:ascii="Arial" w:cs="Arial" w:eastAsia="Arial" w:hAnsi="Arial"/>
          <w:color w:val="2E5FA3"/>
          <w:sz w:val="30"/>
          <w:szCs w:val="30"/>
        </w:rPr>
        <w:t xml:space="preserve">IAM Environment Assessment Report</w:t>
      </w:r>
    </w:p>
    <w:p>
      <w:pPr>
        <w:pBdr>
          <w:top w:val="single" w:color="2E5FA3" w:sz="8"/>
          <w:bottom w:val="single" w:color="2E5FA3" w:sz="8"/>
        </w:pBdr>
        <w:spacing w:after="60" w:before="0"/>
        <w:jc w:val="center"/>
      </w:pPr>
      <w:r>
        <w:rPr>
          <w:rFonts w:ascii="Arial" w:cs="Arial" w:eastAsia="Arial" w:hAnsi="Arial"/>
          <w:b/>
          <w:bCs/>
          <w:color w:val="1B3A6B"/>
          <w:sz w:val="22"/>
          <w:szCs w:val="22"/>
        </w:rPr>
        <w:t xml:space="preserve">Organization Overview — Section 1</w:t>
      </w:r>
    </w:p>
    <w:p>
      <w:pPr>
        <w:spacing w:after="0" w:before="200"/>
      </w:pPr>
      <w:r>
        <w:t xml:space="preserve"/>
      </w:r>
    </w:p>
    <w:p>
      <w:pPr>
        <w:jc w:val="center"/>
      </w:pPr>
      <w:r>
        <w:rPr>
          <w:rFonts w:ascii="Arial" w:cs="Arial" w:eastAsia="Arial" w:hAnsi="Arial"/>
          <w:color w:val="9BA3B8"/>
          <w:sz w:val="18"/>
          <w:szCs w:val="18"/>
        </w:rPr>
        <w:t xml:space="preserve">Prepared by: IAM Security Team  |  Classification: Internal — Restricted</w:t>
      </w:r>
    </w:p>
    <w:p>
      <w:pPr>
        <w:jc w:val="center"/>
      </w:pPr>
      <w:r>
        <w:rPr>
          <w:rFonts w:ascii="Arial" w:cs="Arial" w:eastAsia="Arial" w:hAnsi="Arial"/>
          <w:color w:val="9BA3B8"/>
          <w:sz w:val="18"/>
          <w:szCs w:val="18"/>
        </w:rPr>
        <w:t xml:space="preserve">Assessment Date: Q2 2025  |  Version: 1.0</w:t>
      </w:r>
    </w:p>
    <w:p>
      <w:pPr>
        <w:spacing w:after="0" w:before="600"/>
      </w:pPr>
      <w:r>
        <w:t xml:space="preserve"/>
      </w:r>
    </w:p>
    <w:p>
      <w:pPr>
        <w:jc w:val="center"/>
      </w:pPr>
      <w:r>
        <w:rPr>
          <w:rFonts w:ascii="Arial" w:cs="Arial" w:eastAsia="Arial" w:hAnsi="Arial"/>
          <w:i/>
          <w:iCs/>
          <w:color w:val="C0392B"/>
          <w:sz w:val="17"/>
          <w:szCs w:val="17"/>
        </w:rPr>
        <w:t xml:space="preserve">⚠  This document contains sensitive security information. Distribution is strictly controlled.</w:t>
      </w:r>
    </w:p>
    <w:p>
      <w:pPr>
        <w:pageBreakBefore/>
      </w:pPr>
    </w:p>
    <w:p>
      <w:pPr>
        <w:pStyle w:val="Heading1"/>
        <w:pBdr>
          <w:bottom w:val="single" w:color="2E5FA3" w:sz="8"/>
        </w:pBdr>
        <w:spacing w:after="160" w:before="400"/>
      </w:pPr>
      <w:r>
        <w:rPr>
          <w:rFonts w:ascii="Arial" w:cs="Arial" w:eastAsia="Arial" w:hAnsi="Arial"/>
          <w:b/>
          <w:bCs/>
          <w:color w:val="1B3A6B"/>
          <w:sz w:val="28"/>
          <w:szCs w:val="28"/>
        </w:rPr>
        <w:t xml:space="preserve">1. Organization Overview</w:t>
      </w:r>
    </w:p>
    <w:p>
      <w:pPr>
        <w:pStyle w:val="Heading2"/>
        <w:spacing w:after="120" w:before="320"/>
      </w:pPr>
      <w:r>
        <w:rPr>
          <w:rFonts w:ascii="Arial" w:cs="Arial" w:eastAsia="Arial" w:hAnsi="Arial"/>
          <w:b/>
          <w:bCs/>
          <w:color w:val="2E5FA3"/>
          <w:sz w:val="24"/>
          <w:szCs w:val="24"/>
        </w:rPr>
        <w:t xml:space="preserve">1.1  Company Profile</w:t>
      </w:r>
    </w:p>
    <w:p>
      <w:pPr>
        <w:spacing w:after="80" w:before="60"/>
      </w:pPr>
      <w:r>
        <w:rPr>
          <w:rFonts w:ascii="Arial" w:cs="Arial" w:eastAsia="Arial" w:hAnsi="Arial"/>
          <w:color w:val="1A1A2E"/>
          <w:sz w:val="20"/>
          <w:szCs w:val="20"/>
        </w:rPr>
        <w:t xml:space="preserve">NovaPay Financial Technologies is a Series-C fintech company headquartered in Austin, TX, providing real-time payments infrastructure, embedded lending APIs, and digital wallet services to enterprise clients across North America. The company holds a Money Transmitter License in 47 states and processes an average of $2.3B in daily transaction volume. NovaPay operates under PCI-DSS Level 1, SOC 2 Type II, and applicable FFIEC guidance.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Company At-a-Glance</w:t>
            </w:r>
          </w:p>
        </w:tc>
      </w:tr>
      <w:tr>
        <w:tc>
          <w:tcPr>
            <w:tcW w:type="dxa" w:w="26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Legal Name</w:t>
            </w:r>
          </w:p>
        </w:tc>
        <w:tc>
          <w:tcPr>
            <w:tcW w:type="dxa" w:w="67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NovaPay Financial Technologies, Inc.</w:t>
            </w:r>
          </w:p>
        </w:tc>
      </w:tr>
      <w:tr>
        <w:tc>
          <w:tcPr>
            <w:tcW w:type="dxa" w:w="26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Industry</w:t>
            </w:r>
          </w:p>
        </w:tc>
        <w:tc>
          <w:tcPr>
            <w:tcW w:type="dxa" w:w="67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Fintech — Payments Infrastructure &amp; Embedded Finance</w:t>
            </w:r>
          </w:p>
        </w:tc>
      </w:tr>
      <w:tr>
        <w:tc>
          <w:tcPr>
            <w:tcW w:type="dxa" w:w="26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Headquarters</w:t>
            </w:r>
          </w:p>
        </w:tc>
        <w:tc>
          <w:tcPr>
            <w:tcW w:type="dxa" w:w="67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Austin, TX (primary)  |  New York, NY (compliance office)</w:t>
            </w:r>
          </w:p>
        </w:tc>
      </w:tr>
      <w:tr>
        <w:tc>
          <w:tcPr>
            <w:tcW w:type="dxa" w:w="26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Total Employees</w:t>
            </w:r>
          </w:p>
        </w:tc>
        <w:tc>
          <w:tcPr>
            <w:tcW w:type="dxa" w:w="67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200 (scoped user population for this assessment)</w:t>
            </w:r>
          </w:p>
        </w:tc>
      </w:tr>
      <w:tr>
        <w:tc>
          <w:tcPr>
            <w:tcW w:type="dxa" w:w="26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Cloud Provider</w:t>
            </w:r>
          </w:p>
        </w:tc>
        <w:tc>
          <w:tcPr>
            <w:tcW w:type="dxa" w:w="67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Amazon Web Services (primary)  |  GCP (data analytics workloads)</w:t>
            </w:r>
          </w:p>
        </w:tc>
      </w:tr>
      <w:tr>
        <w:tc>
          <w:tcPr>
            <w:tcW w:type="dxa" w:w="26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Regulatory Scope</w:t>
            </w:r>
          </w:p>
        </w:tc>
        <w:tc>
          <w:tcPr>
            <w:tcW w:type="dxa" w:w="67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PCI-DSS Level 1, SOC 2 Type II, FFIEC, TX DBA</w:t>
            </w:r>
          </w:p>
        </w:tc>
      </w:tr>
      <w:tr>
        <w:tc>
          <w:tcPr>
            <w:tcW w:type="dxa" w:w="26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Assessment Scope</w:t>
            </w:r>
          </w:p>
        </w:tc>
        <w:tc>
          <w:tcPr>
            <w:tcW w:type="dxa" w:w="67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All identity types across 5 departments and 5 critical systems</w:t>
            </w:r>
          </w:p>
        </w:tc>
      </w:tr>
      <w:tr>
        <w:tc>
          <w:tcPr>
            <w:tcW w:type="dxa" w:w="26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Data Classification</w:t>
            </w:r>
          </w:p>
        </w:tc>
        <w:tc>
          <w:tcPr>
            <w:tcW w:type="dxa" w:w="67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Public / Internal / Confidential / Restricted</w:t>
            </w:r>
          </w:p>
        </w:tc>
      </w:tr>
    </w:tbl>
    <w:p>
      <w:pPr>
        <w:spacing w:after="0" w:before="120"/>
      </w:pPr>
      <w:r>
        <w:t xml:space="preserve"/>
      </w:r>
    </w:p>
    <w:p>
      <w:pPr>
        <w:pStyle w:val="Heading2"/>
        <w:spacing w:after="120" w:before="320"/>
      </w:pPr>
      <w:r>
        <w:rPr>
          <w:rFonts w:ascii="Arial" w:cs="Arial" w:eastAsia="Arial" w:hAnsi="Arial"/>
          <w:b/>
          <w:bCs/>
          <w:color w:val="2E5FA3"/>
          <w:sz w:val="24"/>
          <w:szCs w:val="24"/>
        </w:rPr>
        <w:t xml:space="preserve">1.2  User Population &amp; Department Breakdown</w:t>
      </w:r>
    </w:p>
    <w:p>
      <w:pPr>
        <w:spacing w:after="80" w:before="60"/>
      </w:pPr>
      <w:r>
        <w:rPr>
          <w:rFonts w:ascii="Arial" w:cs="Arial" w:eastAsia="Arial" w:hAnsi="Arial"/>
          <w:color w:val="1A1A2E"/>
          <w:sz w:val="20"/>
          <w:szCs w:val="20"/>
        </w:rPr>
        <w:t xml:space="preserve">The scoped identity population consists of 200 principals spanning five operational departments plus cross-functional service accounts. The table below summarises headcount, identity type distribution, and privileged account counts per department.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1050"/>
        <w:gridCol w:w="950"/>
        <w:gridCol w:w="950"/>
        <w:gridCol w:w="1110"/>
      </w:tblGrid>
      <w:tr>
        <w:tc>
          <w:tcPr>
            <w:tcW w:type="dxa" w:w="16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Department</w:t>
            </w:r>
          </w:p>
        </w:tc>
        <w:tc>
          <w:tcPr>
            <w:tcW w:type="dxa" w:w="9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Total Users</w:t>
            </w:r>
          </w:p>
        </w:tc>
        <w:tc>
          <w:tcPr>
            <w:tcW w:type="dxa" w:w="9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Standard Users</w:t>
            </w:r>
          </w:p>
        </w:tc>
        <w:tc>
          <w:tcPr>
            <w:tcW w:type="dxa" w:w="9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Admins</w:t>
            </w:r>
          </w:p>
        </w:tc>
        <w:tc>
          <w:tcPr>
            <w:tcW w:type="dxa" w:w="105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Super-Admins</w:t>
            </w:r>
          </w:p>
        </w:tc>
        <w:tc>
          <w:tcPr>
            <w:tcW w:type="dxa" w:w="95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Priv. Accounts</w:t>
            </w:r>
          </w:p>
        </w:tc>
        <w:tc>
          <w:tcPr>
            <w:tcW w:type="dxa" w:w="95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MFA Enrolled</w:t>
            </w:r>
          </w:p>
        </w:tc>
        <w:tc>
          <w:tcPr>
            <w:tcW w:type="dxa" w:w="111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Service Accts</w:t>
            </w:r>
          </w:p>
        </w:tc>
      </w:tr>
      <w:tr>
        <w:tc>
          <w:tcPr>
            <w:tcW w:type="dxa" w:w="16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Engineering</w:t>
            </w:r>
          </w:p>
        </w:tc>
        <w:tc>
          <w:tcPr>
            <w:tcW w:type="dxa" w:w="9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65</w:t>
            </w:r>
          </w:p>
        </w:tc>
        <w:tc>
          <w:tcPr>
            <w:tcW w:type="dxa" w:w="9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28</w:t>
            </w:r>
          </w:p>
        </w:tc>
        <w:tc>
          <w:tcPr>
            <w:tcW w:type="dxa" w:w="9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37</w:t>
            </w:r>
          </w:p>
        </w:tc>
        <w:tc>
          <w:tcPr>
            <w:tcW w:type="dxa" w:w="105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0</w:t>
            </w:r>
          </w:p>
        </w:tc>
        <w:tc>
          <w:tcPr>
            <w:tcW w:type="dxa" w:w="95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14</w:t>
            </w:r>
          </w:p>
        </w:tc>
        <w:tc>
          <w:tcPr>
            <w:tcW w:type="dxa" w:w="95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8</w:t>
            </w:r>
          </w:p>
        </w:tc>
        <w:tc>
          <w:tcPr>
            <w:tcW w:type="dxa" w:w="111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3</w:t>
            </w:r>
          </w:p>
        </w:tc>
      </w:tr>
      <w:tr>
        <w:tc>
          <w:tcPr>
            <w:tcW w:type="dxa" w:w="16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Finance</w:t>
            </w:r>
          </w:p>
        </w:tc>
        <w:tc>
          <w:tcPr>
            <w:tcW w:type="dxa" w:w="9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30</w:t>
            </w:r>
          </w:p>
        </w:tc>
        <w:tc>
          <w:tcPr>
            <w:tcW w:type="dxa" w:w="9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10</w:t>
            </w:r>
          </w:p>
        </w:tc>
        <w:tc>
          <w:tcPr>
            <w:tcW w:type="dxa" w:w="9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20</w:t>
            </w:r>
          </w:p>
        </w:tc>
        <w:tc>
          <w:tcPr>
            <w:tcW w:type="dxa" w:w="105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0</w:t>
            </w:r>
          </w:p>
        </w:tc>
        <w:tc>
          <w:tcPr>
            <w:tcW w:type="dxa" w:w="95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6</w:t>
            </w:r>
          </w:p>
        </w:tc>
        <w:tc>
          <w:tcPr>
            <w:tcW w:type="dxa" w:w="95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2</w:t>
            </w:r>
          </w:p>
        </w:tc>
        <w:tc>
          <w:tcPr>
            <w:tcW w:type="dxa" w:w="111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4</w:t>
            </w:r>
          </w:p>
        </w:tc>
      </w:tr>
      <w:tr>
        <w:tc>
          <w:tcPr>
            <w:tcW w:type="dxa" w:w="16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HR</w:t>
            </w:r>
          </w:p>
        </w:tc>
        <w:tc>
          <w:tcPr>
            <w:tcW w:type="dxa" w:w="9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20</w:t>
            </w:r>
          </w:p>
        </w:tc>
        <w:tc>
          <w:tcPr>
            <w:tcW w:type="dxa" w:w="9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5</w:t>
            </w:r>
          </w:p>
        </w:tc>
        <w:tc>
          <w:tcPr>
            <w:tcW w:type="dxa" w:w="9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15</w:t>
            </w:r>
          </w:p>
        </w:tc>
        <w:tc>
          <w:tcPr>
            <w:tcW w:type="dxa" w:w="105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0</w:t>
            </w:r>
          </w:p>
        </w:tc>
        <w:tc>
          <w:tcPr>
            <w:tcW w:type="dxa" w:w="95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3</w:t>
            </w:r>
          </w:p>
        </w:tc>
        <w:tc>
          <w:tcPr>
            <w:tcW w:type="dxa" w:w="95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1</w:t>
            </w:r>
          </w:p>
        </w:tc>
        <w:tc>
          <w:tcPr>
            <w:tcW w:type="dxa" w:w="111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2</w:t>
            </w:r>
          </w:p>
        </w:tc>
      </w:tr>
      <w:tr>
        <w:tc>
          <w:tcPr>
            <w:tcW w:type="dxa" w:w="16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Support</w:t>
            </w:r>
          </w:p>
        </w:tc>
        <w:tc>
          <w:tcPr>
            <w:tcW w:type="dxa" w:w="9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45</w:t>
            </w:r>
          </w:p>
        </w:tc>
        <w:tc>
          <w:tcPr>
            <w:tcW w:type="dxa" w:w="9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5</w:t>
            </w:r>
          </w:p>
        </w:tc>
        <w:tc>
          <w:tcPr>
            <w:tcW w:type="dxa" w:w="9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40</w:t>
            </w:r>
          </w:p>
        </w:tc>
        <w:tc>
          <w:tcPr>
            <w:tcW w:type="dxa" w:w="105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0</w:t>
            </w:r>
          </w:p>
        </w:tc>
        <w:tc>
          <w:tcPr>
            <w:tcW w:type="dxa" w:w="95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9</w:t>
            </w:r>
          </w:p>
        </w:tc>
        <w:tc>
          <w:tcPr>
            <w:tcW w:type="dxa" w:w="95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1</w:t>
            </w:r>
          </w:p>
        </w:tc>
        <w:tc>
          <w:tcPr>
            <w:tcW w:type="dxa" w:w="111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2</w:t>
            </w:r>
          </w:p>
        </w:tc>
      </w:tr>
      <w:tr>
        <w:tc>
          <w:tcPr>
            <w:tcW w:type="dxa" w:w="16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Security</w:t>
            </w:r>
          </w:p>
        </w:tc>
        <w:tc>
          <w:tcPr>
            <w:tcW w:type="dxa" w:w="9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15</w:t>
            </w:r>
          </w:p>
        </w:tc>
        <w:tc>
          <w:tcPr>
            <w:tcW w:type="dxa" w:w="9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8</w:t>
            </w:r>
          </w:p>
        </w:tc>
        <w:tc>
          <w:tcPr>
            <w:tcW w:type="dxa" w:w="9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7</w:t>
            </w:r>
          </w:p>
        </w:tc>
        <w:tc>
          <w:tcPr>
            <w:tcW w:type="dxa" w:w="105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C0392B"/>
                <w:sz w:val="18"/>
                <w:szCs w:val="18"/>
              </w:rPr>
              <w:t xml:space="preserve">5</w:t>
            </w:r>
          </w:p>
        </w:tc>
        <w:tc>
          <w:tcPr>
            <w:tcW w:type="dxa" w:w="95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5</w:t>
            </w:r>
          </w:p>
        </w:tc>
        <w:tc>
          <w:tcPr>
            <w:tcW w:type="dxa" w:w="95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6</w:t>
            </w:r>
          </w:p>
        </w:tc>
        <w:tc>
          <w:tcPr>
            <w:tcW w:type="dxa" w:w="111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1</w:t>
            </w:r>
          </w:p>
        </w:tc>
      </w:tr>
      <w:tr>
        <w:tc>
          <w:tcPr>
            <w:tcW w:type="dxa" w:w="16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Shared / SAs</w:t>
            </w:r>
          </w:p>
        </w:tc>
        <w:tc>
          <w:tcPr>
            <w:tcW w:type="dxa" w:w="9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25</w:t>
            </w:r>
          </w:p>
        </w:tc>
        <w:tc>
          <w:tcPr>
            <w:tcW w:type="dxa" w:w="9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w:t>
            </w:r>
          </w:p>
        </w:tc>
        <w:tc>
          <w:tcPr>
            <w:tcW w:type="dxa" w:w="9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w:t>
            </w:r>
          </w:p>
        </w:tc>
        <w:tc>
          <w:tcPr>
            <w:tcW w:type="dxa" w:w="105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w:t>
            </w:r>
          </w:p>
        </w:tc>
        <w:tc>
          <w:tcPr>
            <w:tcW w:type="dxa" w:w="95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w:t>
            </w:r>
          </w:p>
        </w:tc>
        <w:tc>
          <w:tcPr>
            <w:tcW w:type="dxa" w:w="95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w:t>
            </w:r>
          </w:p>
        </w:tc>
        <w:tc>
          <w:tcPr>
            <w:tcW w:type="dxa" w:w="111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25</w:t>
            </w:r>
          </w:p>
        </w:tc>
      </w:tr>
      <w:tr>
        <w:tc>
          <w:tcPr>
            <w:tcW w:type="dxa" w:w="1600"/>
            <w:tcBorders>
              <w:top w:val="single" w:color="D0D5E8" w:sz="4"/>
              <w:left w:val="single" w:color="D0D5E8" w:sz="4"/>
              <w:bottom w:val="single" w:color="D0D5E8" w:sz="4"/>
              <w:right w:val="single" w:color="D0D5E8" w:sz="4"/>
            </w:tcBorders>
            <w:shd w:fill="D6E4F7"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TOTAL</w:t>
            </w:r>
          </w:p>
        </w:tc>
        <w:tc>
          <w:tcPr>
            <w:tcW w:type="dxa" w:w="900"/>
            <w:tcBorders>
              <w:top w:val="single" w:color="D0D5E8" w:sz="4"/>
              <w:left w:val="single" w:color="D0D5E8" w:sz="4"/>
              <w:bottom w:val="single" w:color="D0D5E8" w:sz="4"/>
              <w:right w:val="single" w:color="D0D5E8" w:sz="4"/>
            </w:tcBorders>
            <w:shd w:fill="D6E4F7"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200</w:t>
            </w:r>
          </w:p>
        </w:tc>
        <w:tc>
          <w:tcPr>
            <w:tcW w:type="dxa" w:w="900"/>
            <w:tcBorders>
              <w:top w:val="single" w:color="D0D5E8" w:sz="4"/>
              <w:left w:val="single" w:color="D0D5E8" w:sz="4"/>
              <w:bottom w:val="single" w:color="D0D5E8" w:sz="4"/>
              <w:right w:val="single" w:color="D0D5E8" w:sz="4"/>
            </w:tcBorders>
            <w:shd w:fill="D6E4F7"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56</w:t>
            </w:r>
          </w:p>
        </w:tc>
        <w:tc>
          <w:tcPr>
            <w:tcW w:type="dxa" w:w="900"/>
            <w:tcBorders>
              <w:top w:val="single" w:color="D0D5E8" w:sz="4"/>
              <w:left w:val="single" w:color="D0D5E8" w:sz="4"/>
              <w:bottom w:val="single" w:color="D0D5E8" w:sz="4"/>
              <w:right w:val="single" w:color="D0D5E8" w:sz="4"/>
            </w:tcBorders>
            <w:shd w:fill="D6E4F7"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119</w:t>
            </w:r>
          </w:p>
        </w:tc>
        <w:tc>
          <w:tcPr>
            <w:tcW w:type="dxa" w:w="1050"/>
            <w:tcBorders>
              <w:top w:val="single" w:color="D0D5E8" w:sz="4"/>
              <w:left w:val="single" w:color="D0D5E8" w:sz="4"/>
              <w:bottom w:val="single" w:color="D0D5E8" w:sz="4"/>
              <w:right w:val="single" w:color="D0D5E8" w:sz="4"/>
            </w:tcBorders>
            <w:shd w:fill="D6E4F7"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5</w:t>
            </w:r>
          </w:p>
        </w:tc>
        <w:tc>
          <w:tcPr>
            <w:tcW w:type="dxa" w:w="950"/>
            <w:tcBorders>
              <w:top w:val="single" w:color="D0D5E8" w:sz="4"/>
              <w:left w:val="single" w:color="D0D5E8" w:sz="4"/>
              <w:bottom w:val="single" w:color="D0D5E8" w:sz="4"/>
              <w:right w:val="single" w:color="D0D5E8" w:sz="4"/>
            </w:tcBorders>
            <w:shd w:fill="D6E4F7"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37</w:t>
            </w:r>
          </w:p>
        </w:tc>
        <w:tc>
          <w:tcPr>
            <w:tcW w:type="dxa" w:w="950"/>
            <w:tcBorders>
              <w:top w:val="single" w:color="D0D5E8" w:sz="4"/>
              <w:left w:val="single" w:color="D0D5E8" w:sz="4"/>
              <w:bottom w:val="single" w:color="D0D5E8" w:sz="4"/>
              <w:right w:val="single" w:color="D0D5E8" w:sz="4"/>
            </w:tcBorders>
            <w:shd w:fill="D6E4F7"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18</w:t>
            </w:r>
          </w:p>
        </w:tc>
        <w:tc>
          <w:tcPr>
            <w:tcW w:type="dxa" w:w="1110"/>
            <w:tcBorders>
              <w:top w:val="single" w:color="D0D5E8" w:sz="4"/>
              <w:left w:val="single" w:color="D0D5E8" w:sz="4"/>
              <w:bottom w:val="single" w:color="D0D5E8" w:sz="4"/>
              <w:right w:val="single" w:color="D0D5E8" w:sz="4"/>
            </w:tcBorders>
            <w:shd w:fill="D6E4F7"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37</w:t>
            </w:r>
          </w:p>
        </w:tc>
      </w:tr>
    </w:tbl>
    <w:p>
      <w:pPr>
        <w:spacing w:after="0" w:before="80"/>
      </w:pPr>
      <w:r>
        <w:t xml:space="preserve"/>
      </w:r>
    </w:p>
    <w:p>
      <w:pPr>
        <w:spacing w:after="80" w:before="60"/>
      </w:pPr>
      <w:r>
        <w:rPr>
          <w:rFonts w:ascii="Arial" w:cs="Arial" w:eastAsia="Arial" w:hAnsi="Arial"/>
          <w:i/>
          <w:iCs/>
          <w:color w:val="9BA3B8"/>
          <w:sz w:val="20"/>
          <w:szCs w:val="20"/>
        </w:rPr>
        <w:t xml:space="preserve">Note: 'Privileged Accounts' count includes all admin + super-admin identities. Super-admin accounts have unrestricted cross-system access and are subject to PAM controls. Service accounts (SAs) are provisioned centrally and do not map 1:1 to a single department.</w:t>
      </w:r>
    </w:p>
    <w:p>
      <w:pPr>
        <w:spacing w:after="0" w:before="120"/>
      </w:pPr>
      <w:r>
        <w:t xml:space="preserve"/>
      </w:r>
    </w:p>
    <w:p>
      <w:pPr>
        <w:pStyle w:val="Heading2"/>
        <w:spacing w:after="120" w:before="320"/>
      </w:pPr>
      <w:r>
        <w:rPr>
          <w:rFonts w:ascii="Arial" w:cs="Arial" w:eastAsia="Arial" w:hAnsi="Arial"/>
          <w:b/>
          <w:bCs/>
          <w:color w:val="2E5FA3"/>
          <w:sz w:val="24"/>
          <w:szCs w:val="24"/>
        </w:rPr>
        <w:t xml:space="preserve">1.3  Identity Types</w:t>
      </w:r>
    </w:p>
    <w:p>
      <w:pPr>
        <w:spacing w:after="80" w:before="60"/>
      </w:pPr>
      <w:r>
        <w:rPr>
          <w:rFonts w:ascii="Arial" w:cs="Arial" w:eastAsia="Arial" w:hAnsi="Arial"/>
          <w:color w:val="1A1A2E"/>
          <w:sz w:val="20"/>
          <w:szCs w:val="20"/>
        </w:rPr>
        <w:t xml:space="preserve">NovaPay operates a mixed identity estate comprising human user accounts, privileged administrator accounts, non-human service accounts, emergency break-glass accounts, and legacy shared/generic accounts. Each identity type carries a distinct security posture and governance obligation.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60"/>
        <w:gridCol w:w="2200"/>
        <w:gridCol w:w="2000"/>
        <w:gridCol w:w="1600"/>
        <w:gridCol w:w="1000"/>
      </w:tblGrid>
      <w:tr>
        <w:tc>
          <w:tcPr>
            <w:tcW w:type="dxa" w:w="18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Identity Type</w:t>
            </w:r>
          </w:p>
        </w:tc>
        <w:tc>
          <w:tcPr>
            <w:tcW w:type="dxa" w:w="7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Count</w:t>
            </w:r>
          </w:p>
        </w:tc>
        <w:tc>
          <w:tcPr>
            <w:tcW w:type="dxa" w:w="22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Description</w:t>
            </w:r>
          </w:p>
        </w:tc>
        <w:tc>
          <w:tcPr>
            <w:tcW w:type="dxa" w:w="20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Typical Access Scope</w:t>
            </w:r>
          </w:p>
        </w:tc>
        <w:tc>
          <w:tcPr>
            <w:tcW w:type="dxa" w:w="16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Auth Method</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Risk Level</w:t>
            </w:r>
          </w:p>
        </w:tc>
      </w:tr>
      <w:tr>
        <w:tc>
          <w:tcPr>
            <w:tcW w:type="dxa" w:w="18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Standard User</w:t>
            </w:r>
          </w:p>
        </w:tc>
        <w:tc>
          <w:tcPr>
            <w:tcW w:type="dxa" w:w="7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119</w:t>
            </w:r>
          </w:p>
        </w:tc>
        <w:tc>
          <w:tcPr>
            <w:tcW w:type="dxa" w:w="22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Human — employee or contractor</w:t>
            </w:r>
          </w:p>
        </w:tc>
        <w:tc>
          <w:tcPr>
            <w:tcW w:type="dxa" w:w="20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Web App, VPN (department-scoped)</w:t>
            </w:r>
          </w:p>
        </w:tc>
        <w:tc>
          <w:tcPr>
            <w:tcW w:type="dxa" w:w="16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SSO + MFA (TOTP)</w:t>
            </w:r>
          </w:p>
        </w:tc>
        <w:tc>
          <w:tcPr>
            <w:tcW w:type="dxa" w:w="10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bCs/>
                <w:color w:val="1A7A4A"/>
                <w:sz w:val="18"/>
                <w:szCs w:val="18"/>
              </w:rPr>
              <w:t xml:space="preserve">Low-Medium</w:t>
            </w:r>
          </w:p>
        </w:tc>
      </w:tr>
      <w:tr>
        <w:tc>
          <w:tcPr>
            <w:tcW w:type="dxa" w:w="18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Department Admin</w:t>
            </w:r>
          </w:p>
        </w:tc>
        <w:tc>
          <w:tcPr>
            <w:tcW w:type="dxa" w:w="7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37</w:t>
            </w:r>
          </w:p>
        </w:tc>
        <w:tc>
          <w:tcPr>
            <w:tcW w:type="dxa" w:w="22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Human — senior staff or team lead</w:t>
            </w:r>
          </w:p>
        </w:tc>
        <w:tc>
          <w:tcPr>
            <w:tcW w:type="dxa" w:w="20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Dept systems + Admin Dashboard (read)</w:t>
            </w:r>
          </w:p>
        </w:tc>
        <w:tc>
          <w:tcPr>
            <w:tcW w:type="dxa" w:w="16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SSO + MFA (TOTP or hardware key)</w:t>
            </w:r>
          </w:p>
        </w:tc>
        <w:tc>
          <w:tcPr>
            <w:tcW w:type="dxa" w:w="10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bCs/>
                <w:color w:val="1A7A4A"/>
                <w:sz w:val="18"/>
                <w:szCs w:val="18"/>
              </w:rPr>
              <w:t xml:space="preserve">Medium</w:t>
            </w:r>
          </w:p>
        </w:tc>
      </w:tr>
      <w:tr>
        <w:tc>
          <w:tcPr>
            <w:tcW w:type="dxa" w:w="18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Super-Admin</w:t>
            </w:r>
          </w:p>
        </w:tc>
        <w:tc>
          <w:tcPr>
            <w:tcW w:type="dxa" w:w="7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5</w:t>
            </w:r>
          </w:p>
        </w:tc>
        <w:tc>
          <w:tcPr>
            <w:tcW w:type="dxa" w:w="22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Human — security/infra/CTO office</w:t>
            </w:r>
          </w:p>
        </w:tc>
        <w:tc>
          <w:tcPr>
            <w:tcW w:type="dxa" w:w="20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All systems including production DB</w:t>
            </w:r>
          </w:p>
        </w:tc>
        <w:tc>
          <w:tcPr>
            <w:tcW w:type="dxa" w:w="16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SSO + FIDO2 hardware key</w:t>
            </w:r>
          </w:p>
        </w:tc>
        <w:tc>
          <w:tcPr>
            <w:tcW w:type="dxa" w:w="1000"/>
            <w:tcBorders>
              <w:top w:val="single" w:color="D0D5E8" w:sz="4"/>
              <w:left w:val="single" w:color="D0D5E8" w:sz="4"/>
              <w:bottom w:val="single" w:color="D0D5E8" w:sz="4"/>
              <w:right w:val="single" w:color="D0D5E8" w:sz="4"/>
            </w:tcBorders>
            <w:shd w:fill="FDECEA" w:val="clear"/>
            <w:tcMar>
              <w:top w:type="dxa" w:w="100"/>
              <w:left w:type="dxa" w:w="140"/>
              <w:bottom w:type="dxa" w:w="100"/>
              <w:right w:type="dxa" w:w="140"/>
            </w:tcMar>
          </w:tcPr>
          <w:p>
            <w:pPr>
              <w:spacing w:after="0" w:before="0"/>
            </w:pPr>
            <w:r>
              <w:rPr>
                <w:rFonts w:ascii="Arial" w:cs="Arial" w:eastAsia="Arial" w:hAnsi="Arial"/>
                <w:b/>
                <w:bCs/>
                <w:color w:val="C0392B"/>
                <w:sz w:val="18"/>
                <w:szCs w:val="18"/>
              </w:rPr>
              <w:t xml:space="preserve">Critical</w:t>
            </w:r>
          </w:p>
        </w:tc>
      </w:tr>
      <w:tr>
        <w:tc>
          <w:tcPr>
            <w:tcW w:type="dxa" w:w="18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Service Account (Application)</w:t>
            </w:r>
          </w:p>
        </w:tc>
        <w:tc>
          <w:tcPr>
            <w:tcW w:type="dxa" w:w="7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18</w:t>
            </w:r>
          </w:p>
        </w:tc>
        <w:tc>
          <w:tcPr>
            <w:tcW w:type="dxa" w:w="22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Non-human — app-to-app auth</w:t>
            </w:r>
          </w:p>
        </w:tc>
        <w:tc>
          <w:tcPr>
            <w:tcW w:type="dxa" w:w="20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API endpoints, AWS IAM roles</w:t>
            </w:r>
          </w:p>
        </w:tc>
        <w:tc>
          <w:tcPr>
            <w:tcW w:type="dxa" w:w="16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API key + IAM role trust</w:t>
            </w:r>
          </w:p>
        </w:tc>
        <w:tc>
          <w:tcPr>
            <w:tcW w:type="dxa" w:w="10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bCs/>
                <w:color w:val="B7770D"/>
                <w:sz w:val="18"/>
                <w:szCs w:val="18"/>
              </w:rPr>
              <w:t xml:space="preserve">High</w:t>
            </w:r>
          </w:p>
        </w:tc>
      </w:tr>
      <w:tr>
        <w:tc>
          <w:tcPr>
            <w:tcW w:type="dxa" w:w="18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Service Account (Pipeline)</w:t>
            </w:r>
          </w:p>
        </w:tc>
        <w:tc>
          <w:tcPr>
            <w:tcW w:type="dxa" w:w="7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12</w:t>
            </w:r>
          </w:p>
        </w:tc>
        <w:tc>
          <w:tcPr>
            <w:tcW w:type="dxa" w:w="22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Non-human — CI/CD, automation</w:t>
            </w:r>
          </w:p>
        </w:tc>
        <w:tc>
          <w:tcPr>
            <w:tcW w:type="dxa" w:w="20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AWS S3/ECR/Secrets Manager</w:t>
            </w:r>
          </w:p>
        </w:tc>
        <w:tc>
          <w:tcPr>
            <w:tcW w:type="dxa" w:w="16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OIDC federation + short-lived tokens</w:t>
            </w:r>
          </w:p>
        </w:tc>
        <w:tc>
          <w:tcPr>
            <w:tcW w:type="dxa" w:w="10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bCs/>
                <w:color w:val="B7770D"/>
                <w:sz w:val="18"/>
                <w:szCs w:val="18"/>
              </w:rPr>
              <w:t xml:space="preserve">High</w:t>
            </w:r>
          </w:p>
        </w:tc>
      </w:tr>
      <w:tr>
        <w:tc>
          <w:tcPr>
            <w:tcW w:type="dxa" w:w="18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Break-Glass Account</w:t>
            </w:r>
          </w:p>
        </w:tc>
        <w:tc>
          <w:tcPr>
            <w:tcW w:type="dxa" w:w="7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3</w:t>
            </w:r>
          </w:p>
        </w:tc>
        <w:tc>
          <w:tcPr>
            <w:tcW w:type="dxa" w:w="22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Emergency — ops response only</w:t>
            </w:r>
          </w:p>
        </w:tc>
        <w:tc>
          <w:tcPr>
            <w:tcW w:type="dxa" w:w="20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All systems (time-bounded)</w:t>
            </w:r>
          </w:p>
        </w:tc>
        <w:tc>
          <w:tcPr>
            <w:tcW w:type="dxa" w:w="16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Manual approval + recorded session</w:t>
            </w:r>
          </w:p>
        </w:tc>
        <w:tc>
          <w:tcPr>
            <w:tcW w:type="dxa" w:w="1000"/>
            <w:tcBorders>
              <w:top w:val="single" w:color="D0D5E8" w:sz="4"/>
              <w:left w:val="single" w:color="D0D5E8" w:sz="4"/>
              <w:bottom w:val="single" w:color="D0D5E8" w:sz="4"/>
              <w:right w:val="single" w:color="D0D5E8" w:sz="4"/>
            </w:tcBorders>
            <w:shd w:fill="FDECEA" w:val="clear"/>
            <w:tcMar>
              <w:top w:type="dxa" w:w="100"/>
              <w:left w:type="dxa" w:w="140"/>
              <w:bottom w:type="dxa" w:w="100"/>
              <w:right w:type="dxa" w:w="140"/>
            </w:tcMar>
          </w:tcPr>
          <w:p>
            <w:pPr>
              <w:spacing w:after="0" w:before="0"/>
            </w:pPr>
            <w:r>
              <w:rPr>
                <w:rFonts w:ascii="Arial" w:cs="Arial" w:eastAsia="Arial" w:hAnsi="Arial"/>
                <w:b/>
                <w:bCs/>
                <w:color w:val="C0392B"/>
                <w:sz w:val="18"/>
                <w:szCs w:val="18"/>
              </w:rPr>
              <w:t xml:space="preserve">Critical</w:t>
            </w:r>
          </w:p>
        </w:tc>
      </w:tr>
      <w:tr>
        <w:tc>
          <w:tcPr>
            <w:tcW w:type="dxa" w:w="18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Shared / Generic Account</w:t>
            </w:r>
          </w:p>
        </w:tc>
        <w:tc>
          <w:tcPr>
            <w:tcW w:type="dxa" w:w="7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3</w:t>
            </w:r>
          </w:p>
        </w:tc>
        <w:tc>
          <w:tcPr>
            <w:tcW w:type="dxa" w:w="22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Legacy — to be deprecated</w:t>
            </w:r>
          </w:p>
        </w:tc>
        <w:tc>
          <w:tcPr>
            <w:tcW w:type="dxa" w:w="20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Internal Admin Dashboard only</w:t>
            </w:r>
          </w:p>
        </w:tc>
        <w:tc>
          <w:tcPr>
            <w:tcW w:type="dxa" w:w="16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C0392B"/>
                <w:sz w:val="18"/>
                <w:szCs w:val="18"/>
              </w:rPr>
              <w:t xml:space="preserve">Static password (⚠ no MFA)</w:t>
            </w:r>
          </w:p>
        </w:tc>
        <w:tc>
          <w:tcPr>
            <w:tcW w:type="dxa" w:w="1000"/>
            <w:tcBorders>
              <w:top w:val="single" w:color="D0D5E8" w:sz="4"/>
              <w:left w:val="single" w:color="D0D5E8" w:sz="4"/>
              <w:bottom w:val="single" w:color="D0D5E8" w:sz="4"/>
              <w:right w:val="single" w:color="D0D5E8" w:sz="4"/>
            </w:tcBorders>
            <w:shd w:fill="FDECEA" w:val="clear"/>
            <w:tcMar>
              <w:top w:type="dxa" w:w="100"/>
              <w:left w:type="dxa" w:w="140"/>
              <w:bottom w:type="dxa" w:w="100"/>
              <w:right w:type="dxa" w:w="140"/>
            </w:tcMar>
          </w:tcPr>
          <w:p>
            <w:pPr>
              <w:spacing w:after="0" w:before="0"/>
            </w:pPr>
            <w:r>
              <w:rPr>
                <w:rFonts w:ascii="Arial" w:cs="Arial" w:eastAsia="Arial" w:hAnsi="Arial"/>
                <w:b/>
                <w:bCs/>
                <w:color w:val="C0392B"/>
                <w:sz w:val="18"/>
                <w:szCs w:val="18"/>
              </w:rPr>
              <w:t xml:space="preserve">Critical</w:t>
            </w:r>
          </w:p>
        </w:tc>
      </w:tr>
    </w:tbl>
    <w:p>
      <w:pPr>
        <w:spacing w:after="0" w:before="80"/>
      </w:pPr>
      <w:r>
        <w:t xml:space="preserve"/>
      </w:r>
    </w:p>
    <w:p>
      <w:pPr>
        <w:spacing w:after="80" w:before="60"/>
      </w:pPr>
      <w:r>
        <w:rPr>
          <w:rFonts w:ascii="Arial" w:cs="Arial" w:eastAsia="Arial" w:hAnsi="Arial"/>
          <w:b/>
          <w:bCs/>
          <w:color w:val="C0392B"/>
          <w:sz w:val="20"/>
          <w:szCs w:val="20"/>
        </w:rPr>
        <w:t xml:space="preserve">⚠  Security Note: </w:t>
      </w:r>
      <w:r>
        <w:rPr>
          <w:rFonts w:ascii="Arial" w:cs="Arial" w:eastAsia="Arial" w:hAnsi="Arial"/>
          <w:color w:val="1A1A2E"/>
          <w:sz w:val="20"/>
          <w:szCs w:val="20"/>
        </w:rPr>
        <w:t xml:space="preserve">Three shared/generic accounts remain active on the Admin Dashboard and have not been rotated in over 400 days. These accounts lack MFA enforcement and represent a significant authentication control gap. Remediation is tracked under Finding SEC-012.</w:t>
      </w:r>
    </w:p>
    <w:p>
      <w:pPr>
        <w:spacing w:after="0" w:before="120"/>
      </w:pPr>
      <w:r>
        <w:t xml:space="preserve"/>
      </w:r>
    </w:p>
    <w:p>
      <w:pPr>
        <w:pStyle w:val="Heading2"/>
        <w:spacing w:after="120" w:before="320"/>
      </w:pPr>
      <w:r>
        <w:rPr>
          <w:rFonts w:ascii="Arial" w:cs="Arial" w:eastAsia="Arial" w:hAnsi="Arial"/>
          <w:b/>
          <w:bCs/>
          <w:color w:val="2E5FA3"/>
          <w:sz w:val="24"/>
          <w:szCs w:val="24"/>
        </w:rPr>
        <w:t xml:space="preserve">1.4  Authentication Methods &amp; MFA Coverage</w:t>
      </w:r>
    </w:p>
    <w:p>
      <w:pPr>
        <w:spacing w:after="80" w:before="60"/>
      </w:pPr>
      <w:r>
        <w:rPr>
          <w:rFonts w:ascii="Arial" w:cs="Arial" w:eastAsia="Arial" w:hAnsi="Arial"/>
          <w:color w:val="1A1A2E"/>
          <w:sz w:val="20"/>
          <w:szCs w:val="20"/>
        </w:rPr>
        <w:t xml:space="preserve">NovaPay employs a layered authentication architecture anchored by Okta as the primary Identity Provider. The following matrix documents each authentication method in use, its applicable systems, the technology stack, the user scope, and the current security posture.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300"/>
        <w:gridCol w:w="2960"/>
      </w:tblGrid>
      <w:tr>
        <w:tc>
          <w:tcPr>
            <w:tcW w:type="dxa" w:w="17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Auth Method</w:t>
            </w:r>
          </w:p>
        </w:tc>
        <w:tc>
          <w:tcPr>
            <w:tcW w:type="dxa" w:w="17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Systems</w:t>
            </w:r>
          </w:p>
        </w:tc>
        <w:tc>
          <w:tcPr>
            <w:tcW w:type="dxa" w:w="17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Technology</w:t>
            </w:r>
          </w:p>
        </w:tc>
        <w:tc>
          <w:tcPr>
            <w:tcW w:type="dxa" w:w="13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User Scope</w:t>
            </w:r>
          </w:p>
        </w:tc>
        <w:tc>
          <w:tcPr>
            <w:tcW w:type="dxa" w:w="29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Security Posture / Notes</w:t>
            </w:r>
          </w:p>
        </w:tc>
      </w:tr>
      <w:tr>
        <w:tc>
          <w:tcPr>
            <w:tcW w:type="dxa" w:w="17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SAML 2.0 SSO</w:t>
            </w:r>
          </w:p>
        </w:tc>
        <w:tc>
          <w:tcPr>
            <w:tcW w:type="dxa" w:w="17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Web App, Admin Dashboard, VPN portal</w:t>
            </w:r>
          </w:p>
        </w:tc>
        <w:tc>
          <w:tcPr>
            <w:tcW w:type="dxa" w:w="17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Okta Identity Cloud (primary IdP)</w:t>
            </w:r>
          </w:p>
        </w:tc>
        <w:tc>
          <w:tcPr>
            <w:tcW w:type="dxa" w:w="13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All departments</w:t>
            </w:r>
          </w:p>
        </w:tc>
        <w:tc>
          <w:tcPr>
            <w:tcW w:type="dxa" w:w="296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 MFA enforced at IdP level</w:t>
            </w:r>
          </w:p>
        </w:tc>
      </w:tr>
      <w:tr>
        <w:tc>
          <w:tcPr>
            <w:tcW w:type="dxa" w:w="17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FIDO2 / WebAuthn Hardware Key</w:t>
            </w:r>
          </w:p>
        </w:tc>
        <w:tc>
          <w:tcPr>
            <w:tcW w:type="dxa" w:w="17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Super-admin escalation, break-glass</w:t>
            </w:r>
          </w:p>
        </w:tc>
        <w:tc>
          <w:tcPr>
            <w:tcW w:type="dxa" w:w="17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YubiKey 5 series</w:t>
            </w:r>
          </w:p>
        </w:tc>
        <w:tc>
          <w:tcPr>
            <w:tcW w:type="dxa" w:w="13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Security, Infra (5 users)</w:t>
            </w:r>
          </w:p>
        </w:tc>
        <w:tc>
          <w:tcPr>
            <w:tcW w:type="dxa" w:w="296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 Phishing-resistant; required for CritSec roles</w:t>
            </w:r>
          </w:p>
        </w:tc>
      </w:tr>
      <w:tr>
        <w:tc>
          <w:tcPr>
            <w:tcW w:type="dxa" w:w="17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TOTP (Authenticator App)</w:t>
            </w:r>
          </w:p>
        </w:tc>
        <w:tc>
          <w:tcPr>
            <w:tcW w:type="dxa" w:w="17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SSO second factor</w:t>
            </w:r>
          </w:p>
        </w:tc>
        <w:tc>
          <w:tcPr>
            <w:tcW w:type="dxa" w:w="17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Google Authenticator / Authy</w:t>
            </w:r>
          </w:p>
        </w:tc>
        <w:tc>
          <w:tcPr>
            <w:tcW w:type="dxa" w:w="13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Engineering, Finance, HR, Support</w:t>
            </w:r>
          </w:p>
        </w:tc>
        <w:tc>
          <w:tcPr>
            <w:tcW w:type="dxa" w:w="296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 Enrolled for 93% of human users</w:t>
            </w:r>
          </w:p>
        </w:tc>
      </w:tr>
      <w:tr>
        <w:tc>
          <w:tcPr>
            <w:tcW w:type="dxa" w:w="17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AWS IAM Roles (OIDC Federation)</w:t>
            </w:r>
          </w:p>
        </w:tc>
        <w:tc>
          <w:tcPr>
            <w:tcW w:type="dxa" w:w="17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AWS Console, CLI, CI/CD pipelines</w:t>
            </w:r>
          </w:p>
        </w:tc>
        <w:tc>
          <w:tcPr>
            <w:tcW w:type="dxa" w:w="17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GitHub Actions OIDC / Buildkite</w:t>
            </w:r>
          </w:p>
        </w:tc>
        <w:tc>
          <w:tcPr>
            <w:tcW w:type="dxa" w:w="13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Engineering, DevOps SAs</w:t>
            </w:r>
          </w:p>
        </w:tc>
        <w:tc>
          <w:tcPr>
            <w:tcW w:type="dxa" w:w="296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 Short-lived tokens, no static keys</w:t>
            </w:r>
          </w:p>
        </w:tc>
      </w:tr>
      <w:tr>
        <w:tc>
          <w:tcPr>
            <w:tcW w:type="dxa" w:w="17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API Keys (Static)</w:t>
            </w:r>
          </w:p>
        </w:tc>
        <w:tc>
          <w:tcPr>
            <w:tcW w:type="dxa" w:w="17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Service-to-service, legacy integrations</w:t>
            </w:r>
          </w:p>
        </w:tc>
        <w:tc>
          <w:tcPr>
            <w:tcW w:type="dxa" w:w="17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Internal secrets vault (HashiCorp Vault)</w:t>
            </w:r>
          </w:p>
        </w:tc>
        <w:tc>
          <w:tcPr>
            <w:tcW w:type="dxa" w:w="13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18 service accounts</w:t>
            </w:r>
          </w:p>
        </w:tc>
        <w:tc>
          <w:tcPr>
            <w:tcW w:type="dxa" w:w="296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val="false"/>
                <w:bCs w:val="false"/>
                <w:color w:val="B7770D"/>
                <w:sz w:val="18"/>
                <w:szCs w:val="18"/>
              </w:rPr>
              <w:t xml:space="preserve">⚠ 4 keys are unrotated &gt; 180 days</w:t>
            </w:r>
          </w:p>
        </w:tc>
      </w:tr>
      <w:tr>
        <w:tc>
          <w:tcPr>
            <w:tcW w:type="dxa" w:w="17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Static Password (no MFA)</w:t>
            </w:r>
          </w:p>
        </w:tc>
        <w:tc>
          <w:tcPr>
            <w:tcW w:type="dxa" w:w="17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Admin Dashboard (legacy)</w:t>
            </w:r>
          </w:p>
        </w:tc>
        <w:tc>
          <w:tcPr>
            <w:tcW w:type="dxa" w:w="17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Local auth, no IdP integration</w:t>
            </w:r>
          </w:p>
        </w:tc>
        <w:tc>
          <w:tcPr>
            <w:tcW w:type="dxa" w:w="13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3 shared accounts</w:t>
            </w:r>
          </w:p>
        </w:tc>
        <w:tc>
          <w:tcPr>
            <w:tcW w:type="dxa" w:w="2960"/>
            <w:tcBorders>
              <w:top w:val="single" w:color="D0D5E8" w:sz="4"/>
              <w:left w:val="single" w:color="D0D5E8" w:sz="4"/>
              <w:bottom w:val="single" w:color="D0D5E8" w:sz="4"/>
              <w:right w:val="single" w:color="D0D5E8" w:sz="4"/>
            </w:tcBorders>
            <w:shd w:fill="FDECEA" w:val="clear"/>
            <w:tcMar>
              <w:top w:type="dxa" w:w="100"/>
              <w:left w:type="dxa" w:w="140"/>
              <w:bottom w:type="dxa" w:w="100"/>
              <w:right w:type="dxa" w:w="140"/>
            </w:tcMar>
          </w:tcPr>
          <w:p>
            <w:pPr>
              <w:spacing w:after="0" w:before="0"/>
            </w:pPr>
            <w:r>
              <w:rPr>
                <w:rFonts w:ascii="Arial" w:cs="Arial" w:eastAsia="Arial" w:hAnsi="Arial"/>
                <w:b w:val="false"/>
                <w:bCs w:val="false"/>
                <w:color w:val="C0392B"/>
                <w:sz w:val="18"/>
                <w:szCs w:val="18"/>
              </w:rPr>
              <w:t xml:space="preserve">✗ Critical gap — no MFA, no session recording</w:t>
            </w:r>
          </w:p>
        </w:tc>
      </w:tr>
      <w:tr>
        <w:tc>
          <w:tcPr>
            <w:tcW w:type="dxa" w:w="17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Certificate-based mTLS</w:t>
            </w:r>
          </w:p>
        </w:tc>
        <w:tc>
          <w:tcPr>
            <w:tcW w:type="dxa" w:w="17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Database access (production)</w:t>
            </w:r>
          </w:p>
        </w:tc>
        <w:tc>
          <w:tcPr>
            <w:tcW w:type="dxa" w:w="17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Internal PKI — 90-day cert lifecycle</w:t>
            </w:r>
          </w:p>
        </w:tc>
        <w:tc>
          <w:tcPr>
            <w:tcW w:type="dxa" w:w="13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DBA service accounts</w:t>
            </w:r>
          </w:p>
        </w:tc>
        <w:tc>
          <w:tcPr>
            <w:tcW w:type="dxa" w:w="296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 Enforced at network layer via cert pinning</w:t>
            </w:r>
          </w:p>
        </w:tc>
      </w:tr>
      <w:tr>
        <w:tc>
          <w:tcPr>
            <w:tcW w:type="dxa" w:w="17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VPN Client Cert + SAML</w:t>
            </w:r>
          </w:p>
        </w:tc>
        <w:tc>
          <w:tcPr>
            <w:tcW w:type="dxa" w:w="17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Remote access to internal network</w:t>
            </w:r>
          </w:p>
        </w:tc>
        <w:tc>
          <w:tcPr>
            <w:tcW w:type="dxa" w:w="17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Palo Alto GlobalProtect + Okta</w:t>
            </w:r>
          </w:p>
        </w:tc>
        <w:tc>
          <w:tcPr>
            <w:tcW w:type="dxa" w:w="13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All remote users</w:t>
            </w:r>
          </w:p>
        </w:tc>
        <w:tc>
          <w:tcPr>
            <w:tcW w:type="dxa" w:w="296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val="false"/>
                <w:bCs w:val="false"/>
                <w:color w:val="B7770D"/>
                <w:sz w:val="18"/>
                <w:szCs w:val="18"/>
              </w:rPr>
              <w:t xml:space="preserve">⚠ Split-tunnel policy permits bypass of DLP controls</w:t>
            </w:r>
          </w:p>
        </w:tc>
      </w:tr>
    </w:tbl>
    <w:p>
      <w:pPr>
        <w:spacing w:after="0" w:before="80"/>
      </w:pPr>
      <w:r>
        <w:t xml:space="preserve"/>
      </w:r>
    </w:p>
    <w:p>
      <w:pPr>
        <w:pStyle w:val="Heading3"/>
        <w:spacing w:after="80" w:before="200"/>
      </w:pPr>
      <w:r>
        <w:rPr>
          <w:rFonts w:ascii="Arial" w:cs="Arial" w:eastAsia="Arial" w:hAnsi="Arial"/>
          <w:b/>
          <w:bCs/>
          <w:color w:val="1B3A6B"/>
          <w:sz w:val="22"/>
          <w:szCs w:val="22"/>
        </w:rPr>
        <w:t xml:space="preserve">MFA Enrollment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1560"/>
        <w:gridCol w:w="2000"/>
        <w:gridCol w:w="2040"/>
      </w:tblGrid>
      <w:tr>
        <w:tc>
          <w:tcPr>
            <w:tcW w:type="dxa" w:w="22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Department</w:t>
            </w:r>
          </w:p>
        </w:tc>
        <w:tc>
          <w:tcPr>
            <w:tcW w:type="dxa" w:w="15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Human Users</w:t>
            </w:r>
          </w:p>
        </w:tc>
        <w:tc>
          <w:tcPr>
            <w:tcW w:type="dxa" w:w="15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MFA Enrolled</w:t>
            </w:r>
          </w:p>
        </w:tc>
        <w:tc>
          <w:tcPr>
            <w:tcW w:type="dxa" w:w="20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Coverage %</w:t>
            </w:r>
          </w:p>
        </w:tc>
        <w:tc>
          <w:tcPr>
            <w:tcW w:type="dxa" w:w="204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Gap / Notes</w:t>
            </w:r>
          </w:p>
        </w:tc>
      </w:tr>
      <w:tr>
        <w:tc>
          <w:tcPr>
            <w:tcW w:type="dxa" w:w="22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Engineering</w:t>
            </w:r>
          </w:p>
        </w:tc>
        <w:tc>
          <w:tcPr>
            <w:tcW w:type="dxa" w:w="1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65</w:t>
            </w:r>
          </w:p>
        </w:tc>
        <w:tc>
          <w:tcPr>
            <w:tcW w:type="dxa" w:w="1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62</w:t>
            </w:r>
          </w:p>
        </w:tc>
        <w:tc>
          <w:tcPr>
            <w:tcW w:type="dxa" w:w="20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bCs/>
                <w:color w:val="B7770D"/>
                <w:sz w:val="18"/>
                <w:szCs w:val="18"/>
              </w:rPr>
              <w:t xml:space="preserve">95.4%</w:t>
            </w:r>
          </w:p>
        </w:tc>
        <w:tc>
          <w:tcPr>
            <w:tcW w:type="dxa" w:w="204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3 contractors pending enrollment</w:t>
            </w:r>
          </w:p>
        </w:tc>
      </w:tr>
      <w:tr>
        <w:tc>
          <w:tcPr>
            <w:tcW w:type="dxa" w:w="22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Finance</w:t>
            </w:r>
          </w:p>
        </w:tc>
        <w:tc>
          <w:tcPr>
            <w:tcW w:type="dxa" w:w="1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30</w:t>
            </w:r>
          </w:p>
        </w:tc>
        <w:tc>
          <w:tcPr>
            <w:tcW w:type="dxa" w:w="1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30</w:t>
            </w:r>
          </w:p>
        </w:tc>
        <w:tc>
          <w:tcPr>
            <w:tcW w:type="dxa" w:w="20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bCs/>
                <w:color w:val="1A7A4A"/>
                <w:sz w:val="18"/>
                <w:szCs w:val="18"/>
              </w:rPr>
              <w:t xml:space="preserve">100%</w:t>
            </w:r>
          </w:p>
        </w:tc>
        <w:tc>
          <w:tcPr>
            <w:tcW w:type="dxa" w:w="204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Full coverage — enforced by policy</w:t>
            </w:r>
          </w:p>
        </w:tc>
      </w:tr>
      <w:tr>
        <w:tc>
          <w:tcPr>
            <w:tcW w:type="dxa" w:w="22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HR</w:t>
            </w:r>
          </w:p>
        </w:tc>
        <w:tc>
          <w:tcPr>
            <w:tcW w:type="dxa" w:w="1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20</w:t>
            </w:r>
          </w:p>
        </w:tc>
        <w:tc>
          <w:tcPr>
            <w:tcW w:type="dxa" w:w="1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18</w:t>
            </w:r>
          </w:p>
        </w:tc>
        <w:tc>
          <w:tcPr>
            <w:tcW w:type="dxa" w:w="20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bCs/>
                <w:color w:val="B7770D"/>
                <w:sz w:val="18"/>
                <w:szCs w:val="18"/>
              </w:rPr>
              <w:t xml:space="preserve">90.0%</w:t>
            </w:r>
          </w:p>
        </w:tc>
        <w:tc>
          <w:tcPr>
            <w:tcW w:type="dxa" w:w="204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2 part-time staff on exemption</w:t>
            </w:r>
          </w:p>
        </w:tc>
      </w:tr>
      <w:tr>
        <w:tc>
          <w:tcPr>
            <w:tcW w:type="dxa" w:w="22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Support</w:t>
            </w:r>
          </w:p>
        </w:tc>
        <w:tc>
          <w:tcPr>
            <w:tcW w:type="dxa" w:w="1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45</w:t>
            </w:r>
          </w:p>
        </w:tc>
        <w:tc>
          <w:tcPr>
            <w:tcW w:type="dxa" w:w="1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40</w:t>
            </w:r>
          </w:p>
        </w:tc>
        <w:tc>
          <w:tcPr>
            <w:tcW w:type="dxa" w:w="20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bCs/>
                <w:color w:val="B7770D"/>
                <w:sz w:val="18"/>
                <w:szCs w:val="18"/>
              </w:rPr>
              <w:t xml:space="preserve">88.9%</w:t>
            </w:r>
          </w:p>
        </w:tc>
        <w:tc>
          <w:tcPr>
            <w:tcW w:type="dxa" w:w="204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5 tier-1 agents pending; risk accepted</w:t>
            </w:r>
          </w:p>
        </w:tc>
      </w:tr>
      <w:tr>
        <w:tc>
          <w:tcPr>
            <w:tcW w:type="dxa" w:w="22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Security</w:t>
            </w:r>
          </w:p>
        </w:tc>
        <w:tc>
          <w:tcPr>
            <w:tcW w:type="dxa" w:w="1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15</w:t>
            </w:r>
          </w:p>
        </w:tc>
        <w:tc>
          <w:tcPr>
            <w:tcW w:type="dxa" w:w="1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15</w:t>
            </w:r>
          </w:p>
        </w:tc>
        <w:tc>
          <w:tcPr>
            <w:tcW w:type="dxa" w:w="20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bCs/>
                <w:color w:val="1A7A4A"/>
                <w:sz w:val="18"/>
                <w:szCs w:val="18"/>
              </w:rPr>
              <w:t xml:space="preserve">100%</w:t>
            </w:r>
          </w:p>
        </w:tc>
        <w:tc>
          <w:tcPr>
            <w:tcW w:type="dxa" w:w="204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FIDO2 hardware keys for all staff</w:t>
            </w:r>
          </w:p>
        </w:tc>
      </w:tr>
    </w:tbl>
    <w:p>
      <w:pPr>
        <w:spacing w:after="0" w:before="120"/>
      </w:pPr>
      <w:r>
        <w:t xml:space="preserve"/>
      </w:r>
    </w:p>
    <w:p>
      <w:pPr>
        <w:pStyle w:val="Heading2"/>
        <w:spacing w:after="120" w:before="320"/>
      </w:pPr>
      <w:r>
        <w:rPr>
          <w:rFonts w:ascii="Arial" w:cs="Arial" w:eastAsia="Arial" w:hAnsi="Arial"/>
          <w:b/>
          <w:bCs/>
          <w:color w:val="2E5FA3"/>
          <w:sz w:val="24"/>
          <w:szCs w:val="24"/>
        </w:rPr>
        <w:t xml:space="preserve">1.5  Access Control Model — Role-Based Access Control (RBAC)</w:t>
      </w:r>
    </w:p>
    <w:p>
      <w:pPr>
        <w:spacing w:after="80" w:before="60"/>
      </w:pPr>
      <w:r>
        <w:rPr>
          <w:rFonts w:ascii="Arial" w:cs="Arial" w:eastAsia="Arial" w:hAnsi="Arial"/>
          <w:color w:val="1A1A2E"/>
          <w:sz w:val="20"/>
          <w:szCs w:val="20"/>
        </w:rPr>
        <w:t xml:space="preserve">NovaPay implements a centralized RBAC framework managed through Okta Groups (for application assignment) and AWS IAM (for cloud resource control). Roles are defined at the department-function level and assigned to individual users during onboarding. Role reviews are conducted quarterly; however, as noted in the findings section, role creep has been identified in several Engineering and Finance accounts.</w:t>
      </w:r>
    </w:p>
    <w:p>
      <w:pPr>
        <w:spacing w:after="0" w:before="80"/>
      </w:pPr>
      <w:r>
        <w:t xml:space="preserve"/>
      </w:r>
    </w:p>
    <w:p>
      <w:pPr>
        <w:pStyle w:val="Heading3"/>
        <w:spacing w:after="80" w:before="200"/>
      </w:pPr>
      <w:r>
        <w:rPr>
          <w:rFonts w:ascii="Arial" w:cs="Arial" w:eastAsia="Arial" w:hAnsi="Arial"/>
          <w:b/>
          <w:bCs/>
          <w:color w:val="1B3A6B"/>
          <w:sz w:val="22"/>
          <w:szCs w:val="22"/>
        </w:rPr>
        <w:t xml:space="preserve">1.5.1  Role × System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500"/>
        <w:gridCol w:w="1300"/>
        <w:gridCol w:w="900"/>
        <w:gridCol w:w="1860"/>
      </w:tblGrid>
      <w:tr>
        <w:tc>
          <w:tcPr>
            <w:tcW w:type="dxa" w:w="18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Role</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Web App</w:t>
            </w:r>
          </w:p>
        </w:tc>
        <w:tc>
          <w:tcPr>
            <w:tcW w:type="dxa" w:w="15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AWS Cloud</w:t>
            </w:r>
          </w:p>
        </w:tc>
        <w:tc>
          <w:tcPr>
            <w:tcW w:type="dxa" w:w="13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Admin Dashboard</w:t>
            </w:r>
          </w:p>
        </w:tc>
        <w:tc>
          <w:tcPr>
            <w:tcW w:type="dxa" w:w="9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VPN</w:t>
            </w:r>
          </w:p>
        </w:tc>
        <w:tc>
          <w:tcPr>
            <w:tcW w:type="dxa" w:w="18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Database</w:t>
            </w:r>
          </w:p>
        </w:tc>
      </w:tr>
      <w:tr>
        <w:tc>
          <w:tcPr>
            <w:tcW w:type="dxa" w:w="18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Super-Admin</w:t>
            </w:r>
          </w:p>
        </w:tc>
        <w:tc>
          <w:tcPr>
            <w:tcW w:type="dxa" w:w="10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w:t>
            </w:r>
          </w:p>
        </w:tc>
        <w:tc>
          <w:tcPr>
            <w:tcW w:type="dxa" w:w="15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 (all accounts)</w:t>
            </w:r>
          </w:p>
        </w:tc>
        <w:tc>
          <w:tcPr>
            <w:tcW w:type="dxa" w:w="13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w:t>
            </w:r>
          </w:p>
        </w:tc>
        <w:tc>
          <w:tcPr>
            <w:tcW w:type="dxa" w:w="9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w:t>
            </w:r>
          </w:p>
        </w:tc>
        <w:tc>
          <w:tcPr>
            <w:tcW w:type="dxa" w:w="186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 (prod+staging)</w:t>
            </w:r>
          </w:p>
        </w:tc>
      </w:tr>
      <w:tr>
        <w:tc>
          <w:tcPr>
            <w:tcW w:type="dxa" w:w="18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Infra Admin</w:t>
            </w:r>
          </w:p>
        </w:tc>
        <w:tc>
          <w:tcPr>
            <w:tcW w:type="dxa" w:w="1000"/>
            <w:tcBorders>
              <w:top w:val="single" w:color="D0D5E8" w:sz="4"/>
              <w:left w:val="single" w:color="D0D5E8" w:sz="4"/>
              <w:bottom w:val="single" w:color="D0D5E8" w:sz="4"/>
              <w:right w:val="single" w:color="D0D5E8" w:sz="4"/>
            </w:tcBorders>
            <w:shd w:fill="EEF4FF" w:val="clear"/>
            <w:tcMar>
              <w:top w:type="dxa" w:w="100"/>
              <w:left w:type="dxa" w:w="140"/>
              <w:bottom w:type="dxa" w:w="100"/>
              <w:right w:type="dxa" w:w="140"/>
            </w:tcMar>
          </w:tcPr>
          <w:p>
            <w:pPr>
              <w:spacing w:after="0" w:before="0"/>
            </w:pPr>
            <w:r>
              <w:rPr>
                <w:rFonts w:ascii="Arial" w:cs="Arial" w:eastAsia="Arial" w:hAnsi="Arial"/>
                <w:b w:val="false"/>
                <w:bCs w:val="false"/>
                <w:color w:val="2E5FA3"/>
                <w:sz w:val="18"/>
                <w:szCs w:val="18"/>
              </w:rPr>
              <w:t xml:space="preserve">Read</w:t>
            </w:r>
          </w:p>
        </w:tc>
        <w:tc>
          <w:tcPr>
            <w:tcW w:type="dxa" w:w="15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 (infra account)</w:t>
            </w:r>
          </w:p>
        </w:tc>
        <w:tc>
          <w:tcPr>
            <w:tcW w:type="dxa" w:w="1300"/>
            <w:tcBorders>
              <w:top w:val="single" w:color="D0D5E8" w:sz="4"/>
              <w:left w:val="single" w:color="D0D5E8" w:sz="4"/>
              <w:bottom w:val="single" w:color="D0D5E8" w:sz="4"/>
              <w:right w:val="single" w:color="D0D5E8" w:sz="4"/>
            </w:tcBorders>
            <w:shd w:fill="EEF4FF" w:val="clear"/>
            <w:tcMar>
              <w:top w:type="dxa" w:w="100"/>
              <w:left w:type="dxa" w:w="140"/>
              <w:bottom w:type="dxa" w:w="100"/>
              <w:right w:type="dxa" w:w="140"/>
            </w:tcMar>
          </w:tcPr>
          <w:p>
            <w:pPr>
              <w:spacing w:after="0" w:before="0"/>
            </w:pPr>
            <w:r>
              <w:rPr>
                <w:rFonts w:ascii="Arial" w:cs="Arial" w:eastAsia="Arial" w:hAnsi="Arial"/>
                <w:b w:val="false"/>
                <w:bCs w:val="false"/>
                <w:color w:val="2E5FA3"/>
                <w:sz w:val="18"/>
                <w:szCs w:val="18"/>
              </w:rPr>
              <w:t xml:space="preserve">Read</w:t>
            </w:r>
          </w:p>
        </w:tc>
        <w:tc>
          <w:tcPr>
            <w:tcW w:type="dxa" w:w="9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w:t>
            </w:r>
          </w:p>
        </w:tc>
        <w:tc>
          <w:tcPr>
            <w:tcW w:type="dxa" w:w="1860"/>
            <w:tcBorders>
              <w:top w:val="single" w:color="D0D5E8" w:sz="4"/>
              <w:left w:val="single" w:color="D0D5E8" w:sz="4"/>
              <w:bottom w:val="single" w:color="D0D5E8" w:sz="4"/>
              <w:right w:val="single" w:color="D0D5E8" w:sz="4"/>
            </w:tcBorders>
            <w:shd w:fill="EEF4FF" w:val="clear"/>
            <w:tcMar>
              <w:top w:type="dxa" w:w="100"/>
              <w:left w:type="dxa" w:w="140"/>
              <w:bottom w:type="dxa" w:w="100"/>
              <w:right w:type="dxa" w:w="140"/>
            </w:tcMar>
          </w:tcPr>
          <w:p>
            <w:pPr>
              <w:spacing w:after="0" w:before="0"/>
            </w:pPr>
            <w:r>
              <w:rPr>
                <w:rFonts w:ascii="Arial" w:cs="Arial" w:eastAsia="Arial" w:hAnsi="Arial"/>
                <w:b w:val="false"/>
                <w:bCs w:val="false"/>
                <w:color w:val="2E5FA3"/>
                <w:sz w:val="18"/>
                <w:szCs w:val="18"/>
              </w:rPr>
              <w:t xml:space="preserve">Read (non-prod)</w:t>
            </w:r>
          </w:p>
        </w:tc>
      </w:tr>
      <w:tr>
        <w:tc>
          <w:tcPr>
            <w:tcW w:type="dxa" w:w="18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Security Analyst</w:t>
            </w:r>
          </w:p>
        </w:tc>
        <w:tc>
          <w:tcPr>
            <w:tcW w:type="dxa" w:w="1000"/>
            <w:tcBorders>
              <w:top w:val="single" w:color="D0D5E8" w:sz="4"/>
              <w:left w:val="single" w:color="D0D5E8" w:sz="4"/>
              <w:bottom w:val="single" w:color="D0D5E8" w:sz="4"/>
              <w:right w:val="single" w:color="D0D5E8" w:sz="4"/>
            </w:tcBorders>
            <w:shd w:fill="EEF4FF" w:val="clear"/>
            <w:tcMar>
              <w:top w:type="dxa" w:w="100"/>
              <w:left w:type="dxa" w:w="140"/>
              <w:bottom w:type="dxa" w:w="100"/>
              <w:right w:type="dxa" w:w="140"/>
            </w:tcMar>
          </w:tcPr>
          <w:p>
            <w:pPr>
              <w:spacing w:after="0" w:before="0"/>
            </w:pPr>
            <w:r>
              <w:rPr>
                <w:rFonts w:ascii="Arial" w:cs="Arial" w:eastAsia="Arial" w:hAnsi="Arial"/>
                <w:b w:val="false"/>
                <w:bCs w:val="false"/>
                <w:color w:val="2E5FA3"/>
                <w:sz w:val="18"/>
                <w:szCs w:val="18"/>
              </w:rPr>
              <w:t xml:space="preserve">Read</w:t>
            </w:r>
          </w:p>
        </w:tc>
        <w:tc>
          <w:tcPr>
            <w:tcW w:type="dxa" w:w="1500"/>
            <w:tcBorders>
              <w:top w:val="single" w:color="D0D5E8" w:sz="4"/>
              <w:left w:val="single" w:color="D0D5E8" w:sz="4"/>
              <w:bottom w:val="single" w:color="D0D5E8" w:sz="4"/>
              <w:right w:val="single" w:color="D0D5E8" w:sz="4"/>
            </w:tcBorders>
            <w:shd w:fill="EEF4FF" w:val="clear"/>
            <w:tcMar>
              <w:top w:type="dxa" w:w="100"/>
              <w:left w:type="dxa" w:w="140"/>
              <w:bottom w:type="dxa" w:w="100"/>
              <w:right w:type="dxa" w:w="140"/>
            </w:tcMar>
          </w:tcPr>
          <w:p>
            <w:pPr>
              <w:spacing w:after="0" w:before="0"/>
            </w:pPr>
            <w:r>
              <w:rPr>
                <w:rFonts w:ascii="Arial" w:cs="Arial" w:eastAsia="Arial" w:hAnsi="Arial"/>
                <w:b w:val="false"/>
                <w:bCs w:val="false"/>
                <w:color w:val="2E5FA3"/>
                <w:sz w:val="18"/>
                <w:szCs w:val="18"/>
              </w:rPr>
              <w:t xml:space="preserve">Read (audit logs)</w:t>
            </w:r>
          </w:p>
        </w:tc>
        <w:tc>
          <w:tcPr>
            <w:tcW w:type="dxa" w:w="1300"/>
            <w:tcBorders>
              <w:top w:val="single" w:color="D0D5E8" w:sz="4"/>
              <w:left w:val="single" w:color="D0D5E8" w:sz="4"/>
              <w:bottom w:val="single" w:color="D0D5E8" w:sz="4"/>
              <w:right w:val="single" w:color="D0D5E8" w:sz="4"/>
            </w:tcBorders>
            <w:shd w:fill="EEF4FF" w:val="clear"/>
            <w:tcMar>
              <w:top w:type="dxa" w:w="100"/>
              <w:left w:type="dxa" w:w="140"/>
              <w:bottom w:type="dxa" w:w="100"/>
              <w:right w:type="dxa" w:w="140"/>
            </w:tcMar>
          </w:tcPr>
          <w:p>
            <w:pPr>
              <w:spacing w:after="0" w:before="0"/>
            </w:pPr>
            <w:r>
              <w:rPr>
                <w:rFonts w:ascii="Arial" w:cs="Arial" w:eastAsia="Arial" w:hAnsi="Arial"/>
                <w:b w:val="false"/>
                <w:bCs w:val="false"/>
                <w:color w:val="2E5FA3"/>
                <w:sz w:val="18"/>
                <w:szCs w:val="18"/>
              </w:rPr>
              <w:t xml:space="preserve">Read</w:t>
            </w:r>
          </w:p>
        </w:tc>
        <w:tc>
          <w:tcPr>
            <w:tcW w:type="dxa" w:w="9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w:t>
            </w:r>
          </w:p>
        </w:tc>
        <w:tc>
          <w:tcPr>
            <w:tcW w:type="dxa" w:w="1860"/>
            <w:tcBorders>
              <w:top w:val="single" w:color="D0D5E8" w:sz="4"/>
              <w:left w:val="single" w:color="D0D5E8" w:sz="4"/>
              <w:bottom w:val="single" w:color="D0D5E8" w:sz="4"/>
              <w:right w:val="single" w:color="D0D5E8" w:sz="4"/>
            </w:tcBorders>
            <w:shd w:fill="EEF4FF" w:val="clear"/>
            <w:tcMar>
              <w:top w:type="dxa" w:w="100"/>
              <w:left w:type="dxa" w:w="140"/>
              <w:bottom w:type="dxa" w:w="100"/>
              <w:right w:type="dxa" w:w="140"/>
            </w:tcMar>
          </w:tcPr>
          <w:p>
            <w:pPr>
              <w:spacing w:after="0" w:before="0"/>
            </w:pPr>
            <w:r>
              <w:rPr>
                <w:rFonts w:ascii="Arial" w:cs="Arial" w:eastAsia="Arial" w:hAnsi="Arial"/>
                <w:b w:val="false"/>
                <w:bCs w:val="false"/>
                <w:color w:val="2E5FA3"/>
                <w:sz w:val="18"/>
                <w:szCs w:val="18"/>
              </w:rPr>
              <w:t xml:space="preserve">Read (audit only)</w:t>
            </w:r>
          </w:p>
        </w:tc>
      </w:tr>
      <w:tr>
        <w:tc>
          <w:tcPr>
            <w:tcW w:type="dxa" w:w="18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Engineering Lead</w:t>
            </w:r>
          </w:p>
        </w:tc>
        <w:tc>
          <w:tcPr>
            <w:tcW w:type="dxa" w:w="10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val="false"/>
                <w:bCs w:val="false"/>
                <w:color w:val="B7770D"/>
                <w:sz w:val="18"/>
                <w:szCs w:val="18"/>
              </w:rPr>
              <w:t xml:space="preserve">Read/Write</w:t>
            </w:r>
          </w:p>
        </w:tc>
        <w:tc>
          <w:tcPr>
            <w:tcW w:type="dxa" w:w="15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val="false"/>
                <w:bCs w:val="false"/>
                <w:color w:val="B7770D"/>
                <w:sz w:val="18"/>
                <w:szCs w:val="18"/>
              </w:rPr>
              <w:t xml:space="preserve">Write (dev/staging)</w:t>
            </w:r>
          </w:p>
        </w:tc>
        <w:tc>
          <w:tcPr>
            <w:tcW w:type="dxa" w:w="1300"/>
            <w:tcBorders>
              <w:top w:val="single" w:color="D0D5E8" w:sz="4"/>
              <w:left w:val="single" w:color="D0D5E8" w:sz="4"/>
              <w:bottom w:val="single" w:color="D0D5E8" w:sz="4"/>
              <w:right w:val="single" w:color="D0D5E8" w:sz="4"/>
            </w:tcBorders>
            <w:shd w:fill="EEF4FF" w:val="clear"/>
            <w:tcMar>
              <w:top w:type="dxa" w:w="100"/>
              <w:left w:type="dxa" w:w="140"/>
              <w:bottom w:type="dxa" w:w="100"/>
              <w:right w:type="dxa" w:w="140"/>
            </w:tcMar>
          </w:tcPr>
          <w:p>
            <w:pPr>
              <w:spacing w:after="0" w:before="0"/>
            </w:pPr>
            <w:r>
              <w:rPr>
                <w:rFonts w:ascii="Arial" w:cs="Arial" w:eastAsia="Arial" w:hAnsi="Arial"/>
                <w:b w:val="false"/>
                <w:bCs w:val="false"/>
                <w:color w:val="2E5FA3"/>
                <w:sz w:val="18"/>
                <w:szCs w:val="18"/>
              </w:rPr>
              <w:t xml:space="preserve">Read</w:t>
            </w:r>
          </w:p>
        </w:tc>
        <w:tc>
          <w:tcPr>
            <w:tcW w:type="dxa" w:w="9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w:t>
            </w:r>
          </w:p>
        </w:tc>
        <w:tc>
          <w:tcPr>
            <w:tcW w:type="dxa" w:w="1860"/>
            <w:tcBorders>
              <w:top w:val="single" w:color="D0D5E8" w:sz="4"/>
              <w:left w:val="single" w:color="D0D5E8" w:sz="4"/>
              <w:bottom w:val="single" w:color="D0D5E8" w:sz="4"/>
              <w:right w:val="single" w:color="D0D5E8" w:sz="4"/>
            </w:tcBorders>
            <w:shd w:fill="EEF4FF" w:val="clear"/>
            <w:tcMar>
              <w:top w:type="dxa" w:w="100"/>
              <w:left w:type="dxa" w:w="140"/>
              <w:bottom w:type="dxa" w:w="100"/>
              <w:right w:type="dxa" w:w="140"/>
            </w:tcMar>
          </w:tcPr>
          <w:p>
            <w:pPr>
              <w:spacing w:after="0" w:before="0"/>
            </w:pPr>
            <w:r>
              <w:rPr>
                <w:rFonts w:ascii="Arial" w:cs="Arial" w:eastAsia="Arial" w:hAnsi="Arial"/>
                <w:b w:val="false"/>
                <w:bCs w:val="false"/>
                <w:color w:val="2E5FA3"/>
                <w:sz w:val="18"/>
                <w:szCs w:val="18"/>
              </w:rPr>
              <w:t xml:space="preserve">Read (dev/staging)</w:t>
            </w:r>
          </w:p>
        </w:tc>
      </w:tr>
      <w:tr>
        <w:tc>
          <w:tcPr>
            <w:tcW w:type="dxa" w:w="18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Developer (Senior)</w:t>
            </w:r>
          </w:p>
        </w:tc>
        <w:tc>
          <w:tcPr>
            <w:tcW w:type="dxa" w:w="10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val="false"/>
                <w:bCs w:val="false"/>
                <w:color w:val="B7770D"/>
                <w:sz w:val="18"/>
                <w:szCs w:val="18"/>
              </w:rPr>
              <w:t xml:space="preserve">Read/Write</w:t>
            </w:r>
          </w:p>
        </w:tc>
        <w:tc>
          <w:tcPr>
            <w:tcW w:type="dxa" w:w="15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val="false"/>
                <w:bCs w:val="false"/>
                <w:color w:val="B7770D"/>
                <w:sz w:val="18"/>
                <w:szCs w:val="18"/>
              </w:rPr>
              <w:t xml:space="preserve">Write (dev)</w:t>
            </w:r>
          </w:p>
        </w:tc>
        <w:tc>
          <w:tcPr>
            <w:tcW w:type="dxa" w:w="1300"/>
            <w:tcBorders>
              <w:top w:val="single" w:color="D0D5E8" w:sz="4"/>
              <w:left w:val="single" w:color="D0D5E8" w:sz="4"/>
              <w:bottom w:val="single" w:color="D0D5E8" w:sz="4"/>
              <w:right w:val="single" w:color="D0D5E8"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9BA3B8"/>
                <w:sz w:val="18"/>
                <w:szCs w:val="18"/>
              </w:rPr>
              <w:t xml:space="preserve">None</w:t>
            </w:r>
          </w:p>
        </w:tc>
        <w:tc>
          <w:tcPr>
            <w:tcW w:type="dxa" w:w="9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w:t>
            </w:r>
          </w:p>
        </w:tc>
        <w:tc>
          <w:tcPr>
            <w:tcW w:type="dxa" w:w="1860"/>
            <w:tcBorders>
              <w:top w:val="single" w:color="D0D5E8" w:sz="4"/>
              <w:left w:val="single" w:color="D0D5E8" w:sz="4"/>
              <w:bottom w:val="single" w:color="D0D5E8" w:sz="4"/>
              <w:right w:val="single" w:color="D0D5E8" w:sz="4"/>
            </w:tcBorders>
            <w:shd w:fill="EEF4FF" w:val="clear"/>
            <w:tcMar>
              <w:top w:type="dxa" w:w="100"/>
              <w:left w:type="dxa" w:w="140"/>
              <w:bottom w:type="dxa" w:w="100"/>
              <w:right w:type="dxa" w:w="140"/>
            </w:tcMar>
          </w:tcPr>
          <w:p>
            <w:pPr>
              <w:spacing w:after="0" w:before="0"/>
            </w:pPr>
            <w:r>
              <w:rPr>
                <w:rFonts w:ascii="Arial" w:cs="Arial" w:eastAsia="Arial" w:hAnsi="Arial"/>
                <w:b w:val="false"/>
                <w:bCs w:val="false"/>
                <w:color w:val="2E5FA3"/>
                <w:sz w:val="18"/>
                <w:szCs w:val="18"/>
              </w:rPr>
              <w:t xml:space="preserve">Read (dev)</w:t>
            </w:r>
          </w:p>
        </w:tc>
      </w:tr>
      <w:tr>
        <w:tc>
          <w:tcPr>
            <w:tcW w:type="dxa" w:w="18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Developer (Junior)</w:t>
            </w:r>
          </w:p>
        </w:tc>
        <w:tc>
          <w:tcPr>
            <w:tcW w:type="dxa" w:w="10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val="false"/>
                <w:bCs w:val="false"/>
                <w:color w:val="B7770D"/>
                <w:sz w:val="18"/>
                <w:szCs w:val="18"/>
              </w:rPr>
              <w:t xml:space="preserve">Read/Write</w:t>
            </w:r>
          </w:p>
        </w:tc>
        <w:tc>
          <w:tcPr>
            <w:tcW w:type="dxa" w:w="1500"/>
            <w:tcBorders>
              <w:top w:val="single" w:color="D0D5E8" w:sz="4"/>
              <w:left w:val="single" w:color="D0D5E8" w:sz="4"/>
              <w:bottom w:val="single" w:color="D0D5E8" w:sz="4"/>
              <w:right w:val="single" w:color="D0D5E8" w:sz="4"/>
            </w:tcBorders>
            <w:shd w:fill="EEF4FF" w:val="clear"/>
            <w:tcMar>
              <w:top w:type="dxa" w:w="100"/>
              <w:left w:type="dxa" w:w="140"/>
              <w:bottom w:type="dxa" w:w="100"/>
              <w:right w:type="dxa" w:w="140"/>
            </w:tcMar>
          </w:tcPr>
          <w:p>
            <w:pPr>
              <w:spacing w:after="0" w:before="0"/>
            </w:pPr>
            <w:r>
              <w:rPr>
                <w:rFonts w:ascii="Arial" w:cs="Arial" w:eastAsia="Arial" w:hAnsi="Arial"/>
                <w:b w:val="false"/>
                <w:bCs w:val="false"/>
                <w:color w:val="2E5FA3"/>
                <w:sz w:val="18"/>
                <w:szCs w:val="18"/>
              </w:rPr>
              <w:t xml:space="preserve">Read (dev)</w:t>
            </w:r>
          </w:p>
        </w:tc>
        <w:tc>
          <w:tcPr>
            <w:tcW w:type="dxa" w:w="1300"/>
            <w:tcBorders>
              <w:top w:val="single" w:color="D0D5E8" w:sz="4"/>
              <w:left w:val="single" w:color="D0D5E8" w:sz="4"/>
              <w:bottom w:val="single" w:color="D0D5E8" w:sz="4"/>
              <w:right w:val="single" w:color="D0D5E8"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9BA3B8"/>
                <w:sz w:val="18"/>
                <w:szCs w:val="18"/>
              </w:rPr>
              <w:t xml:space="preserve">None</w:t>
            </w:r>
          </w:p>
        </w:tc>
        <w:tc>
          <w:tcPr>
            <w:tcW w:type="dxa" w:w="9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w:t>
            </w:r>
          </w:p>
        </w:tc>
        <w:tc>
          <w:tcPr>
            <w:tcW w:type="dxa" w:w="1860"/>
            <w:tcBorders>
              <w:top w:val="single" w:color="D0D5E8" w:sz="4"/>
              <w:left w:val="single" w:color="D0D5E8" w:sz="4"/>
              <w:bottom w:val="single" w:color="D0D5E8" w:sz="4"/>
              <w:right w:val="single" w:color="D0D5E8"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9BA3B8"/>
                <w:sz w:val="18"/>
                <w:szCs w:val="18"/>
              </w:rPr>
              <w:t xml:space="preserve">None</w:t>
            </w:r>
          </w:p>
        </w:tc>
      </w:tr>
      <w:tr>
        <w:tc>
          <w:tcPr>
            <w:tcW w:type="dxa" w:w="18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Finance Analyst</w:t>
            </w:r>
          </w:p>
        </w:tc>
        <w:tc>
          <w:tcPr>
            <w:tcW w:type="dxa" w:w="1000"/>
            <w:tcBorders>
              <w:top w:val="single" w:color="D0D5E8" w:sz="4"/>
              <w:left w:val="single" w:color="D0D5E8" w:sz="4"/>
              <w:bottom w:val="single" w:color="D0D5E8" w:sz="4"/>
              <w:right w:val="single" w:color="D0D5E8" w:sz="4"/>
            </w:tcBorders>
            <w:shd w:fill="EEF4FF" w:val="clear"/>
            <w:tcMar>
              <w:top w:type="dxa" w:w="100"/>
              <w:left w:type="dxa" w:w="140"/>
              <w:bottom w:type="dxa" w:w="100"/>
              <w:right w:type="dxa" w:w="140"/>
            </w:tcMar>
          </w:tcPr>
          <w:p>
            <w:pPr>
              <w:spacing w:after="0" w:before="0"/>
            </w:pPr>
            <w:r>
              <w:rPr>
                <w:rFonts w:ascii="Arial" w:cs="Arial" w:eastAsia="Arial" w:hAnsi="Arial"/>
                <w:b w:val="false"/>
                <w:bCs w:val="false"/>
                <w:color w:val="2E5FA3"/>
                <w:sz w:val="18"/>
                <w:szCs w:val="18"/>
              </w:rPr>
              <w:t xml:space="preserve">Read (fin.)</w:t>
            </w:r>
          </w:p>
        </w:tc>
        <w:tc>
          <w:tcPr>
            <w:tcW w:type="dxa" w:w="1500"/>
            <w:tcBorders>
              <w:top w:val="single" w:color="D0D5E8" w:sz="4"/>
              <w:left w:val="single" w:color="D0D5E8" w:sz="4"/>
              <w:bottom w:val="single" w:color="D0D5E8" w:sz="4"/>
              <w:right w:val="single" w:color="D0D5E8"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9BA3B8"/>
                <w:sz w:val="18"/>
                <w:szCs w:val="18"/>
              </w:rPr>
              <w:t xml:space="preserve">None</w:t>
            </w:r>
          </w:p>
        </w:tc>
        <w:tc>
          <w:tcPr>
            <w:tcW w:type="dxa" w:w="1300"/>
            <w:tcBorders>
              <w:top w:val="single" w:color="D0D5E8" w:sz="4"/>
              <w:left w:val="single" w:color="D0D5E8" w:sz="4"/>
              <w:bottom w:val="single" w:color="D0D5E8" w:sz="4"/>
              <w:right w:val="single" w:color="D0D5E8" w:sz="4"/>
            </w:tcBorders>
            <w:shd w:fill="EEF4FF" w:val="clear"/>
            <w:tcMar>
              <w:top w:type="dxa" w:w="100"/>
              <w:left w:type="dxa" w:w="140"/>
              <w:bottom w:type="dxa" w:w="100"/>
              <w:right w:type="dxa" w:w="140"/>
            </w:tcMar>
          </w:tcPr>
          <w:p>
            <w:pPr>
              <w:spacing w:after="0" w:before="0"/>
            </w:pPr>
            <w:r>
              <w:rPr>
                <w:rFonts w:ascii="Arial" w:cs="Arial" w:eastAsia="Arial" w:hAnsi="Arial"/>
                <w:b w:val="false"/>
                <w:bCs w:val="false"/>
                <w:color w:val="2E5FA3"/>
                <w:sz w:val="18"/>
                <w:szCs w:val="18"/>
              </w:rPr>
              <w:t xml:space="preserve">Read (fin.)</w:t>
            </w:r>
          </w:p>
        </w:tc>
        <w:tc>
          <w:tcPr>
            <w:tcW w:type="dxa" w:w="9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w:t>
            </w:r>
          </w:p>
        </w:tc>
        <w:tc>
          <w:tcPr>
            <w:tcW w:type="dxa" w:w="1860"/>
            <w:tcBorders>
              <w:top w:val="single" w:color="D0D5E8" w:sz="4"/>
              <w:left w:val="single" w:color="D0D5E8" w:sz="4"/>
              <w:bottom w:val="single" w:color="D0D5E8" w:sz="4"/>
              <w:right w:val="single" w:color="D0D5E8"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9BA3B8"/>
                <w:sz w:val="18"/>
                <w:szCs w:val="18"/>
              </w:rPr>
              <w:t xml:space="preserve">None</w:t>
            </w:r>
          </w:p>
        </w:tc>
      </w:tr>
      <w:tr>
        <w:tc>
          <w:tcPr>
            <w:tcW w:type="dxa" w:w="18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Finance Manager</w:t>
            </w:r>
          </w:p>
        </w:tc>
        <w:tc>
          <w:tcPr>
            <w:tcW w:type="dxa" w:w="10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val="false"/>
                <w:bCs w:val="false"/>
                <w:color w:val="B7770D"/>
                <w:sz w:val="18"/>
                <w:szCs w:val="18"/>
              </w:rPr>
              <w:t xml:space="preserve">Read/Write</w:t>
            </w:r>
          </w:p>
        </w:tc>
        <w:tc>
          <w:tcPr>
            <w:tcW w:type="dxa" w:w="1500"/>
            <w:tcBorders>
              <w:top w:val="single" w:color="D0D5E8" w:sz="4"/>
              <w:left w:val="single" w:color="D0D5E8" w:sz="4"/>
              <w:bottom w:val="single" w:color="D0D5E8" w:sz="4"/>
              <w:right w:val="single" w:color="D0D5E8"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9BA3B8"/>
                <w:sz w:val="18"/>
                <w:szCs w:val="18"/>
              </w:rPr>
              <w:t xml:space="preserve">None</w:t>
            </w:r>
          </w:p>
        </w:tc>
        <w:tc>
          <w:tcPr>
            <w:tcW w:type="dxa" w:w="13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val="false"/>
                <w:bCs w:val="false"/>
                <w:color w:val="B7770D"/>
                <w:sz w:val="18"/>
                <w:szCs w:val="18"/>
              </w:rPr>
              <w:t xml:space="preserve">Read/Write</w:t>
            </w:r>
          </w:p>
        </w:tc>
        <w:tc>
          <w:tcPr>
            <w:tcW w:type="dxa" w:w="9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w:t>
            </w:r>
          </w:p>
        </w:tc>
        <w:tc>
          <w:tcPr>
            <w:tcW w:type="dxa" w:w="1860"/>
            <w:tcBorders>
              <w:top w:val="single" w:color="D0D5E8" w:sz="4"/>
              <w:left w:val="single" w:color="D0D5E8" w:sz="4"/>
              <w:bottom w:val="single" w:color="D0D5E8" w:sz="4"/>
              <w:right w:val="single" w:color="D0D5E8"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9BA3B8"/>
                <w:sz w:val="18"/>
                <w:szCs w:val="18"/>
              </w:rPr>
              <w:t xml:space="preserve">None</w:t>
            </w:r>
          </w:p>
        </w:tc>
      </w:tr>
      <w:tr>
        <w:tc>
          <w:tcPr>
            <w:tcW w:type="dxa" w:w="18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HR Specialist</w:t>
            </w:r>
          </w:p>
        </w:tc>
        <w:tc>
          <w:tcPr>
            <w:tcW w:type="dxa" w:w="1000"/>
            <w:tcBorders>
              <w:top w:val="single" w:color="D0D5E8" w:sz="4"/>
              <w:left w:val="single" w:color="D0D5E8" w:sz="4"/>
              <w:bottom w:val="single" w:color="D0D5E8" w:sz="4"/>
              <w:right w:val="single" w:color="D0D5E8" w:sz="4"/>
            </w:tcBorders>
            <w:shd w:fill="EEF4FF" w:val="clear"/>
            <w:tcMar>
              <w:top w:type="dxa" w:w="100"/>
              <w:left w:type="dxa" w:w="140"/>
              <w:bottom w:type="dxa" w:w="100"/>
              <w:right w:type="dxa" w:w="140"/>
            </w:tcMar>
          </w:tcPr>
          <w:p>
            <w:pPr>
              <w:spacing w:after="0" w:before="0"/>
            </w:pPr>
            <w:r>
              <w:rPr>
                <w:rFonts w:ascii="Arial" w:cs="Arial" w:eastAsia="Arial" w:hAnsi="Arial"/>
                <w:b w:val="false"/>
                <w:bCs w:val="false"/>
                <w:color w:val="2E5FA3"/>
                <w:sz w:val="18"/>
                <w:szCs w:val="18"/>
              </w:rPr>
              <w:t xml:space="preserve">Read (HR)</w:t>
            </w:r>
          </w:p>
        </w:tc>
        <w:tc>
          <w:tcPr>
            <w:tcW w:type="dxa" w:w="1500"/>
            <w:tcBorders>
              <w:top w:val="single" w:color="D0D5E8" w:sz="4"/>
              <w:left w:val="single" w:color="D0D5E8" w:sz="4"/>
              <w:bottom w:val="single" w:color="D0D5E8" w:sz="4"/>
              <w:right w:val="single" w:color="D0D5E8"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9BA3B8"/>
                <w:sz w:val="18"/>
                <w:szCs w:val="18"/>
              </w:rPr>
              <w:t xml:space="preserve">None</w:t>
            </w:r>
          </w:p>
        </w:tc>
        <w:tc>
          <w:tcPr>
            <w:tcW w:type="dxa" w:w="1300"/>
            <w:tcBorders>
              <w:top w:val="single" w:color="D0D5E8" w:sz="4"/>
              <w:left w:val="single" w:color="D0D5E8" w:sz="4"/>
              <w:bottom w:val="single" w:color="D0D5E8" w:sz="4"/>
              <w:right w:val="single" w:color="D0D5E8" w:sz="4"/>
            </w:tcBorders>
            <w:shd w:fill="EEF4FF" w:val="clear"/>
            <w:tcMar>
              <w:top w:type="dxa" w:w="100"/>
              <w:left w:type="dxa" w:w="140"/>
              <w:bottom w:type="dxa" w:w="100"/>
              <w:right w:type="dxa" w:w="140"/>
            </w:tcMar>
          </w:tcPr>
          <w:p>
            <w:pPr>
              <w:spacing w:after="0" w:before="0"/>
            </w:pPr>
            <w:r>
              <w:rPr>
                <w:rFonts w:ascii="Arial" w:cs="Arial" w:eastAsia="Arial" w:hAnsi="Arial"/>
                <w:b w:val="false"/>
                <w:bCs w:val="false"/>
                <w:color w:val="2E5FA3"/>
                <w:sz w:val="18"/>
                <w:szCs w:val="18"/>
              </w:rPr>
              <w:t xml:space="preserve">Read (HR)</w:t>
            </w:r>
          </w:p>
        </w:tc>
        <w:tc>
          <w:tcPr>
            <w:tcW w:type="dxa" w:w="9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w:t>
            </w:r>
          </w:p>
        </w:tc>
        <w:tc>
          <w:tcPr>
            <w:tcW w:type="dxa" w:w="1860"/>
            <w:tcBorders>
              <w:top w:val="single" w:color="D0D5E8" w:sz="4"/>
              <w:left w:val="single" w:color="D0D5E8" w:sz="4"/>
              <w:bottom w:val="single" w:color="D0D5E8" w:sz="4"/>
              <w:right w:val="single" w:color="D0D5E8"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9BA3B8"/>
                <w:sz w:val="18"/>
                <w:szCs w:val="18"/>
              </w:rPr>
              <w:t xml:space="preserve">None</w:t>
            </w:r>
          </w:p>
        </w:tc>
      </w:tr>
      <w:tr>
        <w:tc>
          <w:tcPr>
            <w:tcW w:type="dxa" w:w="18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Support Agent (T1)</w:t>
            </w:r>
          </w:p>
        </w:tc>
        <w:tc>
          <w:tcPr>
            <w:tcW w:type="dxa" w:w="1000"/>
            <w:tcBorders>
              <w:top w:val="single" w:color="D0D5E8" w:sz="4"/>
              <w:left w:val="single" w:color="D0D5E8" w:sz="4"/>
              <w:bottom w:val="single" w:color="D0D5E8" w:sz="4"/>
              <w:right w:val="single" w:color="D0D5E8" w:sz="4"/>
            </w:tcBorders>
            <w:shd w:fill="EEF4FF" w:val="clear"/>
            <w:tcMar>
              <w:top w:type="dxa" w:w="100"/>
              <w:left w:type="dxa" w:w="140"/>
              <w:bottom w:type="dxa" w:w="100"/>
              <w:right w:type="dxa" w:w="140"/>
            </w:tcMar>
          </w:tcPr>
          <w:p>
            <w:pPr>
              <w:spacing w:after="0" w:before="0"/>
            </w:pPr>
            <w:r>
              <w:rPr>
                <w:rFonts w:ascii="Arial" w:cs="Arial" w:eastAsia="Arial" w:hAnsi="Arial"/>
                <w:b w:val="false"/>
                <w:bCs w:val="false"/>
                <w:color w:val="2E5FA3"/>
                <w:sz w:val="18"/>
                <w:szCs w:val="18"/>
              </w:rPr>
              <w:t xml:space="preserve">Read</w:t>
            </w:r>
          </w:p>
        </w:tc>
        <w:tc>
          <w:tcPr>
            <w:tcW w:type="dxa" w:w="1500"/>
            <w:tcBorders>
              <w:top w:val="single" w:color="D0D5E8" w:sz="4"/>
              <w:left w:val="single" w:color="D0D5E8" w:sz="4"/>
              <w:bottom w:val="single" w:color="D0D5E8" w:sz="4"/>
              <w:right w:val="single" w:color="D0D5E8"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9BA3B8"/>
                <w:sz w:val="18"/>
                <w:szCs w:val="18"/>
              </w:rPr>
              <w:t xml:space="preserve">None</w:t>
            </w:r>
          </w:p>
        </w:tc>
        <w:tc>
          <w:tcPr>
            <w:tcW w:type="dxa" w:w="1300"/>
            <w:tcBorders>
              <w:top w:val="single" w:color="D0D5E8" w:sz="4"/>
              <w:left w:val="single" w:color="D0D5E8" w:sz="4"/>
              <w:bottom w:val="single" w:color="D0D5E8" w:sz="4"/>
              <w:right w:val="single" w:color="D0D5E8"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9BA3B8"/>
                <w:sz w:val="18"/>
                <w:szCs w:val="18"/>
              </w:rPr>
              <w:t xml:space="preserve">None</w:t>
            </w:r>
          </w:p>
        </w:tc>
        <w:tc>
          <w:tcPr>
            <w:tcW w:type="dxa" w:w="900"/>
            <w:tcBorders>
              <w:top w:val="single" w:color="D0D5E8" w:sz="4"/>
              <w:left w:val="single" w:color="D0D5E8" w:sz="4"/>
              <w:bottom w:val="single" w:color="D0D5E8" w:sz="4"/>
              <w:right w:val="single" w:color="D0D5E8"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9BA3B8"/>
                <w:sz w:val="18"/>
                <w:szCs w:val="18"/>
              </w:rPr>
              <w:t xml:space="preserve">None</w:t>
            </w:r>
          </w:p>
        </w:tc>
        <w:tc>
          <w:tcPr>
            <w:tcW w:type="dxa" w:w="1860"/>
            <w:tcBorders>
              <w:top w:val="single" w:color="D0D5E8" w:sz="4"/>
              <w:left w:val="single" w:color="D0D5E8" w:sz="4"/>
              <w:bottom w:val="single" w:color="D0D5E8" w:sz="4"/>
              <w:right w:val="single" w:color="D0D5E8"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9BA3B8"/>
                <w:sz w:val="18"/>
                <w:szCs w:val="18"/>
              </w:rPr>
              <w:t xml:space="preserve">None</w:t>
            </w:r>
          </w:p>
        </w:tc>
      </w:tr>
      <w:tr>
        <w:tc>
          <w:tcPr>
            <w:tcW w:type="dxa" w:w="18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Support Agent (T2)</w:t>
            </w:r>
          </w:p>
        </w:tc>
        <w:tc>
          <w:tcPr>
            <w:tcW w:type="dxa" w:w="10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val="false"/>
                <w:bCs w:val="false"/>
                <w:color w:val="B7770D"/>
                <w:sz w:val="18"/>
                <w:szCs w:val="18"/>
              </w:rPr>
              <w:t xml:space="preserve">Read/Write</w:t>
            </w:r>
          </w:p>
        </w:tc>
        <w:tc>
          <w:tcPr>
            <w:tcW w:type="dxa" w:w="1500"/>
            <w:tcBorders>
              <w:top w:val="single" w:color="D0D5E8" w:sz="4"/>
              <w:left w:val="single" w:color="D0D5E8" w:sz="4"/>
              <w:bottom w:val="single" w:color="D0D5E8" w:sz="4"/>
              <w:right w:val="single" w:color="D0D5E8"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9BA3B8"/>
                <w:sz w:val="18"/>
                <w:szCs w:val="18"/>
              </w:rPr>
              <w:t xml:space="preserve">None</w:t>
            </w:r>
          </w:p>
        </w:tc>
        <w:tc>
          <w:tcPr>
            <w:tcW w:type="dxa" w:w="1300"/>
            <w:tcBorders>
              <w:top w:val="single" w:color="D0D5E8" w:sz="4"/>
              <w:left w:val="single" w:color="D0D5E8" w:sz="4"/>
              <w:bottom w:val="single" w:color="D0D5E8" w:sz="4"/>
              <w:right w:val="single" w:color="D0D5E8" w:sz="4"/>
            </w:tcBorders>
            <w:shd w:fill="EEF4FF" w:val="clear"/>
            <w:tcMar>
              <w:top w:type="dxa" w:w="100"/>
              <w:left w:type="dxa" w:w="140"/>
              <w:bottom w:type="dxa" w:w="100"/>
              <w:right w:type="dxa" w:w="140"/>
            </w:tcMar>
          </w:tcPr>
          <w:p>
            <w:pPr>
              <w:spacing w:after="0" w:before="0"/>
            </w:pPr>
            <w:r>
              <w:rPr>
                <w:rFonts w:ascii="Arial" w:cs="Arial" w:eastAsia="Arial" w:hAnsi="Arial"/>
                <w:b w:val="false"/>
                <w:bCs w:val="false"/>
                <w:color w:val="2E5FA3"/>
                <w:sz w:val="18"/>
                <w:szCs w:val="18"/>
              </w:rPr>
              <w:t xml:space="preserve">Read</w:t>
            </w:r>
          </w:p>
        </w:tc>
        <w:tc>
          <w:tcPr>
            <w:tcW w:type="dxa" w:w="9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w:t>
            </w:r>
          </w:p>
        </w:tc>
        <w:tc>
          <w:tcPr>
            <w:tcW w:type="dxa" w:w="1860"/>
            <w:tcBorders>
              <w:top w:val="single" w:color="D0D5E8" w:sz="4"/>
              <w:left w:val="single" w:color="D0D5E8" w:sz="4"/>
              <w:bottom w:val="single" w:color="D0D5E8" w:sz="4"/>
              <w:right w:val="single" w:color="D0D5E8"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9BA3B8"/>
                <w:sz w:val="18"/>
                <w:szCs w:val="18"/>
              </w:rPr>
              <w:t xml:space="preserve">None</w:t>
            </w:r>
          </w:p>
        </w:tc>
      </w:tr>
      <w:tr>
        <w:tc>
          <w:tcPr>
            <w:tcW w:type="dxa" w:w="18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Support Manager</w:t>
            </w:r>
          </w:p>
        </w:tc>
        <w:tc>
          <w:tcPr>
            <w:tcW w:type="dxa" w:w="10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w:t>
            </w:r>
          </w:p>
        </w:tc>
        <w:tc>
          <w:tcPr>
            <w:tcW w:type="dxa" w:w="1500"/>
            <w:tcBorders>
              <w:top w:val="single" w:color="D0D5E8" w:sz="4"/>
              <w:left w:val="single" w:color="D0D5E8" w:sz="4"/>
              <w:bottom w:val="single" w:color="D0D5E8" w:sz="4"/>
              <w:right w:val="single" w:color="D0D5E8"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9BA3B8"/>
                <w:sz w:val="18"/>
                <w:szCs w:val="18"/>
              </w:rPr>
              <w:t xml:space="preserve">None</w:t>
            </w:r>
          </w:p>
        </w:tc>
        <w:tc>
          <w:tcPr>
            <w:tcW w:type="dxa" w:w="1300"/>
            <w:tcBorders>
              <w:top w:val="single" w:color="D0D5E8" w:sz="4"/>
              <w:left w:val="single" w:color="D0D5E8" w:sz="4"/>
              <w:bottom w:val="single" w:color="D0D5E8" w:sz="4"/>
              <w:right w:val="single" w:color="D0D5E8" w:sz="4"/>
            </w:tcBorders>
            <w:shd w:fill="EEF4FF" w:val="clear"/>
            <w:tcMar>
              <w:top w:type="dxa" w:w="100"/>
              <w:left w:type="dxa" w:w="140"/>
              <w:bottom w:type="dxa" w:w="100"/>
              <w:right w:type="dxa" w:w="140"/>
            </w:tcMar>
          </w:tcPr>
          <w:p>
            <w:pPr>
              <w:spacing w:after="0" w:before="0"/>
            </w:pPr>
            <w:r>
              <w:rPr>
                <w:rFonts w:ascii="Arial" w:cs="Arial" w:eastAsia="Arial" w:hAnsi="Arial"/>
                <w:b w:val="false"/>
                <w:bCs w:val="false"/>
                <w:color w:val="2E5FA3"/>
                <w:sz w:val="18"/>
                <w:szCs w:val="18"/>
              </w:rPr>
              <w:t xml:space="preserve">Read</w:t>
            </w:r>
          </w:p>
        </w:tc>
        <w:tc>
          <w:tcPr>
            <w:tcW w:type="dxa" w:w="9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w:t>
            </w:r>
          </w:p>
        </w:tc>
        <w:tc>
          <w:tcPr>
            <w:tcW w:type="dxa" w:w="1860"/>
            <w:tcBorders>
              <w:top w:val="single" w:color="D0D5E8" w:sz="4"/>
              <w:left w:val="single" w:color="D0D5E8" w:sz="4"/>
              <w:bottom w:val="single" w:color="D0D5E8" w:sz="4"/>
              <w:right w:val="single" w:color="D0D5E8"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9BA3B8"/>
                <w:sz w:val="18"/>
                <w:szCs w:val="18"/>
              </w:rPr>
              <w:t xml:space="preserve">None</w:t>
            </w:r>
          </w:p>
        </w:tc>
      </w:tr>
      <w:tr>
        <w:tc>
          <w:tcPr>
            <w:tcW w:type="dxa" w:w="18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Service Account (App)</w:t>
            </w:r>
          </w:p>
        </w:tc>
        <w:tc>
          <w:tcPr>
            <w:tcW w:type="dxa" w:w="1000"/>
            <w:tcBorders>
              <w:top w:val="single" w:color="D0D5E8" w:sz="4"/>
              <w:left w:val="single" w:color="D0D5E8" w:sz="4"/>
              <w:bottom w:val="single" w:color="D0D5E8" w:sz="4"/>
              <w:right w:val="single" w:color="D0D5E8" w:sz="4"/>
            </w:tcBorders>
            <w:shd w:fill="F0EBF8" w:val="clear"/>
            <w:tcMar>
              <w:top w:type="dxa" w:w="100"/>
              <w:left w:type="dxa" w:w="140"/>
              <w:bottom w:type="dxa" w:w="100"/>
              <w:right w:type="dxa" w:w="140"/>
            </w:tcMar>
          </w:tcPr>
          <w:p>
            <w:pPr>
              <w:spacing w:after="0" w:before="0"/>
            </w:pPr>
            <w:r>
              <w:rPr>
                <w:rFonts w:ascii="Arial" w:cs="Arial" w:eastAsia="Arial" w:hAnsi="Arial"/>
                <w:b w:val="false"/>
                <w:bCs w:val="false"/>
                <w:color w:val="5B2D8E"/>
                <w:sz w:val="18"/>
                <w:szCs w:val="18"/>
              </w:rPr>
              <w:t xml:space="preserve">API only</w:t>
            </w:r>
          </w:p>
        </w:tc>
        <w:tc>
          <w:tcPr>
            <w:tcW w:type="dxa" w:w="1500"/>
            <w:tcBorders>
              <w:top w:val="single" w:color="D0D5E8" w:sz="4"/>
              <w:left w:val="single" w:color="D0D5E8" w:sz="4"/>
              <w:bottom w:val="single" w:color="D0D5E8" w:sz="4"/>
              <w:right w:val="single" w:color="D0D5E8" w:sz="4"/>
            </w:tcBorders>
            <w:shd w:fill="F0EBF8" w:val="clear"/>
            <w:tcMar>
              <w:top w:type="dxa" w:w="100"/>
              <w:left w:type="dxa" w:w="140"/>
              <w:bottom w:type="dxa" w:w="100"/>
              <w:right w:type="dxa" w:w="140"/>
            </w:tcMar>
          </w:tcPr>
          <w:p>
            <w:pPr>
              <w:spacing w:after="0" w:before="0"/>
            </w:pPr>
            <w:r>
              <w:rPr>
                <w:rFonts w:ascii="Arial" w:cs="Arial" w:eastAsia="Arial" w:hAnsi="Arial"/>
                <w:b w:val="false"/>
                <w:bCs w:val="false"/>
                <w:color w:val="5B2D8E"/>
                <w:sz w:val="18"/>
                <w:szCs w:val="18"/>
              </w:rPr>
              <w:t xml:space="preserve">Scoped IAM role</w:t>
            </w:r>
          </w:p>
        </w:tc>
        <w:tc>
          <w:tcPr>
            <w:tcW w:type="dxa" w:w="1300"/>
            <w:tcBorders>
              <w:top w:val="single" w:color="D0D5E8" w:sz="4"/>
              <w:left w:val="single" w:color="D0D5E8" w:sz="4"/>
              <w:bottom w:val="single" w:color="D0D5E8" w:sz="4"/>
              <w:right w:val="single" w:color="D0D5E8"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9BA3B8"/>
                <w:sz w:val="18"/>
                <w:szCs w:val="18"/>
              </w:rPr>
              <w:t xml:space="preserve">None</w:t>
            </w:r>
          </w:p>
        </w:tc>
        <w:tc>
          <w:tcPr>
            <w:tcW w:type="dxa" w:w="900"/>
            <w:tcBorders>
              <w:top w:val="single" w:color="D0D5E8" w:sz="4"/>
              <w:left w:val="single" w:color="D0D5E8" w:sz="4"/>
              <w:bottom w:val="single" w:color="D0D5E8" w:sz="4"/>
              <w:right w:val="single" w:color="D0D5E8"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9BA3B8"/>
                <w:sz w:val="18"/>
                <w:szCs w:val="18"/>
              </w:rPr>
              <w:t xml:space="preserve">None</w:t>
            </w:r>
          </w:p>
        </w:tc>
        <w:tc>
          <w:tcPr>
            <w:tcW w:type="dxa" w:w="1860"/>
            <w:tcBorders>
              <w:top w:val="single" w:color="D0D5E8" w:sz="4"/>
              <w:left w:val="single" w:color="D0D5E8" w:sz="4"/>
              <w:bottom w:val="single" w:color="D0D5E8" w:sz="4"/>
              <w:right w:val="single" w:color="D0D5E8" w:sz="4"/>
            </w:tcBorders>
            <w:shd w:fill="EEF4FF" w:val="clear"/>
            <w:tcMar>
              <w:top w:type="dxa" w:w="100"/>
              <w:left w:type="dxa" w:w="140"/>
              <w:bottom w:type="dxa" w:w="100"/>
              <w:right w:type="dxa" w:w="140"/>
            </w:tcMar>
          </w:tcPr>
          <w:p>
            <w:pPr>
              <w:spacing w:after="0" w:before="0"/>
            </w:pPr>
            <w:r>
              <w:rPr>
                <w:rFonts w:ascii="Arial" w:cs="Arial" w:eastAsia="Arial" w:hAnsi="Arial"/>
                <w:b w:val="false"/>
                <w:bCs w:val="false"/>
                <w:color w:val="2E5FA3"/>
                <w:sz w:val="18"/>
                <w:szCs w:val="18"/>
              </w:rPr>
              <w:t xml:space="preserve">Read (app schema)</w:t>
            </w:r>
          </w:p>
        </w:tc>
      </w:tr>
      <w:tr>
        <w:tc>
          <w:tcPr>
            <w:tcW w:type="dxa" w:w="18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Break-Glass</w:t>
            </w:r>
          </w:p>
        </w:tc>
        <w:tc>
          <w:tcPr>
            <w:tcW w:type="dxa" w:w="10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w:t>
            </w:r>
          </w:p>
        </w:tc>
        <w:tc>
          <w:tcPr>
            <w:tcW w:type="dxa" w:w="15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w:t>
            </w:r>
          </w:p>
        </w:tc>
        <w:tc>
          <w:tcPr>
            <w:tcW w:type="dxa" w:w="13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w:t>
            </w:r>
          </w:p>
        </w:tc>
        <w:tc>
          <w:tcPr>
            <w:tcW w:type="dxa" w:w="9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w:t>
            </w:r>
          </w:p>
        </w:tc>
        <w:tc>
          <w:tcPr>
            <w:tcW w:type="dxa" w:w="186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color w:val="1A7A4A"/>
                <w:sz w:val="18"/>
                <w:szCs w:val="18"/>
              </w:rPr>
              <w:t xml:space="preserve">Full (time-bounded)</w:t>
            </w:r>
          </w:p>
        </w:tc>
      </w:tr>
    </w:tbl>
    <w:p>
      <w:pPr>
        <w:spacing w:after="0" w:before="80"/>
      </w:pPr>
      <w:r>
        <w:t xml:space="preserve"/>
      </w:r>
    </w:p>
    <w:p>
      <w:pPr>
        <w:pStyle w:val="Heading3"/>
        <w:spacing w:after="80" w:before="200"/>
      </w:pPr>
      <w:r>
        <w:rPr>
          <w:rFonts w:ascii="Arial" w:cs="Arial" w:eastAsia="Arial" w:hAnsi="Arial"/>
          <w:b/>
          <w:bCs/>
          <w:color w:val="1B3A6B"/>
          <w:sz w:val="22"/>
          <w:szCs w:val="22"/>
        </w:rPr>
        <w:t xml:space="preserve">1.5.2  RBAC Design Principles</w:t>
      </w:r>
    </w:p>
    <w:p>
      <w:pPr>
        <w:pStyle w:val="ListParagraph"/>
        <w:numPr>
          <w:ilvl w:val="0"/>
          <w:numId w:val="2"/>
        </w:numPr>
        <w:spacing w:after="40" w:before="40"/>
      </w:pPr>
      <w:r>
        <w:rPr>
          <w:rFonts w:ascii="Arial" w:cs="Arial" w:eastAsia="Arial" w:hAnsi="Arial"/>
          <w:color w:val="1A1A2E"/>
          <w:sz w:val="20"/>
          <w:szCs w:val="20"/>
        </w:rPr>
        <w:t xml:space="preserve">Least Privilege: Each role grants the minimum permissions required to perform the stated job function.</w:t>
      </w:r>
    </w:p>
    <w:p>
      <w:pPr>
        <w:pStyle w:val="ListParagraph"/>
        <w:numPr>
          <w:ilvl w:val="0"/>
          <w:numId w:val="2"/>
        </w:numPr>
        <w:spacing w:after="40" w:before="40"/>
      </w:pPr>
      <w:r>
        <w:rPr>
          <w:rFonts w:ascii="Arial" w:cs="Arial" w:eastAsia="Arial" w:hAnsi="Arial"/>
          <w:color w:val="1A1A2E"/>
          <w:sz w:val="20"/>
          <w:szCs w:val="20"/>
        </w:rPr>
        <w:t xml:space="preserve">Separation of Duties (SoD): No single role permits both initiating and approving financial transactions. Finance Analyst and Finance Manager roles enforce a maker-checker workflow.</w:t>
      </w:r>
    </w:p>
    <w:p>
      <w:pPr>
        <w:pStyle w:val="ListParagraph"/>
        <w:numPr>
          <w:ilvl w:val="0"/>
          <w:numId w:val="2"/>
        </w:numPr>
        <w:spacing w:after="40" w:before="40"/>
      </w:pPr>
      <w:r>
        <w:rPr>
          <w:rFonts w:ascii="Arial" w:cs="Arial" w:eastAsia="Arial" w:hAnsi="Arial"/>
          <w:color w:val="1A1A2E"/>
          <w:sz w:val="20"/>
          <w:szCs w:val="20"/>
        </w:rPr>
        <w:t xml:space="preserve">Role Hierarchy: Permissions are non-cumulative by default; elevated roles require explicit assignment and manager approval via Okta Workflows.</w:t>
      </w:r>
    </w:p>
    <w:p>
      <w:pPr>
        <w:pStyle w:val="ListParagraph"/>
        <w:numPr>
          <w:ilvl w:val="0"/>
          <w:numId w:val="2"/>
        </w:numPr>
        <w:spacing w:after="40" w:before="40"/>
      </w:pPr>
      <w:r>
        <w:rPr>
          <w:rFonts w:ascii="Arial" w:cs="Arial" w:eastAsia="Arial" w:hAnsi="Arial"/>
          <w:color w:val="1A1A2E"/>
          <w:sz w:val="20"/>
          <w:szCs w:val="20"/>
        </w:rPr>
        <w:t xml:space="preserve">Time-Bound Elevation: Super-admin and break-glass access is time-limited (4-hour windows) and requires a Jira change ticket for audit trail.</w:t>
      </w:r>
    </w:p>
    <w:p>
      <w:pPr>
        <w:pStyle w:val="ListParagraph"/>
        <w:numPr>
          <w:ilvl w:val="0"/>
          <w:numId w:val="2"/>
        </w:numPr>
        <w:spacing w:after="40" w:before="40"/>
      </w:pPr>
      <w:r>
        <w:rPr>
          <w:rFonts w:ascii="Arial" w:cs="Arial" w:eastAsia="Arial" w:hAnsi="Arial"/>
          <w:color w:val="1A1A2E"/>
          <w:sz w:val="20"/>
          <w:szCs w:val="20"/>
        </w:rPr>
        <w:t xml:space="preserve">Role Review Cadence: Quarterly access reviews via SailPoint IdentityNow; Manager attestation required for continued role assignment.</w:t>
      </w:r>
    </w:p>
    <w:p>
      <w:pPr>
        <w:spacing w:after="0" w:before="80"/>
      </w:pPr>
      <w:r>
        <w:t xml:space="preserve"/>
      </w:r>
    </w:p>
    <w:p>
      <w:pPr>
        <w:spacing w:after="80" w:before="60"/>
      </w:pPr>
      <w:r>
        <w:rPr>
          <w:rFonts w:ascii="Arial" w:cs="Arial" w:eastAsia="Arial" w:hAnsi="Arial"/>
          <w:b/>
          <w:bCs/>
          <w:color w:val="B7770D"/>
          <w:sz w:val="20"/>
          <w:szCs w:val="20"/>
        </w:rPr>
        <w:t xml:space="preserve">Known RBAC Deficiency: </w:t>
      </w:r>
      <w:r>
        <w:rPr>
          <w:rFonts w:ascii="Arial" w:cs="Arial" w:eastAsia="Arial" w:hAnsi="Arial"/>
          <w:color w:val="1A1A2E"/>
          <w:sz w:val="20"/>
          <w:szCs w:val="20"/>
        </w:rPr>
        <w:t xml:space="preserve">11 Developer (Senior) accounts retain 'Engineering Lead' role permissions from a prior promotion cycle that was not revoked post-downgrade. This constitutes privilege accumulation (role creep) and is tracked under Finding SEC-007.</w:t>
      </w:r>
    </w:p>
    <w:p>
      <w:pPr>
        <w:spacing w:after="0" w:before="120"/>
      </w:pPr>
      <w:r>
        <w:t xml:space="preserve"/>
      </w:r>
    </w:p>
    <w:p>
      <w:pPr>
        <w:pStyle w:val="Heading2"/>
        <w:spacing w:after="120" w:before="320"/>
      </w:pPr>
      <w:r>
        <w:rPr>
          <w:rFonts w:ascii="Arial" w:cs="Arial" w:eastAsia="Arial" w:hAnsi="Arial"/>
          <w:b/>
          <w:bCs/>
          <w:color w:val="2E5FA3"/>
          <w:sz w:val="24"/>
          <w:szCs w:val="24"/>
        </w:rPr>
        <w:t xml:space="preserve">1.6  In-Scope Systems</w:t>
      </w:r>
    </w:p>
    <w:p>
      <w:pPr>
        <w:spacing w:after="80" w:before="60"/>
      </w:pPr>
      <w:r>
        <w:rPr>
          <w:rFonts w:ascii="Arial" w:cs="Arial" w:eastAsia="Arial" w:hAnsi="Arial"/>
          <w:color w:val="1A1A2E"/>
          <w:sz w:val="20"/>
          <w:szCs w:val="20"/>
        </w:rPr>
        <w:t xml:space="preserve">The following five systems constitute the assessment boundary. Each system has a designated technical owner, a data classification, a primary authentication mechanism, and an authorization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B3A6B" w:sz="6"/>
              <w:left w:val="single" w:color="1B3A6B" w:sz="6"/>
              <w:bottom w:val="single" w:color="1B3A6B" w:sz="6"/>
              <w:right w:val="single" w:color="1B3A6B" w:sz="6"/>
            </w:tcBorders>
            <w:shd w:fill="1B3A6B" w:val="clear"/>
            <w:tcMar>
              <w:top w:type="dxa" w:w="100"/>
              <w:left w:type="dxa" w:w="180"/>
              <w:bottom w:type="dxa" w:w="100"/>
              <w:right w:type="dxa" w:w="140"/>
            </w:tcMar>
          </w:tcPr>
          <w:p>
            <w:r>
              <w:rPr>
                <w:rFonts w:ascii="Arial" w:cs="Arial" w:eastAsia="Arial" w:hAnsi="Arial"/>
                <w:b/>
                <w:bCs/>
                <w:color w:val="FFFFFF"/>
                <w:sz w:val="20"/>
                <w:szCs w:val="20"/>
              </w:rPr>
              <w:t xml:space="preserve">System 1: Web Application (novapay.io / merchant portal)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Technical Owner</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Engineering</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Data Classification</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Confidential</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Hosting</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AWS EKS (us-east-1 / us-west-2)</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Authentication</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Okta SAML 2.0 + MFA enforced</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Authorization</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Okta Groups → app-level RBAC</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User Scope</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All 200 users (role-scoped)</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Notes</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WAF + API gateway enforced. Rate limiting on payment endpoints.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B3A6B" w:sz="6"/>
              <w:left w:val="single" w:color="1B3A6B" w:sz="6"/>
              <w:bottom w:val="single" w:color="1B3A6B" w:sz="6"/>
              <w:right w:val="single" w:color="1B3A6B" w:sz="6"/>
            </w:tcBorders>
            <w:shd w:fill="1B3A6B" w:val="clear"/>
            <w:tcMar>
              <w:top w:type="dxa" w:w="100"/>
              <w:left w:type="dxa" w:w="180"/>
              <w:bottom w:type="dxa" w:w="100"/>
              <w:right w:type="dxa" w:w="140"/>
            </w:tcMar>
          </w:tcPr>
          <w:p>
            <w:r>
              <w:rPr>
                <w:rFonts w:ascii="Arial" w:cs="Arial" w:eastAsia="Arial" w:hAnsi="Arial"/>
                <w:b/>
                <w:bCs/>
                <w:color w:val="FFFFFF"/>
                <w:sz w:val="20"/>
                <w:szCs w:val="20"/>
              </w:rPr>
              <w:t xml:space="preserve">System 2: AWS Cloud (Multi-account org)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Technical Owner</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Engineering / Security</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Data Classification</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Restricted</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Hosting</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AWS Organizations — 6 accounts</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Authentication</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SSO via AWS IAM Identity Center + OIDC federation for pipelines</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Authorization</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AWS IAM policies + SCPs + Permission Boundaries</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User Scope</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Engineering, Security, Infra SAs</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Notes</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SCPs block root account usage. CloudTrail enabled in all regions.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B3A6B" w:sz="6"/>
              <w:left w:val="single" w:color="1B3A6B" w:sz="6"/>
              <w:bottom w:val="single" w:color="1B3A6B" w:sz="6"/>
              <w:right w:val="single" w:color="1B3A6B" w:sz="6"/>
            </w:tcBorders>
            <w:shd w:fill="1B3A6B" w:val="clear"/>
            <w:tcMar>
              <w:top w:type="dxa" w:w="100"/>
              <w:left w:type="dxa" w:w="180"/>
              <w:bottom w:type="dxa" w:w="100"/>
              <w:right w:type="dxa" w:w="140"/>
            </w:tcMar>
          </w:tcPr>
          <w:p>
            <w:r>
              <w:rPr>
                <w:rFonts w:ascii="Arial" w:cs="Arial" w:eastAsia="Arial" w:hAnsi="Arial"/>
                <w:b/>
                <w:bCs/>
                <w:color w:val="FFFFFF"/>
                <w:sz w:val="20"/>
                <w:szCs w:val="20"/>
              </w:rPr>
              <w:t xml:space="preserve">System 3: Admin Dashboard (internal ops portal)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Technical Owner</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Support / Finance</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Data Classification</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Restricted</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Hosting</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AWS EC2 (private subnet, no public IP)</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Authentication</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Legacy local auth for 3 shared accounts; Okta SSO for named accounts</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Authorization</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Flat role model — 3 tiers (viewer/editor/admin)</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User Scope</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Support Managers, Finance Mgrs, Security, Super-Admins</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Notes</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C0392B"/>
                <w:sz w:val="18"/>
                <w:szCs w:val="18"/>
              </w:rPr>
              <w:t xml:space="preserve">⚠ Legacy shared accounts bypass Okta. No session recording.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B3A6B" w:sz="6"/>
              <w:left w:val="single" w:color="1B3A6B" w:sz="6"/>
              <w:bottom w:val="single" w:color="1B3A6B" w:sz="6"/>
              <w:right w:val="single" w:color="1B3A6B" w:sz="6"/>
            </w:tcBorders>
            <w:shd w:fill="1B3A6B" w:val="clear"/>
            <w:tcMar>
              <w:top w:type="dxa" w:w="100"/>
              <w:left w:type="dxa" w:w="180"/>
              <w:bottom w:type="dxa" w:w="100"/>
              <w:right w:type="dxa" w:w="140"/>
            </w:tcMar>
          </w:tcPr>
          <w:p>
            <w:r>
              <w:rPr>
                <w:rFonts w:ascii="Arial" w:cs="Arial" w:eastAsia="Arial" w:hAnsi="Arial"/>
                <w:b/>
                <w:bCs/>
                <w:color w:val="FFFFFF"/>
                <w:sz w:val="20"/>
                <w:szCs w:val="20"/>
              </w:rPr>
              <w:t xml:space="preserve">System 4: VPN (GlobalProtect)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Technical Owner</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Security / IT</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Data Classification</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Internal</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Hosting</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Palo Alto VM-Series (AWS + on-prem gateway)</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Authentication</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Client certificate + Okta SAML MFA</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Authorization</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Firewall policies — zone-based per department</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User Scope</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All remote users (Support T1 excluded — office-only)</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Notes</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C0392B"/>
                <w:sz w:val="18"/>
                <w:szCs w:val="18"/>
              </w:rPr>
              <w:t xml:space="preserve">⚠ Split-tunnel enabled; internet traffic not routed through DLP inspection.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B3A6B" w:sz="6"/>
              <w:left w:val="single" w:color="1B3A6B" w:sz="6"/>
              <w:bottom w:val="single" w:color="1B3A6B" w:sz="6"/>
              <w:right w:val="single" w:color="1B3A6B" w:sz="6"/>
            </w:tcBorders>
            <w:shd w:fill="1B3A6B" w:val="clear"/>
            <w:tcMar>
              <w:top w:type="dxa" w:w="100"/>
              <w:left w:type="dxa" w:w="180"/>
              <w:bottom w:type="dxa" w:w="100"/>
              <w:right w:type="dxa" w:w="140"/>
            </w:tcMar>
          </w:tcPr>
          <w:p>
            <w:r>
              <w:rPr>
                <w:rFonts w:ascii="Arial" w:cs="Arial" w:eastAsia="Arial" w:hAnsi="Arial"/>
                <w:b/>
                <w:bCs/>
                <w:color w:val="FFFFFF"/>
                <w:sz w:val="20"/>
                <w:szCs w:val="20"/>
              </w:rPr>
              <w:t xml:space="preserve">System 5: Production Database (PostgreSQL + Aurora)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Technical Owner</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Engineering / DBA</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Data Classification</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Restricted</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Hosting</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AWS RDS Aurora (multi-AZ, encrypted at rest)</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Authentication</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mTLS (cert-based) + IAM database authentication for service accounts</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Authorization</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Schema-level grants; no direct human access to production</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User Scope</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App service accounts, DBA SA (break-glass only)</w:t>
            </w:r>
          </w:p>
        </w:tc>
      </w:tr>
      <w:tr>
        <w:tc>
          <w:tcPr>
            <w:tcW w:type="dxa" w:w="18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Notes</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C0392B"/>
                <w:sz w:val="18"/>
                <w:szCs w:val="18"/>
              </w:rPr>
              <w:t xml:space="preserve">⚠ Staging DB accessible to all Senior Devs with static credentials not rotated in 6 months.</w:t>
            </w:r>
          </w:p>
        </w:tc>
      </w:tr>
    </w:tbl>
    <w:p>
      <w:pPr>
        <w:spacing w:after="0" w:before="80"/>
      </w:pPr>
      <w:r>
        <w:t xml:space="preserve"/>
      </w:r>
    </w:p>
    <w:p>
      <w:pPr>
        <w:spacing w:after="0" w:before="120"/>
      </w:pPr>
      <w:r>
        <w:t xml:space="preserve"/>
      </w:r>
    </w:p>
    <w:p>
      <w:pPr>
        <w:pStyle w:val="Heading2"/>
        <w:spacing w:after="120" w:before="320"/>
      </w:pPr>
      <w:r>
        <w:rPr>
          <w:rFonts w:ascii="Arial" w:cs="Arial" w:eastAsia="Arial" w:hAnsi="Arial"/>
          <w:b/>
          <w:bCs/>
          <w:color w:val="2E5FA3"/>
          <w:sz w:val="24"/>
          <w:szCs w:val="24"/>
        </w:rPr>
        <w:t xml:space="preserve">1.7  Identified Security Gaps &amp; IAM Findings</w:t>
      </w:r>
    </w:p>
    <w:p>
      <w:pPr>
        <w:spacing w:after="80" w:before="60"/>
      </w:pPr>
      <w:r>
        <w:rPr>
          <w:rFonts w:ascii="Arial" w:cs="Arial" w:eastAsia="Arial" w:hAnsi="Arial"/>
          <w:color w:val="1A1A2E"/>
          <w:sz w:val="20"/>
          <w:szCs w:val="20"/>
        </w:rPr>
        <w:t xml:space="preserve">The following findings were identified during the IAM environment assessment. Each finding is assigned a severity rating, linked to the affected system, and accompanied by a recommended remediation path. Findings are ranked by risk priority.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160"/>
        <w:gridCol w:w="1500"/>
        <w:gridCol w:w="1600"/>
      </w:tblGrid>
      <w:tr>
        <w:tc>
          <w:tcPr>
            <w:tcW w:type="dxa" w:w="9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ID</w:t>
            </w:r>
          </w:p>
        </w:tc>
        <w:tc>
          <w:tcPr>
            <w:tcW w:type="dxa" w:w="12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Severity</w:t>
            </w:r>
          </w:p>
        </w:tc>
        <w:tc>
          <w:tcPr>
            <w:tcW w:type="dxa" w:w="41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Title</w:t>
            </w:r>
          </w:p>
        </w:tc>
        <w:tc>
          <w:tcPr>
            <w:tcW w:type="dxa" w:w="15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System</w:t>
            </w:r>
          </w:p>
        </w:tc>
        <w:tc>
          <w:tcPr>
            <w:tcW w:type="dxa" w:w="16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Status</w:t>
            </w:r>
          </w:p>
        </w:tc>
      </w:tr>
      <w:tr>
        <w:tc>
          <w:tcPr>
            <w:tcW w:type="dxa" w:w="9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SEC-001</w:t>
            </w:r>
          </w:p>
        </w:tc>
        <w:tc>
          <w:tcPr>
            <w:tcW w:type="dxa" w:w="1200"/>
            <w:tcBorders>
              <w:top w:val="single" w:color="D0D5E8" w:sz="4"/>
              <w:left w:val="single" w:color="D0D5E8" w:sz="4"/>
              <w:bottom w:val="single" w:color="D0D5E8" w:sz="4"/>
              <w:right w:val="single" w:color="D0D5E8" w:sz="4"/>
            </w:tcBorders>
            <w:shd w:fill="FDECEA" w:val="clear"/>
            <w:tcMar>
              <w:top w:type="dxa" w:w="100"/>
              <w:left w:type="dxa" w:w="140"/>
              <w:bottom w:type="dxa" w:w="100"/>
              <w:right w:type="dxa" w:w="140"/>
            </w:tcMar>
          </w:tcPr>
          <w:p>
            <w:pPr>
              <w:spacing w:after="0" w:before="0"/>
            </w:pPr>
            <w:r>
              <w:rPr>
                <w:rFonts w:ascii="Arial" w:cs="Arial" w:eastAsia="Arial" w:hAnsi="Arial"/>
                <w:b/>
                <w:bCs/>
                <w:color w:val="C0392B"/>
                <w:sz w:val="18"/>
                <w:szCs w:val="18"/>
              </w:rPr>
              <w:t xml:space="preserve">Critical</w:t>
            </w:r>
          </w:p>
        </w:tc>
        <w:tc>
          <w:tcPr>
            <w:tcW w:type="dxa" w:w="41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Shared Accounts Without MFA on Admin Dashboard</w:t>
            </w:r>
          </w:p>
        </w:tc>
        <w:tc>
          <w:tcPr>
            <w:tcW w:type="dxa" w:w="15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Admin Dashboard</w:t>
            </w:r>
          </w:p>
        </w:tc>
        <w:tc>
          <w:tcPr>
            <w:tcW w:type="dxa" w:w="16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bCs/>
                <w:color w:val="B7770D"/>
                <w:sz w:val="18"/>
                <w:szCs w:val="18"/>
              </w:rPr>
              <w:t xml:space="preserve">Open</w:t>
            </w:r>
          </w:p>
        </w:tc>
      </w:tr>
      <w:tr>
        <w:tc>
          <w:tcPr>
            <w:tcW w:type="dxa" w:w="9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SEC-002</w:t>
            </w:r>
          </w:p>
        </w:tc>
        <w:tc>
          <w:tcPr>
            <w:tcW w:type="dxa" w:w="1200"/>
            <w:tcBorders>
              <w:top w:val="single" w:color="D0D5E8" w:sz="4"/>
              <w:left w:val="single" w:color="D0D5E8" w:sz="4"/>
              <w:bottom w:val="single" w:color="D0D5E8" w:sz="4"/>
              <w:right w:val="single" w:color="D0D5E8" w:sz="4"/>
            </w:tcBorders>
            <w:shd w:fill="FDECEA" w:val="clear"/>
            <w:tcMar>
              <w:top w:type="dxa" w:w="100"/>
              <w:left w:type="dxa" w:w="140"/>
              <w:bottom w:type="dxa" w:w="100"/>
              <w:right w:type="dxa" w:w="140"/>
            </w:tcMar>
          </w:tcPr>
          <w:p>
            <w:pPr>
              <w:spacing w:after="0" w:before="0"/>
            </w:pPr>
            <w:r>
              <w:rPr>
                <w:rFonts w:ascii="Arial" w:cs="Arial" w:eastAsia="Arial" w:hAnsi="Arial"/>
                <w:b/>
                <w:bCs/>
                <w:color w:val="C0392B"/>
                <w:sz w:val="18"/>
                <w:szCs w:val="18"/>
              </w:rPr>
              <w:t xml:space="preserve">Critical</w:t>
            </w:r>
          </w:p>
        </w:tc>
        <w:tc>
          <w:tcPr>
            <w:tcW w:type="dxa" w:w="4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Staging Database With Unrotated Static Credentials</w:t>
            </w:r>
          </w:p>
        </w:tc>
        <w:tc>
          <w:tcPr>
            <w:tcW w:type="dxa" w:w="15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Database (Staging)</w:t>
            </w:r>
          </w:p>
        </w:tc>
        <w:tc>
          <w:tcPr>
            <w:tcW w:type="dxa" w:w="16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bCs/>
                <w:color w:val="B7770D"/>
                <w:sz w:val="18"/>
                <w:szCs w:val="18"/>
              </w:rPr>
              <w:t xml:space="preserve">Open</w:t>
            </w:r>
          </w:p>
        </w:tc>
      </w:tr>
      <w:tr>
        <w:tc>
          <w:tcPr>
            <w:tcW w:type="dxa" w:w="9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SEC-003</w:t>
            </w:r>
          </w:p>
        </w:tc>
        <w:tc>
          <w:tcPr>
            <w:tcW w:type="dxa" w:w="12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bCs/>
                <w:color w:val="B7770D"/>
                <w:sz w:val="18"/>
                <w:szCs w:val="18"/>
              </w:rPr>
              <w:t xml:space="preserve">High</w:t>
            </w:r>
          </w:p>
        </w:tc>
        <w:tc>
          <w:tcPr>
            <w:tcW w:type="dxa" w:w="41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VPN Split-Tunneling Bypasses DLP Controls</w:t>
            </w:r>
          </w:p>
        </w:tc>
        <w:tc>
          <w:tcPr>
            <w:tcW w:type="dxa" w:w="15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VPN</w:t>
            </w:r>
          </w:p>
        </w:tc>
        <w:tc>
          <w:tcPr>
            <w:tcW w:type="dxa" w:w="16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bCs/>
                <w:color w:val="B7770D"/>
                <w:sz w:val="18"/>
                <w:szCs w:val="18"/>
              </w:rPr>
              <w:t xml:space="preserve">Open</w:t>
            </w:r>
          </w:p>
        </w:tc>
      </w:tr>
      <w:tr>
        <w:tc>
          <w:tcPr>
            <w:tcW w:type="dxa" w:w="9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SEC-004</w:t>
            </w:r>
          </w:p>
        </w:tc>
        <w:tc>
          <w:tcPr>
            <w:tcW w:type="dxa" w:w="12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bCs/>
                <w:color w:val="B7770D"/>
                <w:sz w:val="18"/>
                <w:szCs w:val="18"/>
              </w:rPr>
              <w:t xml:space="preserve">High</w:t>
            </w:r>
          </w:p>
        </w:tc>
        <w:tc>
          <w:tcPr>
            <w:tcW w:type="dxa" w:w="4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Privilege Accumulation — Role Creep in Engineering</w:t>
            </w:r>
          </w:p>
        </w:tc>
        <w:tc>
          <w:tcPr>
            <w:tcW w:type="dxa" w:w="15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AWS Cloud / Web App</w:t>
            </w:r>
          </w:p>
        </w:tc>
        <w:tc>
          <w:tcPr>
            <w:tcW w:type="dxa" w:w="16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bCs/>
                <w:color w:val="B7770D"/>
                <w:sz w:val="18"/>
                <w:szCs w:val="18"/>
              </w:rPr>
              <w:t xml:space="preserve">Open</w:t>
            </w:r>
          </w:p>
        </w:tc>
      </w:tr>
      <w:tr>
        <w:tc>
          <w:tcPr>
            <w:tcW w:type="dxa" w:w="9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SEC-005</w:t>
            </w:r>
          </w:p>
        </w:tc>
        <w:tc>
          <w:tcPr>
            <w:tcW w:type="dxa" w:w="12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bCs/>
                <w:color w:val="B7770D"/>
                <w:sz w:val="18"/>
                <w:szCs w:val="18"/>
              </w:rPr>
              <w:t xml:space="preserve">High</w:t>
            </w:r>
          </w:p>
        </w:tc>
        <w:tc>
          <w:tcPr>
            <w:tcW w:type="dxa" w:w="41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4 API Keys Unrotated Beyond 180-Day Policy Threshold</w:t>
            </w:r>
          </w:p>
        </w:tc>
        <w:tc>
          <w:tcPr>
            <w:tcW w:type="dxa" w:w="15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AWS Cloud / Web App APIs</w:t>
            </w:r>
          </w:p>
        </w:tc>
        <w:tc>
          <w:tcPr>
            <w:tcW w:type="dxa" w:w="16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bCs/>
                <w:color w:val="B7770D"/>
                <w:sz w:val="18"/>
                <w:szCs w:val="18"/>
              </w:rPr>
              <w:t xml:space="preserve">Open</w:t>
            </w:r>
          </w:p>
        </w:tc>
      </w:tr>
      <w:tr>
        <w:tc>
          <w:tcPr>
            <w:tcW w:type="dxa" w:w="9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SEC-006</w:t>
            </w:r>
          </w:p>
        </w:tc>
        <w:tc>
          <w:tcPr>
            <w:tcW w:type="dxa" w:w="1200"/>
            <w:tcBorders>
              <w:top w:val="single" w:color="D0D5E8" w:sz="4"/>
              <w:left w:val="single" w:color="D0D5E8" w:sz="4"/>
              <w:bottom w:val="single" w:color="D0D5E8" w:sz="4"/>
              <w:right w:val="single" w:color="D0D5E8" w:sz="4"/>
            </w:tcBorders>
            <w:shd w:fill="D6E4F7"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Medium</w:t>
            </w:r>
          </w:p>
        </w:tc>
        <w:tc>
          <w:tcPr>
            <w:tcW w:type="dxa" w:w="4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Incomplete MFA Enrollment — 10 Human Accounts</w:t>
            </w:r>
          </w:p>
        </w:tc>
        <w:tc>
          <w:tcPr>
            <w:tcW w:type="dxa" w:w="15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SSO / All Systems</w:t>
            </w:r>
          </w:p>
        </w:tc>
        <w:tc>
          <w:tcPr>
            <w:tcW w:type="dxa" w:w="16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bCs/>
                <w:color w:val="B7770D"/>
                <w:sz w:val="18"/>
                <w:szCs w:val="18"/>
              </w:rPr>
              <w:t xml:space="preserve">Open</w:t>
            </w:r>
          </w:p>
        </w:tc>
      </w:tr>
      <w:tr>
        <w:tc>
          <w:tcPr>
            <w:tcW w:type="dxa" w:w="9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SEC-007</w:t>
            </w:r>
          </w:p>
        </w:tc>
        <w:tc>
          <w:tcPr>
            <w:tcW w:type="dxa" w:w="1200"/>
            <w:tcBorders>
              <w:top w:val="single" w:color="D0D5E8" w:sz="4"/>
              <w:left w:val="single" w:color="D0D5E8" w:sz="4"/>
              <w:bottom w:val="single" w:color="D0D5E8" w:sz="4"/>
              <w:right w:val="single" w:color="D0D5E8" w:sz="4"/>
            </w:tcBorders>
            <w:shd w:fill="D6E4F7"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Medium</w:t>
            </w:r>
          </w:p>
        </w:tc>
        <w:tc>
          <w:tcPr>
            <w:tcW w:type="dxa" w:w="41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No Session Recording for Privileged Admin Dashboard Access</w:t>
            </w:r>
          </w:p>
        </w:tc>
        <w:tc>
          <w:tcPr>
            <w:tcW w:type="dxa" w:w="15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Admin Dashboard</w:t>
            </w:r>
          </w:p>
        </w:tc>
        <w:tc>
          <w:tcPr>
            <w:tcW w:type="dxa" w:w="16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bCs/>
                <w:color w:val="B7770D"/>
                <w:sz w:val="18"/>
                <w:szCs w:val="18"/>
              </w:rPr>
              <w:t xml:space="preserve">Open</w:t>
            </w:r>
          </w:p>
        </w:tc>
      </w:tr>
      <w:tr>
        <w:tc>
          <w:tcPr>
            <w:tcW w:type="dxa" w:w="9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SEC-008</w:t>
            </w:r>
          </w:p>
        </w:tc>
        <w:tc>
          <w:tcPr>
            <w:tcW w:type="dxa" w:w="1200"/>
            <w:tcBorders>
              <w:top w:val="single" w:color="D0D5E8" w:sz="4"/>
              <w:left w:val="single" w:color="D0D5E8" w:sz="4"/>
              <w:bottom w:val="single" w:color="D0D5E8" w:sz="4"/>
              <w:right w:val="single" w:color="D0D5E8" w:sz="4"/>
            </w:tcBorders>
            <w:shd w:fill="E8F5EE" w:val="clear"/>
            <w:tcMar>
              <w:top w:type="dxa" w:w="100"/>
              <w:left w:type="dxa" w:w="140"/>
              <w:bottom w:type="dxa" w:w="100"/>
              <w:right w:type="dxa" w:w="140"/>
            </w:tcMar>
          </w:tcPr>
          <w:p>
            <w:pPr>
              <w:spacing w:after="0" w:before="0"/>
            </w:pPr>
            <w:r>
              <w:rPr>
                <w:rFonts w:ascii="Arial" w:cs="Arial" w:eastAsia="Arial" w:hAnsi="Arial"/>
                <w:b/>
                <w:bCs/>
                <w:color w:val="1A7A4A"/>
                <w:sz w:val="18"/>
                <w:szCs w:val="18"/>
              </w:rPr>
              <w:t xml:space="preserve">Low</w:t>
            </w:r>
          </w:p>
        </w:tc>
        <w:tc>
          <w:tcPr>
            <w:tcW w:type="dxa" w:w="4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Break-Glass Accounts Lack Automated De-escalation</w:t>
            </w:r>
          </w:p>
        </w:tc>
        <w:tc>
          <w:tcPr>
            <w:tcW w:type="dxa" w:w="15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All Systems</w:t>
            </w:r>
          </w:p>
        </w:tc>
        <w:tc>
          <w:tcPr>
            <w:tcW w:type="dxa" w:w="1600"/>
            <w:tcBorders>
              <w:top w:val="single" w:color="D0D5E8" w:sz="4"/>
              <w:left w:val="single" w:color="D0D5E8" w:sz="4"/>
              <w:bottom w:val="single" w:color="D0D5E8" w:sz="4"/>
              <w:right w:val="single" w:color="D0D5E8" w:sz="4"/>
            </w:tcBorders>
            <w:shd w:fill="FEF3DC" w:val="clear"/>
            <w:tcMar>
              <w:top w:type="dxa" w:w="100"/>
              <w:left w:type="dxa" w:w="140"/>
              <w:bottom w:type="dxa" w:w="100"/>
              <w:right w:type="dxa" w:w="140"/>
            </w:tcMar>
          </w:tcPr>
          <w:p>
            <w:pPr>
              <w:spacing w:after="0" w:before="0"/>
            </w:pPr>
            <w:r>
              <w:rPr>
                <w:rFonts w:ascii="Arial" w:cs="Arial" w:eastAsia="Arial" w:hAnsi="Arial"/>
                <w:b/>
                <w:bCs/>
                <w:color w:val="B7770D"/>
                <w:sz w:val="18"/>
                <w:szCs w:val="18"/>
              </w:rPr>
              <w:t xml:space="preserve">Open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0392B" w:sz="8"/>
              <w:left w:val="single" w:color="C0392B" w:sz="8"/>
              <w:bottom w:val="single" w:color="C0392B" w:sz="8"/>
              <w:right w:val="single" w:color="C0392B" w:sz="8"/>
            </w:tcBorders>
            <w:shd w:fill="C0392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CRITICAL</w:t>
            </w:r>
          </w:p>
        </w:tc>
        <w:tc>
          <w:tcPr>
            <w:tcW w:type="dxa" w:w="8160"/>
            <w:tcBorders>
              <w:top w:val="single" w:color="C0392B" w:sz="8"/>
              <w:left w:val="single" w:color="C0392B" w:sz="8"/>
              <w:bottom w:val="single" w:color="C0392B" w:sz="8"/>
              <w:right w:val="single" w:color="C0392B" w:sz="8"/>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SEC-001  |  </w:t>
            </w:r>
            <w:r>
              <w:rPr>
                <w:rFonts w:ascii="Arial" w:cs="Arial" w:eastAsia="Arial" w:hAnsi="Arial"/>
                <w:b/>
                <w:bCs/>
                <w:color w:val="1B3A6B"/>
                <w:sz w:val="18"/>
                <w:szCs w:val="18"/>
              </w:rPr>
              <w:t xml:space="preserve">Shared Accounts Without MFA on Admin Dashboard</w:t>
            </w:r>
            <w:r>
              <w:rPr>
                <w:rFonts w:ascii="Arial" w:cs="Arial" w:eastAsia="Arial" w:hAnsi="Arial"/>
                <w:color w:val="9BA3B8"/>
                <w:sz w:val="17"/>
                <w:szCs w:val="17"/>
              </w:rPr>
              <w:t xml:space="preserve">   [System: Admin Dashboard]</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Detail</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Three generic accounts (svc-ops-dash, admin-shared01, support-admin) are configured with static passwords and bypass Okta SSO. Passwords are not vaulted and have not been rotated in over 400 days. These accounts are known to multiple team members, preventing individual attribution.</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Impact</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Complete loss of non-repudiation for Admin Dashboard actions; potential for insider threat or credential sharing exploitation. Full admin-level access to merchant data and transaction override capabilities.</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Remediation</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Migrate to named accounts; enforce Okta SSO; retire shared accounts; enable session recording via PAM tool.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0392B" w:sz="8"/>
              <w:left w:val="single" w:color="C0392B" w:sz="8"/>
              <w:bottom w:val="single" w:color="C0392B" w:sz="8"/>
              <w:right w:val="single" w:color="C0392B" w:sz="8"/>
            </w:tcBorders>
            <w:shd w:fill="C0392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CRITICAL</w:t>
            </w:r>
          </w:p>
        </w:tc>
        <w:tc>
          <w:tcPr>
            <w:tcW w:type="dxa" w:w="8160"/>
            <w:tcBorders>
              <w:top w:val="single" w:color="C0392B" w:sz="8"/>
              <w:left w:val="single" w:color="C0392B" w:sz="8"/>
              <w:bottom w:val="single" w:color="C0392B" w:sz="8"/>
              <w:right w:val="single" w:color="C0392B" w:sz="8"/>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SEC-002  |  </w:t>
            </w:r>
            <w:r>
              <w:rPr>
                <w:rFonts w:ascii="Arial" w:cs="Arial" w:eastAsia="Arial" w:hAnsi="Arial"/>
                <w:b/>
                <w:bCs/>
                <w:color w:val="1B3A6B"/>
                <w:sz w:val="18"/>
                <w:szCs w:val="18"/>
              </w:rPr>
              <w:t xml:space="preserve">Staging Database With Unrotated Static Credentials</w:t>
            </w:r>
            <w:r>
              <w:rPr>
                <w:rFonts w:ascii="Arial" w:cs="Arial" w:eastAsia="Arial" w:hAnsi="Arial"/>
                <w:color w:val="9BA3B8"/>
                <w:sz w:val="17"/>
                <w:szCs w:val="17"/>
              </w:rPr>
              <w:t xml:space="preserve">   [System: Database (Staging)]</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Detail</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Staging PostgreSQL instance uses a shared static service account (db-staging-rw) with credentials embedded in 6 developer workstations' ~/.pgpass files and two CI environment variable stores. Credentials have not rotated in 187 days. Staging data is a partial copy of production and contains real PAN data due to a misconfigured anonymization pipeline.</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Impact</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Exposure of real cardholder data in staging environment constitutes a PCI-DSS control failure. Static credentials with wide distribution increase blast radius of a compromise.</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Remediation</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Rotate credentials immediately; enforce HashiCorp Vault dynamic secrets for all DB access; re-run anonymization pipeline on staging.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7770D" w:sz="8"/>
              <w:left w:val="single" w:color="B7770D" w:sz="8"/>
              <w:bottom w:val="single" w:color="B7770D" w:sz="8"/>
              <w:right w:val="single" w:color="B7770D" w:sz="8"/>
            </w:tcBorders>
            <w:shd w:fill="B7770D"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HIGH</w:t>
            </w:r>
          </w:p>
        </w:tc>
        <w:tc>
          <w:tcPr>
            <w:tcW w:type="dxa" w:w="8160"/>
            <w:tcBorders>
              <w:top w:val="single" w:color="B7770D" w:sz="8"/>
              <w:left w:val="single" w:color="B7770D" w:sz="8"/>
              <w:bottom w:val="single" w:color="B7770D" w:sz="8"/>
              <w:right w:val="single" w:color="B7770D" w:sz="8"/>
            </w:tcBorders>
            <w:shd w:fill="FEF3DC" w:val="clear"/>
            <w:tcMar>
              <w:top w:type="dxa" w:w="100"/>
              <w:left w:type="dxa" w:w="140"/>
              <w:bottom w:type="dxa" w:w="100"/>
              <w:right w:type="dxa" w:w="140"/>
            </w:tcMar>
          </w:tcPr>
          <w:p>
            <w:r>
              <w:rPr>
                <w:rFonts w:ascii="Arial" w:cs="Arial" w:eastAsia="Arial" w:hAnsi="Arial"/>
                <w:b/>
                <w:bCs/>
                <w:color w:val="B7770D"/>
                <w:sz w:val="18"/>
                <w:szCs w:val="18"/>
              </w:rPr>
              <w:t xml:space="preserve">SEC-003  |  </w:t>
            </w:r>
            <w:r>
              <w:rPr>
                <w:rFonts w:ascii="Arial" w:cs="Arial" w:eastAsia="Arial" w:hAnsi="Arial"/>
                <w:b/>
                <w:bCs/>
                <w:color w:val="1B3A6B"/>
                <w:sz w:val="18"/>
                <w:szCs w:val="18"/>
              </w:rPr>
              <w:t xml:space="preserve">VPN Split-Tunneling Bypasses DLP Controls</w:t>
            </w:r>
            <w:r>
              <w:rPr>
                <w:rFonts w:ascii="Arial" w:cs="Arial" w:eastAsia="Arial" w:hAnsi="Arial"/>
                <w:color w:val="9BA3B8"/>
                <w:sz w:val="17"/>
                <w:szCs w:val="17"/>
              </w:rPr>
              <w:t xml:space="preserve">   [System: VPN]</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Detail</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GlobalProtect is configured in split-tunnel mode, meaning only RFC-1918 (internal) traffic is routed through the VPN gateway. External internet traffic from remote endpoints is not inspected by the company's DLP or proxy solution. Engineering and Finance users regularly access production-adjacent tooling from personal network connections.</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Impact</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Data exfiltration via cloud storage (personal Dropbox, Google Drive) cannot be detected or blocked for remote workers. Increases risk of shadow IT and data leakage.</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Remediation</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Migrate to full-tunnel VPN profile for users with access to Restricted data; enforce CASB integration for Engineering/Finance.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7770D" w:sz="8"/>
              <w:left w:val="single" w:color="B7770D" w:sz="8"/>
              <w:bottom w:val="single" w:color="B7770D" w:sz="8"/>
              <w:right w:val="single" w:color="B7770D" w:sz="8"/>
            </w:tcBorders>
            <w:shd w:fill="B7770D"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HIGH</w:t>
            </w:r>
          </w:p>
        </w:tc>
        <w:tc>
          <w:tcPr>
            <w:tcW w:type="dxa" w:w="8160"/>
            <w:tcBorders>
              <w:top w:val="single" w:color="B7770D" w:sz="8"/>
              <w:left w:val="single" w:color="B7770D" w:sz="8"/>
              <w:bottom w:val="single" w:color="B7770D" w:sz="8"/>
              <w:right w:val="single" w:color="B7770D" w:sz="8"/>
            </w:tcBorders>
            <w:shd w:fill="FEF3DC" w:val="clear"/>
            <w:tcMar>
              <w:top w:type="dxa" w:w="100"/>
              <w:left w:type="dxa" w:w="140"/>
              <w:bottom w:type="dxa" w:w="100"/>
              <w:right w:type="dxa" w:w="140"/>
            </w:tcMar>
          </w:tcPr>
          <w:p>
            <w:r>
              <w:rPr>
                <w:rFonts w:ascii="Arial" w:cs="Arial" w:eastAsia="Arial" w:hAnsi="Arial"/>
                <w:b/>
                <w:bCs/>
                <w:color w:val="B7770D"/>
                <w:sz w:val="18"/>
                <w:szCs w:val="18"/>
              </w:rPr>
              <w:t xml:space="preserve">SEC-004  |  </w:t>
            </w:r>
            <w:r>
              <w:rPr>
                <w:rFonts w:ascii="Arial" w:cs="Arial" w:eastAsia="Arial" w:hAnsi="Arial"/>
                <w:b/>
                <w:bCs/>
                <w:color w:val="1B3A6B"/>
                <w:sz w:val="18"/>
                <w:szCs w:val="18"/>
              </w:rPr>
              <w:t xml:space="preserve">Privilege Accumulation — Role Creep in Engineering</w:t>
            </w:r>
            <w:r>
              <w:rPr>
                <w:rFonts w:ascii="Arial" w:cs="Arial" w:eastAsia="Arial" w:hAnsi="Arial"/>
                <w:color w:val="9BA3B8"/>
                <w:sz w:val="17"/>
                <w:szCs w:val="17"/>
              </w:rPr>
              <w:t xml:space="preserve">   [System: AWS Cloud / Web App]</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Detail</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11 accounts classified as Developer (Senior) retain 'Engineering Lead' group membership in Okta and corresponding AWS IAM permission boundaries from a prior org restructure 8 months ago. The access review process did not flag these as the users were not formally downgraded — they were placed in a new role while legacy group memberships were not removed.</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Impact</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Affected users have write access to staging infrastructure and elevated AWS permissions beyond their current job function, violating the principle of least privilege.</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Remediation</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Remove legacy Okta group memberships; re-run access certification for all Engineering staff; enforce SailPoint risky-role detection.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7770D" w:sz="8"/>
              <w:left w:val="single" w:color="B7770D" w:sz="8"/>
              <w:bottom w:val="single" w:color="B7770D" w:sz="8"/>
              <w:right w:val="single" w:color="B7770D" w:sz="8"/>
            </w:tcBorders>
            <w:shd w:fill="B7770D"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HIGH</w:t>
            </w:r>
          </w:p>
        </w:tc>
        <w:tc>
          <w:tcPr>
            <w:tcW w:type="dxa" w:w="8160"/>
            <w:tcBorders>
              <w:top w:val="single" w:color="B7770D" w:sz="8"/>
              <w:left w:val="single" w:color="B7770D" w:sz="8"/>
              <w:bottom w:val="single" w:color="B7770D" w:sz="8"/>
              <w:right w:val="single" w:color="B7770D" w:sz="8"/>
            </w:tcBorders>
            <w:shd w:fill="FEF3DC" w:val="clear"/>
            <w:tcMar>
              <w:top w:type="dxa" w:w="100"/>
              <w:left w:type="dxa" w:w="140"/>
              <w:bottom w:type="dxa" w:w="100"/>
              <w:right w:type="dxa" w:w="140"/>
            </w:tcMar>
          </w:tcPr>
          <w:p>
            <w:r>
              <w:rPr>
                <w:rFonts w:ascii="Arial" w:cs="Arial" w:eastAsia="Arial" w:hAnsi="Arial"/>
                <w:b/>
                <w:bCs/>
                <w:color w:val="B7770D"/>
                <w:sz w:val="18"/>
                <w:szCs w:val="18"/>
              </w:rPr>
              <w:t xml:space="preserve">SEC-005  |  </w:t>
            </w:r>
            <w:r>
              <w:rPr>
                <w:rFonts w:ascii="Arial" w:cs="Arial" w:eastAsia="Arial" w:hAnsi="Arial"/>
                <w:b/>
                <w:bCs/>
                <w:color w:val="1B3A6B"/>
                <w:sz w:val="18"/>
                <w:szCs w:val="18"/>
              </w:rPr>
              <w:t xml:space="preserve">4 API Keys Unrotated Beyond 180-Day Policy Threshold</w:t>
            </w:r>
            <w:r>
              <w:rPr>
                <w:rFonts w:ascii="Arial" w:cs="Arial" w:eastAsia="Arial" w:hAnsi="Arial"/>
                <w:color w:val="9BA3B8"/>
                <w:sz w:val="17"/>
                <w:szCs w:val="17"/>
              </w:rPr>
              <w:t xml:space="preserve">   [System: AWS Cloud / Web App APIs]</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Detail</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Internal policy (SEC-POL-014) mandates rotation of all static API keys every 90 days. An audit of HashiCorp Vault and AWS IAM reveals 4 service account API keys exceed 180 days without rotation (oldest: 312 days). Keys belong to svc-payment-processor, svc-notification, svc-reporting-ext, and svc-legacy-onboarding.</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Impact</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Stale credentials increase the window of exposure if the keys were compromised via a historical breach or code repository leak. svc-payment-processor has IAM permissions to initiate payment API calls.</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Remediation</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Immediate manual rotation; enforce Vault lease-based dynamic credentials; integrate rotation checks into CI/CD pipelines.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8"/>
              <w:left w:val="single" w:color="2E5FA3" w:sz="8"/>
              <w:bottom w:val="single" w:color="2E5FA3" w:sz="8"/>
              <w:right w:val="single" w:color="2E5FA3" w:sz="8"/>
            </w:tcBorders>
            <w:shd w:fill="2E5FA3"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MEDIUM</w:t>
            </w:r>
          </w:p>
        </w:tc>
        <w:tc>
          <w:tcPr>
            <w:tcW w:type="dxa" w:w="8160"/>
            <w:tcBorders>
              <w:top w:val="single" w:color="2E5FA3" w:sz="8"/>
              <w:left w:val="single" w:color="2E5FA3" w:sz="8"/>
              <w:bottom w:val="single" w:color="2E5FA3" w:sz="8"/>
              <w:right w:val="single" w:color="2E5FA3" w:sz="8"/>
            </w:tcBorders>
            <w:shd w:fill="D6E4F7" w:val="clear"/>
            <w:tcMar>
              <w:top w:type="dxa" w:w="100"/>
              <w:left w:type="dxa" w:w="140"/>
              <w:bottom w:type="dxa" w:w="100"/>
              <w:right w:type="dxa" w:w="140"/>
            </w:tcMar>
          </w:tcPr>
          <w:p>
            <w:r>
              <w:rPr>
                <w:rFonts w:ascii="Arial" w:cs="Arial" w:eastAsia="Arial" w:hAnsi="Arial"/>
                <w:b/>
                <w:bCs/>
                <w:color w:val="2E5FA3"/>
                <w:sz w:val="18"/>
                <w:szCs w:val="18"/>
              </w:rPr>
              <w:t xml:space="preserve">SEC-006  |  </w:t>
            </w:r>
            <w:r>
              <w:rPr>
                <w:rFonts w:ascii="Arial" w:cs="Arial" w:eastAsia="Arial" w:hAnsi="Arial"/>
                <w:b/>
                <w:bCs/>
                <w:color w:val="1B3A6B"/>
                <w:sz w:val="18"/>
                <w:szCs w:val="18"/>
              </w:rPr>
              <w:t xml:space="preserve">Incomplete MFA Enrollment — 10 Human Accounts</w:t>
            </w:r>
            <w:r>
              <w:rPr>
                <w:rFonts w:ascii="Arial" w:cs="Arial" w:eastAsia="Arial" w:hAnsi="Arial"/>
                <w:color w:val="9BA3B8"/>
                <w:sz w:val="17"/>
                <w:szCs w:val="17"/>
              </w:rPr>
              <w:t xml:space="preserve">   [System: SSO / All Systems]</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Detail</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10 human user accounts (3 Engineering contractors, 2 part-time HR staff, 5 Support T1 agents) have been granted MFA enrollment exemptions. Exemptions were issued via helpdesk tickets without a formal risk acceptance process or documented business justification. Three exemptions are more than 60 days old.</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Impact</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MFA-exempt accounts are susceptible to credential stuffing, phishing, and password spray attacks. Support T1 agents access customer PII through the Web App.</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Remediation</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Enforce MFA for all human users; establish a formal risk acceptance process with CISO sign-off for any exemption; set automated 30-day expiry on exemptions.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8"/>
              <w:left w:val="single" w:color="2E5FA3" w:sz="8"/>
              <w:bottom w:val="single" w:color="2E5FA3" w:sz="8"/>
              <w:right w:val="single" w:color="2E5FA3" w:sz="8"/>
            </w:tcBorders>
            <w:shd w:fill="2E5FA3"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MEDIUM</w:t>
            </w:r>
          </w:p>
        </w:tc>
        <w:tc>
          <w:tcPr>
            <w:tcW w:type="dxa" w:w="8160"/>
            <w:tcBorders>
              <w:top w:val="single" w:color="2E5FA3" w:sz="8"/>
              <w:left w:val="single" w:color="2E5FA3" w:sz="8"/>
              <w:bottom w:val="single" w:color="2E5FA3" w:sz="8"/>
              <w:right w:val="single" w:color="2E5FA3" w:sz="8"/>
            </w:tcBorders>
            <w:shd w:fill="D6E4F7" w:val="clear"/>
            <w:tcMar>
              <w:top w:type="dxa" w:w="100"/>
              <w:left w:type="dxa" w:w="140"/>
              <w:bottom w:type="dxa" w:w="100"/>
              <w:right w:type="dxa" w:w="140"/>
            </w:tcMar>
          </w:tcPr>
          <w:p>
            <w:r>
              <w:rPr>
                <w:rFonts w:ascii="Arial" w:cs="Arial" w:eastAsia="Arial" w:hAnsi="Arial"/>
                <w:b/>
                <w:bCs/>
                <w:color w:val="2E5FA3"/>
                <w:sz w:val="18"/>
                <w:szCs w:val="18"/>
              </w:rPr>
              <w:t xml:space="preserve">SEC-007  |  </w:t>
            </w:r>
            <w:r>
              <w:rPr>
                <w:rFonts w:ascii="Arial" w:cs="Arial" w:eastAsia="Arial" w:hAnsi="Arial"/>
                <w:b/>
                <w:bCs/>
                <w:color w:val="1B3A6B"/>
                <w:sz w:val="18"/>
                <w:szCs w:val="18"/>
              </w:rPr>
              <w:t xml:space="preserve">No Session Recording for Privileged Admin Dashboard Access</w:t>
            </w:r>
            <w:r>
              <w:rPr>
                <w:rFonts w:ascii="Arial" w:cs="Arial" w:eastAsia="Arial" w:hAnsi="Arial"/>
                <w:color w:val="9BA3B8"/>
                <w:sz w:val="17"/>
                <w:szCs w:val="17"/>
              </w:rPr>
              <w:t xml:space="preserve">   [System: Admin Dashboard]</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Detail</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Access to the Admin Dashboard — including by named admin accounts — does not route through a PAM solution with session recording. Privileged actions (transaction overrides, account freezes, fee waivers) are logged at the application layer but full session recordings are absent, limiting forensic capability.</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Impact</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Inability to fully reconstruct insider threat incidents or respond to regulatory inquiries requiring evidence of operator actions.</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Remediation</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Deploy CyberArk or BeyondTrust PAM proxy in front of Admin Dashboard; enforce session recording for all admin-level users.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7A4A" w:sz="8"/>
              <w:left w:val="single" w:color="1A7A4A" w:sz="8"/>
              <w:bottom w:val="single" w:color="1A7A4A" w:sz="8"/>
              <w:right w:val="single" w:color="1A7A4A" w:sz="8"/>
            </w:tcBorders>
            <w:shd w:fill="1A7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LOW</w:t>
            </w:r>
          </w:p>
        </w:tc>
        <w:tc>
          <w:tcPr>
            <w:tcW w:type="dxa" w:w="8160"/>
            <w:tcBorders>
              <w:top w:val="single" w:color="1A7A4A" w:sz="8"/>
              <w:left w:val="single" w:color="1A7A4A" w:sz="8"/>
              <w:bottom w:val="single" w:color="1A7A4A" w:sz="8"/>
              <w:right w:val="single" w:color="1A7A4A" w:sz="8"/>
            </w:tcBorders>
            <w:shd w:fill="E8F5EE" w:val="clear"/>
            <w:tcMar>
              <w:top w:type="dxa" w:w="100"/>
              <w:left w:type="dxa" w:w="140"/>
              <w:bottom w:type="dxa" w:w="100"/>
              <w:right w:type="dxa" w:w="140"/>
            </w:tcMar>
          </w:tcPr>
          <w:p>
            <w:r>
              <w:rPr>
                <w:rFonts w:ascii="Arial" w:cs="Arial" w:eastAsia="Arial" w:hAnsi="Arial"/>
                <w:b/>
                <w:bCs/>
                <w:color w:val="1A7A4A"/>
                <w:sz w:val="18"/>
                <w:szCs w:val="18"/>
              </w:rPr>
              <w:t xml:space="preserve">SEC-008  |  </w:t>
            </w:r>
            <w:r>
              <w:rPr>
                <w:rFonts w:ascii="Arial" w:cs="Arial" w:eastAsia="Arial" w:hAnsi="Arial"/>
                <w:b/>
                <w:bCs/>
                <w:color w:val="1B3A6B"/>
                <w:sz w:val="18"/>
                <w:szCs w:val="18"/>
              </w:rPr>
              <w:t xml:space="preserve">Break-Glass Accounts Lack Automated De-escalation</w:t>
            </w:r>
            <w:r>
              <w:rPr>
                <w:rFonts w:ascii="Arial" w:cs="Arial" w:eastAsia="Arial" w:hAnsi="Arial"/>
                <w:color w:val="9BA3B8"/>
                <w:sz w:val="17"/>
                <w:szCs w:val="17"/>
              </w:rPr>
              <w:t xml:space="preserve">   [System: All Systems]</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Detail</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Three break-glass accounts are approved for use via a Jira change request workflow. However, access de-escalation after the approved window relies on a manual step performed by the on-call security engineer. In two recorded incidents over the past 12 months, break-glass access persisted for 6–12 hours beyond the approved window.</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Impact</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Temporary over-privilege windows extend attack surface if break-glass credentials are compromised during or after an incident.</w:t>
            </w:r>
          </w:p>
        </w:tc>
      </w:tr>
      <w:tr>
        <w:tc>
          <w:tcPr>
            <w:tcW w:type="dxa" w:w="1200"/>
            <w:tcBorders>
              <w:top w:val="single" w:color="D0D5E8" w:sz="4"/>
              <w:left w:val="single" w:color="D0D5E8" w:sz="4"/>
              <w:bottom w:val="single" w:color="D0D5E8" w:sz="4"/>
              <w:right w:val="single" w:color="D0D5E8" w:sz="4"/>
            </w:tcBorders>
            <w:shd w:fill="E8EBF2" w:val="clear"/>
            <w:tcMar>
              <w:top w:type="dxa" w:w="100"/>
              <w:left w:type="dxa" w:w="140"/>
              <w:bottom w:type="dxa" w:w="100"/>
              <w:right w:type="dxa" w:w="140"/>
            </w:tcMar>
          </w:tcPr>
          <w:p>
            <w:pPr>
              <w:spacing w:after="0" w:before="0"/>
            </w:pPr>
            <w:r>
              <w:rPr>
                <w:rFonts w:ascii="Arial" w:cs="Arial" w:eastAsia="Arial" w:hAnsi="Arial"/>
                <w:b/>
                <w:bCs/>
                <w:color w:val="1A1A2E"/>
                <w:sz w:val="18"/>
                <w:szCs w:val="18"/>
              </w:rPr>
              <w:t xml:space="preserve">Remediation</w:t>
            </w:r>
          </w:p>
        </w:tc>
        <w:tc>
          <w:tcPr>
            <w:tcW w:type="dxa" w:w="81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Implement automated time-bounded access via AWS IAM session policies and Okta time-based group membership; alert on overrun windows.</w:t>
            </w:r>
          </w:p>
        </w:tc>
      </w:tr>
    </w:tbl>
    <w:p>
      <w:pPr>
        <w:spacing w:after="0" w:before="100"/>
      </w:pPr>
      <w:r>
        <w:t xml:space="preserve"/>
      </w:r>
    </w:p>
    <w:p>
      <w:pPr>
        <w:pageBreakBefore/>
      </w:pPr>
    </w:p>
    <w:p>
      <w:pPr>
        <w:pStyle w:val="Heading1"/>
        <w:pBdr>
          <w:bottom w:val="single" w:color="2E5FA3" w:sz="8"/>
        </w:pBdr>
        <w:spacing w:after="160" w:before="400"/>
      </w:pPr>
      <w:r>
        <w:rPr>
          <w:rFonts w:ascii="Arial" w:cs="Arial" w:eastAsia="Arial" w:hAnsi="Arial"/>
          <w:b/>
          <w:bCs/>
          <w:color w:val="1B3A6B"/>
          <w:sz w:val="28"/>
          <w:szCs w:val="28"/>
        </w:rPr>
        <w:t xml:space="preserve">Appendix A — Acronym &amp; Term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Term / Acronym</w:t>
            </w:r>
          </w:p>
        </w:tc>
        <w:tc>
          <w:tcPr>
            <w:tcW w:type="dxa" w:w="7560"/>
            <w:tcBorders>
              <w:top w:val="single" w:color="1B3A6B" w:sz="6"/>
              <w:left w:val="single" w:color="1B3A6B" w:sz="6"/>
              <w:bottom w:val="single" w:color="1B3A6B" w:sz="6"/>
              <w:right w:val="single" w:color="1B3A6B" w:sz="6"/>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Definition</w:t>
            </w:r>
          </w:p>
        </w:tc>
      </w:tr>
      <w:tr>
        <w:tc>
          <w:tcPr>
            <w:tcW w:type="dxa" w:w="18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RBAC</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Role-Based Access Control — access decisions based on a user's assigned role</w:t>
            </w:r>
          </w:p>
        </w:tc>
      </w:tr>
      <w:tr>
        <w:tc>
          <w:tcPr>
            <w:tcW w:type="dxa" w:w="18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IAM</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Identity and Access Management</w:t>
            </w:r>
          </w:p>
        </w:tc>
      </w:tr>
      <w:tr>
        <w:tc>
          <w:tcPr>
            <w:tcW w:type="dxa" w:w="18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MFA</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Multi-Factor Authentication — requiring ≥2 verification factors</w:t>
            </w:r>
          </w:p>
        </w:tc>
      </w:tr>
      <w:tr>
        <w:tc>
          <w:tcPr>
            <w:tcW w:type="dxa" w:w="18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PAM</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Privileged Access Management — governance of high-privilege accounts</w:t>
            </w:r>
          </w:p>
        </w:tc>
      </w:tr>
      <w:tr>
        <w:tc>
          <w:tcPr>
            <w:tcW w:type="dxa" w:w="18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SSO</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Single Sign-On — one authentication event grants access to multiple systems</w:t>
            </w:r>
          </w:p>
        </w:tc>
      </w:tr>
      <w:tr>
        <w:tc>
          <w:tcPr>
            <w:tcW w:type="dxa" w:w="18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FIDO2</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Fast Identity Online v2 — phishing-resistant hardware-key authentication standard</w:t>
            </w:r>
          </w:p>
        </w:tc>
      </w:tr>
      <w:tr>
        <w:tc>
          <w:tcPr>
            <w:tcW w:type="dxa" w:w="18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OIDC</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OpenID Connect — identity layer on top of OAuth 2.0 for federated auth</w:t>
            </w:r>
          </w:p>
        </w:tc>
      </w:tr>
      <w:tr>
        <w:tc>
          <w:tcPr>
            <w:tcW w:type="dxa" w:w="18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SoD</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Separation of Duties — no single person controls an entire critical process</w:t>
            </w:r>
          </w:p>
        </w:tc>
      </w:tr>
      <w:tr>
        <w:tc>
          <w:tcPr>
            <w:tcW w:type="dxa" w:w="18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SCP</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Service Control Policy — AWS Organizations guardrail for account-level permissions</w:t>
            </w:r>
          </w:p>
        </w:tc>
      </w:tr>
      <w:tr>
        <w:tc>
          <w:tcPr>
            <w:tcW w:type="dxa" w:w="18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PAN</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Primary Account Number — the 16-digit cardholder number (PCI-DSS sensitive data)</w:t>
            </w:r>
          </w:p>
        </w:tc>
      </w:tr>
      <w:tr>
        <w:tc>
          <w:tcPr>
            <w:tcW w:type="dxa" w:w="18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CASB</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Cloud Access Security Broker — enforces security policies between users and cloud services</w:t>
            </w:r>
          </w:p>
        </w:tc>
      </w:tr>
      <w:tr>
        <w:tc>
          <w:tcPr>
            <w:tcW w:type="dxa" w:w="18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DLP</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Data Loss Prevention — controls to detect/prevent unauthorized data exfiltration</w:t>
            </w:r>
          </w:p>
        </w:tc>
      </w:tr>
      <w:tr>
        <w:tc>
          <w:tcPr>
            <w:tcW w:type="dxa" w:w="180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IdP</w:t>
            </w:r>
          </w:p>
        </w:tc>
        <w:tc>
          <w:tcPr>
            <w:tcW w:type="dxa" w:w="7560"/>
            <w:tcBorders>
              <w:top w:val="single" w:color="D0D5E8" w:sz="4"/>
              <w:left w:val="single" w:color="D0D5E8" w:sz="4"/>
              <w:bottom w:val="single" w:color="D0D5E8" w:sz="4"/>
              <w:right w:val="single" w:color="D0D5E8" w:sz="4"/>
            </w:tcBorders>
            <w:shd w:fill="F4F6FB"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Identity Provider — system that creates, maintains, and manages identity information</w:t>
            </w:r>
          </w:p>
        </w:tc>
      </w:tr>
      <w:tr>
        <w:tc>
          <w:tcPr>
            <w:tcW w:type="dxa" w:w="180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bCs/>
                <w:color w:val="2E5FA3"/>
                <w:sz w:val="18"/>
                <w:szCs w:val="18"/>
              </w:rPr>
              <w:t xml:space="preserve">SA</w:t>
            </w:r>
          </w:p>
        </w:tc>
        <w:tc>
          <w:tcPr>
            <w:tcW w:type="dxa" w:w="7560"/>
            <w:tcBorders>
              <w:top w:val="single" w:color="D0D5E8" w:sz="4"/>
              <w:left w:val="single" w:color="D0D5E8" w:sz="4"/>
              <w:bottom w:val="single" w:color="D0D5E8" w:sz="4"/>
              <w:right w:val="single" w:color="D0D5E8"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8"/>
                <w:szCs w:val="18"/>
              </w:rPr>
              <w:t xml:space="preserve">Service Account — non-human identity used by applications/automation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pBdr>
      <w:tabs>
        <w:tab w:val="right" w:pos="9026"/>
      </w:tabs>
      <w:spacing w:after="0" w:before="80"/>
    </w:pPr>
    <w:r>
      <w:rPr>
        <w:rFonts w:ascii="Arial" w:cs="Arial" w:eastAsia="Arial" w:hAnsi="Arial"/>
        <w:color w:val="9BA3B8"/>
        <w:sz w:val="16"/>
        <w:szCs w:val="16"/>
      </w:rPr>
      <w:t xml:space="preserve">Section 1: Organization Overview  |  Internal — Restricted</w:t>
    </w:r>
    <w:r>
      <w:rPr>
        <w:rFonts w:ascii="Arial" w:cs="Arial" w:eastAsia="Arial" w:hAnsi="Arial"/>
        <w:color w:val="9BA3B8"/>
        <w:sz w:val="16"/>
        <w:szCs w:val="16"/>
      </w:rPr>
      <w:t xml:space="preserve">	Page </w:t>
    </w:r>
    <w:r>
      <w:rPr>
        <w:rFonts w:ascii="Arial" w:cs="Arial" w:eastAsia="Arial" w:hAnsi="Arial"/>
        <w:color w:val="9B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pBdr>
      <w:spacing w:after="80" w:before="0"/>
    </w:pPr>
    <w:r>
      <w:rPr>
        <w:rFonts w:ascii="Arial" w:cs="Arial" w:eastAsia="Arial" w:hAnsi="Arial"/>
        <w:color w:val="9BA3B8"/>
        <w:sz w:val="16"/>
        <w:szCs w:val="16"/>
      </w:rPr>
      <w:t xml:space="preserve">NovaPay Financial Technologies  |  IAM Assessment Report  |  </w:t>
    </w:r>
    <w:r>
      <w:rPr>
        <w:rFonts w:ascii="Arial" w:cs="Arial" w:eastAsia="Arial" w:hAnsi="Arial"/>
        <w:b/>
        <w:bCs/>
        <w:color w:val="C0392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28"/>
      <w:szCs w:val="28"/>
    </w:rPr>
  </w:style>
  <w:style w:type="paragraph" w:styleId="Heading2">
    <w:name w:val="Heading 2"/>
    <w:basedOn w:val="Normal"/>
    <w:next w:val="Normal"/>
    <w:qFormat/>
    <w:pPr>
      <w:spacing w:after="120" w:before="320"/>
      <w:outlineLvl w:val="1"/>
    </w:pPr>
    <w:rPr>
      <w:rFonts w:ascii="Arial" w:cs="Arial" w:eastAsia="Arial" w:hAnsi="Arial"/>
      <w:b/>
      <w:bCs/>
      <w:color w:val="2E5FA3"/>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2026-04-28T10:16:45.373Z</dcterms:created>
  <dcterms:modified xsi:type="dcterms:W3CDTF">2026-04-28T10:16:45.373Z</dcterms:modified>
</cp:coreProperties>
</file>

<file path=docProps/custom.xml><?xml version="1.0" encoding="utf-8"?>
<Properties xmlns="http://schemas.openxmlformats.org/officeDocument/2006/custom-properties" xmlns:vt="http://schemas.openxmlformats.org/officeDocument/2006/docPropsVTypes"/>
</file>