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t xml:space="preserve"/>
      </w:r>
    </w:p>
    <w:p>
      <w:pPr>
        <w:jc w:val="center"/>
      </w:pPr>
      <w:r>
        <w:rPr>
          <w:rFonts w:ascii="Arial" w:cs="Arial" w:eastAsia="Arial" w:hAnsi="Arial"/>
          <w:b/>
          <w:bCs/>
          <w:color w:val="C0392B"/>
          <w:sz w:val="18"/>
          <w:szCs w:val="18"/>
        </w:rPr>
        <w:t xml:space="preserve">CONFIDENTIAL — INTERNAL USE ONLY</w:t>
      </w:r>
    </w:p>
    <w:p>
      <w:pPr>
        <w:spacing w:after="0" w:before="120"/>
      </w:pPr>
      <w:r>
        <w:t xml:space="preserve"/>
      </w:r>
    </w:p>
    <w:p>
      <w:pPr>
        <w:spacing w:after="60" w:before="0"/>
        <w:jc w:val="center"/>
      </w:pPr>
      <w:r>
        <w:rPr>
          <w:rFonts w:ascii="Arial" w:cs="Arial" w:eastAsia="Arial" w:hAnsi="Arial"/>
          <w:b/>
          <w:bCs/>
          <w:color w:val="1B3A6B"/>
          <w:sz w:val="44"/>
          <w:szCs w:val="44"/>
        </w:rPr>
        <w:t xml:space="preserve">NovaPay Financial Technologies</w:t>
      </w:r>
    </w:p>
    <w:p>
      <w:pPr>
        <w:spacing w:after="240" w:before="0"/>
        <w:jc w:val="center"/>
      </w:pPr>
      <w:r>
        <w:rPr>
          <w:rFonts w:ascii="Arial" w:cs="Arial" w:eastAsia="Arial" w:hAnsi="Arial"/>
          <w:color w:val="2E5FA3"/>
          <w:sz w:val="32"/>
          <w:szCs w:val="32"/>
        </w:rPr>
        <w:t xml:space="preserve">IAM Security Controls &amp; Recommendations</w:t>
      </w:r>
    </w:p>
    <w:p>
      <w:pPr>
        <w:spacing w:after="60" w:before="0"/>
        <w:jc w:val="center"/>
      </w:pPr>
      <w:r>
        <w:rPr>
          <w:rFonts w:ascii="Arial" w:cs="Arial" w:eastAsia="Arial" w:hAnsi="Arial"/>
          <w:b/>
          <w:bCs/>
          <w:color w:val="1B3A6B"/>
          <w:sz w:val="22"/>
          <w:szCs w:val="22"/>
        </w:rPr>
        <w:t xml:space="preserve">Section 2 — Control Framework &amp; Remediation Roadmap</w:t>
      </w:r>
    </w:p>
    <w:p>
      <w:pPr>
        <w:spacing w:after="0" w:before="240"/>
      </w:pPr>
      <w:r>
        <w:t xml:space="preserve"/>
      </w:r>
    </w:p>
    <w:p>
      <w:pPr>
        <w:spacing w:after="40" w:before="40"/>
        <w:jc w:val="center"/>
      </w:pPr>
      <w:r>
        <w:rPr>
          <w:rFonts w:ascii="Arial" w:cs="Arial" w:eastAsia="Arial" w:hAnsi="Arial"/>
          <w:b/>
          <w:bCs/>
          <w:color w:val="1B3A6B"/>
          <w:sz w:val="18"/>
          <w:szCs w:val="18"/>
        </w:rPr>
        <w:t xml:space="preserve">Prepared by:  </w:t>
      </w:r>
      <w:r>
        <w:rPr>
          <w:rFonts w:ascii="Arial" w:cs="Arial" w:eastAsia="Arial" w:hAnsi="Arial"/>
          <w:color w:val="1A1A2E"/>
          <w:sz w:val="18"/>
          <w:szCs w:val="18"/>
        </w:rPr>
        <w:t xml:space="preserve">IAM Security Team — NovaPay InfoSec</w:t>
      </w:r>
    </w:p>
    <w:p>
      <w:pPr>
        <w:spacing w:after="40" w:before="40"/>
        <w:jc w:val="center"/>
      </w:pPr>
      <w:r>
        <w:rPr>
          <w:rFonts w:ascii="Arial" w:cs="Arial" w:eastAsia="Arial" w:hAnsi="Arial"/>
          <w:b/>
          <w:bCs/>
          <w:color w:val="1B3A6B"/>
          <w:sz w:val="18"/>
          <w:szCs w:val="18"/>
        </w:rPr>
        <w:t xml:space="preserve">Classification:  </w:t>
      </w:r>
      <w:r>
        <w:rPr>
          <w:rFonts w:ascii="Arial" w:cs="Arial" w:eastAsia="Arial" w:hAnsi="Arial"/>
          <w:color w:val="1A1A2E"/>
          <w:sz w:val="18"/>
          <w:szCs w:val="18"/>
        </w:rPr>
        <w:t xml:space="preserve">Internal — Restricted</w:t>
      </w:r>
    </w:p>
    <w:p>
      <w:pPr>
        <w:spacing w:after="40" w:before="40"/>
        <w:jc w:val="center"/>
      </w:pPr>
      <w:r>
        <w:rPr>
          <w:rFonts w:ascii="Arial" w:cs="Arial" w:eastAsia="Arial" w:hAnsi="Arial"/>
          <w:b/>
          <w:bCs/>
          <w:color w:val="1B3A6B"/>
          <w:sz w:val="18"/>
          <w:szCs w:val="18"/>
        </w:rPr>
        <w:t xml:space="preserve">Assessment Basis:  </w:t>
      </w:r>
      <w:r>
        <w:rPr>
          <w:rFonts w:ascii="Arial" w:cs="Arial" w:eastAsia="Arial" w:hAnsi="Arial"/>
          <w:color w:val="1A1A2E"/>
          <w:sz w:val="18"/>
          <w:szCs w:val="18"/>
        </w:rPr>
        <w:t xml:space="preserve">IAM Identity Inventory Q2 2025 (44 identities, 15 risks)</w:t>
      </w:r>
    </w:p>
    <w:p>
      <w:pPr>
        <w:spacing w:after="40" w:before="40"/>
        <w:jc w:val="center"/>
      </w:pPr>
      <w:r>
        <w:rPr>
          <w:rFonts w:ascii="Arial" w:cs="Arial" w:eastAsia="Arial" w:hAnsi="Arial"/>
          <w:b/>
          <w:bCs/>
          <w:color w:val="1B3A6B"/>
          <w:sz w:val="18"/>
          <w:szCs w:val="18"/>
        </w:rPr>
        <w:t xml:space="preserve">Risk Framework:  </w:t>
      </w:r>
      <w:r>
        <w:rPr>
          <w:rFonts w:ascii="Arial" w:cs="Arial" w:eastAsia="Arial" w:hAnsi="Arial"/>
          <w:color w:val="1A1A2E"/>
          <w:sz w:val="18"/>
          <w:szCs w:val="18"/>
        </w:rPr>
        <w:t xml:space="preserve">CIA Triad × Likelihood/Impact Matrix (R-001 – R-015)</w:t>
      </w:r>
    </w:p>
    <w:p>
      <w:pPr>
        <w:spacing w:after="40" w:before="40"/>
        <w:jc w:val="center"/>
      </w:pPr>
      <w:r>
        <w:rPr>
          <w:rFonts w:ascii="Arial" w:cs="Arial" w:eastAsia="Arial" w:hAnsi="Arial"/>
          <w:b/>
          <w:bCs/>
          <w:color w:val="1B3A6B"/>
          <w:sz w:val="18"/>
          <w:szCs w:val="18"/>
        </w:rPr>
        <w:t xml:space="preserve">Regulatory Alignment:  </w:t>
      </w:r>
      <w:r>
        <w:rPr>
          <w:rFonts w:ascii="Arial" w:cs="Arial" w:eastAsia="Arial" w:hAnsi="Arial"/>
          <w:color w:val="1A1A2E"/>
          <w:sz w:val="18"/>
          <w:szCs w:val="18"/>
        </w:rPr>
        <w:t xml:space="preserve">PCI-DSS Level 1, SOC 2 Type II, FFIEC, NIST SP 800-53</w:t>
      </w:r>
    </w:p>
    <w:p>
      <w:pPr>
        <w:spacing w:after="40" w:before="40"/>
        <w:jc w:val="center"/>
      </w:pPr>
      <w:r>
        <w:rPr>
          <w:rFonts w:ascii="Arial" w:cs="Arial" w:eastAsia="Arial" w:hAnsi="Arial"/>
          <w:b/>
          <w:bCs/>
          <w:color w:val="1B3A6B"/>
          <w:sz w:val="18"/>
          <w:szCs w:val="18"/>
        </w:rPr>
        <w:t xml:space="preserve">Document Version:  </w:t>
      </w:r>
      <w:r>
        <w:rPr>
          <w:rFonts w:ascii="Arial" w:cs="Arial" w:eastAsia="Arial" w:hAnsi="Arial"/>
          <w:color w:val="1A1A2E"/>
          <w:sz w:val="18"/>
          <w:szCs w:val="18"/>
        </w:rPr>
        <w:t xml:space="preserve">1.0 — Draft for CISO Review</w:t>
      </w:r>
    </w:p>
    <w:p>
      <w:pPr>
        <w:spacing w:after="0" w:before="400"/>
      </w:pPr>
      <w:r>
        <w:t xml:space="preserve"/>
      </w:r>
    </w:p>
    <w:p>
      <w:pPr>
        <w:jc w:val="center"/>
      </w:pPr>
      <w:r>
        <w:rPr>
          <w:rFonts w:ascii="Arial" w:cs="Arial" w:eastAsia="Arial" w:hAnsi="Arial"/>
          <w:color w:val="C0392B"/>
          <w:sz w:val="17"/>
          <w:szCs w:val="17"/>
        </w:rPr>
        <w:t xml:space="preserve">⚠  Distribution of this document is restricted to Security, Engineering Leadership, and C-Suite only.</w:t>
      </w:r>
    </w:p>
    <w:p>
      <w:r>
        <w:br w:type="page"/>
      </w:r>
    </w:p>
    <w:p>
      <w:pPr>
        <w:pStyle w:val="Heading1"/>
        <w:pBdr>
          <w:bottom w:val="single" w:color="2E5FA3" w:sz="10"/>
        </w:pBdr>
        <w:spacing w:after="160" w:before="440"/>
      </w:pPr>
      <w:r>
        <w:rPr>
          <w:rFonts w:ascii="Arial" w:cs="Arial" w:eastAsia="Arial" w:hAnsi="Arial"/>
          <w:b/>
          <w:bCs/>
          <w:color w:val="1B3A6B"/>
          <w:sz w:val="30"/>
          <w:szCs w:val="30"/>
        </w:rPr>
        <w:t xml:space="preserve">1. Executive Summary</w:t>
      </w:r>
    </w:p>
    <w:p>
      <w:pPr>
        <w:spacing w:after="80" w:before="60"/>
      </w:pPr>
      <w:r>
        <w:rPr>
          <w:rFonts w:ascii="Arial" w:cs="Arial" w:eastAsia="Arial" w:hAnsi="Arial"/>
          <w:color w:val="1A1A2E"/>
          <w:sz w:val="20"/>
          <w:szCs w:val="20"/>
        </w:rPr>
        <w:t xml:space="preserve">This document defines the enterprise security control framework for NovaPay Financial Technologies, derived directly from the IAM Risk Assessment (15 risks, R-001 – R-015) conducted in Q2 2025. Each control is mapped to the specific risk it remediates, assigned an implementation priority, and grounded in recognised standards including NIST SP 800-53, PCI-DSS v4.0, CIS Controls v8, and ISO/IEC 27001:2022.</w:t>
      </w:r>
    </w:p>
    <w:p>
      <w:pPr>
        <w:spacing w:after="0" w:before="80"/>
      </w:pPr>
      <w:r>
        <w:t xml:space="preserve"/>
      </w:r>
    </w:p>
    <w:p>
      <w:pPr>
        <w:spacing w:after="80" w:before="60"/>
      </w:pPr>
      <w:r>
        <w:rPr>
          <w:rFonts w:ascii="Arial" w:cs="Arial" w:eastAsia="Arial" w:hAnsi="Arial"/>
          <w:color w:val="1A1A2E"/>
          <w:sz w:val="20"/>
          <w:szCs w:val="20"/>
        </w:rPr>
        <w:t xml:space="preserve">The assessment identified 44 identities across 5 departments and 5 critical systems presenting risks ranging from active terminated-employee accounts with live AWS permissions, to shared admin accounts bypassing all SSO and MFA controls. Left unaddressed, the highest-severity findings represent direct vectors for financial fraud, cardholder data exposure, and regulatory non-compliance.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800"/>
        <w:gridCol w:w="3760"/>
      </w:tblGrid>
      <w:tr>
        <w:tc>
          <w:tcPr>
            <w:tcW w:type="dxa" w:w="1600"/>
            <w:tcBorders>
              <w:top w:val="single" w:color="1B3A6B" w:sz="6"/>
              <w:left w:val="single" w:color="1B3A6B" w:sz="6"/>
              <w:bottom w:val="single" w:color="1B3A6B" w:sz="6"/>
              <w:right w:val="single" w:color="1B3A6B" w:sz="6"/>
            </w:tcBorders>
            <w:shd w:fill="1B3A6B" w:val="clear"/>
            <w:tcMar>
              <w:top w:type="dxa" w:w="110"/>
              <w:left w:type="dxa" w:w="160"/>
              <w:bottom w:type="dxa" w:w="110"/>
              <w:right w:type="dxa" w:w="160"/>
            </w:tcMar>
          </w:tcPr>
          <w:p>
            <w:pPr>
              <w:spacing w:after="0" w:before="0"/>
              <w:jc w:val="center"/>
            </w:pPr>
            <w:r>
              <w:rPr>
                <w:rFonts w:ascii="Arial" w:cs="Arial" w:eastAsia="Arial" w:hAnsi="Arial"/>
                <w:b/>
                <w:bCs/>
                <w:color w:val="FFFFFF"/>
                <w:sz w:val="18"/>
                <w:szCs w:val="18"/>
              </w:rPr>
              <w:t xml:space="preserve">Risk Level</w:t>
            </w:r>
          </w:p>
        </w:tc>
        <w:tc>
          <w:tcPr>
            <w:tcW w:type="dxa" w:w="1200"/>
            <w:tcBorders>
              <w:top w:val="single" w:color="1B3A6B" w:sz="6"/>
              <w:left w:val="single" w:color="1B3A6B" w:sz="6"/>
              <w:bottom w:val="single" w:color="1B3A6B" w:sz="6"/>
              <w:right w:val="single" w:color="1B3A6B" w:sz="6"/>
            </w:tcBorders>
            <w:shd w:fill="1B3A6B" w:val="clear"/>
            <w:tcMar>
              <w:top w:type="dxa" w:w="110"/>
              <w:left w:type="dxa" w:w="160"/>
              <w:bottom w:type="dxa" w:w="110"/>
              <w:right w:type="dxa" w:w="160"/>
            </w:tcMar>
          </w:tcPr>
          <w:p>
            <w:pPr>
              <w:spacing w:after="0" w:before="0"/>
              <w:jc w:val="center"/>
            </w:pPr>
            <w:r>
              <w:rPr>
                <w:rFonts w:ascii="Arial" w:cs="Arial" w:eastAsia="Arial" w:hAnsi="Arial"/>
                <w:b/>
                <w:bCs/>
                <w:color w:val="FFFFFF"/>
                <w:sz w:val="18"/>
                <w:szCs w:val="18"/>
              </w:rPr>
              <w:t xml:space="preserve">Open Risks</w:t>
            </w:r>
          </w:p>
        </w:tc>
        <w:tc>
          <w:tcPr>
            <w:tcW w:type="dxa" w:w="2800"/>
            <w:tcBorders>
              <w:top w:val="single" w:color="1B3A6B" w:sz="6"/>
              <w:left w:val="single" w:color="1B3A6B" w:sz="6"/>
              <w:bottom w:val="single" w:color="1B3A6B" w:sz="6"/>
              <w:right w:val="single" w:color="1B3A6B" w:sz="6"/>
            </w:tcBorders>
            <w:shd w:fill="1B3A6B" w:val="clear"/>
            <w:tcMar>
              <w:top w:type="dxa" w:w="110"/>
              <w:left w:type="dxa" w:w="160"/>
              <w:bottom w:type="dxa" w:w="110"/>
              <w:right w:type="dxa" w:w="160"/>
            </w:tcMar>
          </w:tcPr>
          <w:p>
            <w:pPr>
              <w:spacing w:after="0" w:before="0"/>
              <w:jc w:val="center"/>
            </w:pPr>
            <w:r>
              <w:rPr>
                <w:rFonts w:ascii="Arial" w:cs="Arial" w:eastAsia="Arial" w:hAnsi="Arial"/>
                <w:b/>
                <w:bCs/>
                <w:color w:val="FFFFFF"/>
                <w:sz w:val="18"/>
                <w:szCs w:val="18"/>
              </w:rPr>
              <w:t xml:space="preserve">Target Resolution</w:t>
            </w:r>
          </w:p>
        </w:tc>
        <w:tc>
          <w:tcPr>
            <w:tcW w:type="dxa" w:w="3760"/>
            <w:tcBorders>
              <w:top w:val="single" w:color="1B3A6B" w:sz="6"/>
              <w:left w:val="single" w:color="1B3A6B" w:sz="6"/>
              <w:bottom w:val="single" w:color="1B3A6B" w:sz="6"/>
              <w:right w:val="single" w:color="1B3A6B" w:sz="6"/>
            </w:tcBorders>
            <w:shd w:fill="1B3A6B" w:val="clear"/>
            <w:tcMar>
              <w:top w:type="dxa" w:w="110"/>
              <w:left w:type="dxa" w:w="160"/>
              <w:bottom w:type="dxa" w:w="110"/>
              <w:right w:type="dxa" w:w="160"/>
            </w:tcMar>
          </w:tcPr>
          <w:p>
            <w:pPr>
              <w:spacing w:after="0" w:before="0"/>
              <w:jc w:val="center"/>
            </w:pPr>
            <w:r>
              <w:rPr>
                <w:rFonts w:ascii="Arial" w:cs="Arial" w:eastAsia="Arial" w:hAnsi="Arial"/>
                <w:b/>
                <w:bCs/>
                <w:color w:val="FFFFFF"/>
                <w:sz w:val="18"/>
                <w:szCs w:val="18"/>
              </w:rPr>
              <w:t xml:space="preserve">Primary Owner</w:t>
            </w:r>
          </w:p>
        </w:tc>
      </w:tr>
      <w:tr>
        <w:tc>
          <w:tcPr>
            <w:tcW w:type="dxa" w:w="1600"/>
            <w:tcBorders>
              <w:top w:val="single" w:color="D0D5E8" w:sz="4"/>
              <w:left w:val="single" w:color="D0D5E8" w:sz="4"/>
              <w:bottom w:val="single" w:color="D0D5E8" w:sz="4"/>
              <w:right w:val="single" w:color="D0D5E8" w:sz="4"/>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CRITICAL</w:t>
            </w:r>
          </w:p>
        </w:tc>
        <w:tc>
          <w:tcPr>
            <w:tcW w:type="dxa" w:w="1200"/>
            <w:tcBorders>
              <w:top w:val="single" w:color="D0D5E8" w:sz="4"/>
              <w:left w:val="single" w:color="D0D5E8" w:sz="4"/>
              <w:bottom w:val="single" w:color="D0D5E8" w:sz="4"/>
              <w:right w:val="single" w:color="D0D5E8" w:sz="4"/>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22"/>
                <w:szCs w:val="22"/>
              </w:rPr>
              <w:t xml:space="preserve">7</w:t>
            </w:r>
          </w:p>
        </w:tc>
        <w:tc>
          <w:tcPr>
            <w:tcW w:type="dxa" w:w="28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Immediate — ≤ 7 days</w:t>
            </w:r>
          </w:p>
        </w:tc>
        <w:tc>
          <w:tcPr>
            <w:tcW w:type="dxa" w:w="376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CISO + IAM Team</w:t>
            </w:r>
          </w:p>
        </w:tc>
      </w:tr>
      <w:tr>
        <w:tc>
          <w:tcPr>
            <w:tcW w:type="dxa" w:w="160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HIGH</w:t>
            </w:r>
          </w:p>
        </w:tc>
        <w:tc>
          <w:tcPr>
            <w:tcW w:type="dxa" w:w="120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22"/>
                <w:szCs w:val="22"/>
              </w:rPr>
              <w:t xml:space="preserve">5</w:t>
            </w:r>
          </w:p>
        </w:tc>
        <w:tc>
          <w:tcPr>
            <w:tcW w:type="dxa" w:w="28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Short-term — ≤ 14 days</w:t>
            </w:r>
          </w:p>
        </w:tc>
        <w:tc>
          <w:tcPr>
            <w:tcW w:type="dxa" w:w="376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Dept Leads + IAM</w:t>
            </w:r>
          </w:p>
        </w:tc>
      </w:tr>
      <w:tr>
        <w:tc>
          <w:tcPr>
            <w:tcW w:type="dxa" w:w="16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MEDIUM</w:t>
            </w:r>
          </w:p>
        </w:tc>
        <w:tc>
          <w:tcPr>
            <w:tcW w:type="dxa" w:w="12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22"/>
                <w:szCs w:val="22"/>
              </w:rPr>
              <w:t xml:space="preserve">2</w:t>
            </w:r>
          </w:p>
        </w:tc>
        <w:tc>
          <w:tcPr>
            <w:tcW w:type="dxa" w:w="28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Standard — ≤ 30 days</w:t>
            </w:r>
          </w:p>
        </w:tc>
        <w:tc>
          <w:tcPr>
            <w:tcW w:type="dxa" w:w="376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IT / IAM</w:t>
            </w:r>
          </w:p>
        </w:tc>
      </w:tr>
      <w:tr>
        <w:tc>
          <w:tcPr>
            <w:tcW w:type="dxa" w:w="1600"/>
            <w:tcBorders>
              <w:top w:val="single" w:color="D0D5E8" w:sz="4"/>
              <w:left w:val="single" w:color="D0D5E8" w:sz="4"/>
              <w:bottom w:val="single" w:color="D0D5E8" w:sz="4"/>
              <w:right w:val="single" w:color="D0D5E8" w:sz="4"/>
            </w:tcBorders>
            <w:shd w:fill="E8F5EE" w:val="clear"/>
            <w:tcMar>
              <w:top w:type="dxa" w:w="100"/>
              <w:left w:type="dxa" w:w="160"/>
              <w:bottom w:type="dxa" w:w="100"/>
              <w:right w:type="dxa" w:w="160"/>
            </w:tcMar>
          </w:tcPr>
          <w:p>
            <w:pPr>
              <w:spacing w:after="0" w:before="0"/>
              <w:jc w:val="center"/>
            </w:pPr>
            <w:r>
              <w:rPr>
                <w:rFonts w:ascii="Arial" w:cs="Arial" w:eastAsia="Arial" w:hAnsi="Arial"/>
                <w:b/>
                <w:bCs/>
                <w:color w:val="155E38"/>
                <w:sz w:val="18"/>
                <w:szCs w:val="18"/>
              </w:rPr>
              <w:t xml:space="preserve">LOW</w:t>
            </w:r>
          </w:p>
        </w:tc>
        <w:tc>
          <w:tcPr>
            <w:tcW w:type="dxa" w:w="1200"/>
            <w:tcBorders>
              <w:top w:val="single" w:color="D0D5E8" w:sz="4"/>
              <w:left w:val="single" w:color="D0D5E8" w:sz="4"/>
              <w:bottom w:val="single" w:color="D0D5E8" w:sz="4"/>
              <w:right w:val="single" w:color="D0D5E8" w:sz="4"/>
            </w:tcBorders>
            <w:shd w:fill="E8F5EE" w:val="clear"/>
            <w:tcMar>
              <w:top w:type="dxa" w:w="100"/>
              <w:left w:type="dxa" w:w="160"/>
              <w:bottom w:type="dxa" w:w="100"/>
              <w:right w:type="dxa" w:w="160"/>
            </w:tcMar>
          </w:tcPr>
          <w:p>
            <w:pPr>
              <w:spacing w:after="0" w:before="0"/>
              <w:jc w:val="center"/>
            </w:pPr>
            <w:r>
              <w:rPr>
                <w:rFonts w:ascii="Arial" w:cs="Arial" w:eastAsia="Arial" w:hAnsi="Arial"/>
                <w:b/>
                <w:bCs/>
                <w:color w:val="155E38"/>
                <w:sz w:val="22"/>
                <w:szCs w:val="22"/>
              </w:rPr>
              <w:t xml:space="preserve">1</w:t>
            </w:r>
          </w:p>
        </w:tc>
        <w:tc>
          <w:tcPr>
            <w:tcW w:type="dxa" w:w="28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Planned — ≤ 90 days</w:t>
            </w:r>
          </w:p>
        </w:tc>
        <w:tc>
          <w:tcPr>
            <w:tcW w:type="dxa" w:w="376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Security Ops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8"/>
              <w:left w:val="single" w:color="2E5FA3" w:sz="24"/>
              <w:bottom w:val="single" w:color="2E5FA3" w:sz="4"/>
              <w:right w:val="single" w:color="2E5FA3" w:sz="4"/>
            </w:tcBorders>
            <w:shd w:fill="EEF4FF" w:val="clear"/>
            <w:tcMar>
              <w:top w:type="dxa" w:w="120"/>
              <w:left w:type="dxa" w:w="200"/>
              <w:bottom w:type="dxa" w:w="120"/>
              <w:right w:type="dxa" w:w="160"/>
            </w:tcMar>
          </w:tcPr>
          <w:p>
            <w:pPr>
              <w:spacing w:after="40" w:before="0"/>
            </w:pPr>
            <w:r>
              <w:rPr>
                <w:rFonts w:ascii="Arial" w:cs="Arial" w:eastAsia="Arial" w:hAnsi="Arial"/>
                <w:b/>
                <w:bCs/>
                <w:color w:val="2E5FA3"/>
                <w:sz w:val="18"/>
                <w:szCs w:val="18"/>
              </w:rPr>
              <w:t xml:space="preserve">Key Principle — Defence in Depth</w:t>
            </w:r>
          </w:p>
          <w:p>
            <w:pPr>
              <w:spacing w:after="0" w:before="0"/>
            </w:pPr>
            <w:r>
              <w:rPr>
                <w:rFonts w:ascii="Arial" w:cs="Arial" w:eastAsia="Arial" w:hAnsi="Arial"/>
                <w:color w:val="1A1A2E"/>
                <w:sz w:val="18"/>
                <w:szCs w:val="18"/>
              </w:rPr>
              <w:t xml:space="preserve">No single control is sufficient. Controls in this document are designed as overlapping layers: MFA prevents credential-based compromise; RBAC limits blast radius if credentials are stolen; PAM ensures auditability if privilege is abused; SIEM detects anomalies when controls are bypassed. Implementing any single layer in isolation leaves the others exposed.</w:t>
            </w:r>
          </w:p>
        </w:tc>
      </w:tr>
    </w:tbl>
    <w:p>
      <w:r>
        <w:br w:type="page"/>
      </w:r>
    </w:p>
    <w:p>
      <w:pPr>
        <w:pStyle w:val="Heading1"/>
        <w:pBdr>
          <w:bottom w:val="single" w:color="2E5FA3" w:sz="10"/>
        </w:pBdr>
        <w:spacing w:after="160" w:before="440"/>
      </w:pPr>
      <w:r>
        <w:rPr>
          <w:rFonts w:ascii="Arial" w:cs="Arial" w:eastAsia="Arial" w:hAnsi="Arial"/>
          <w:b/>
          <w:bCs/>
          <w:color w:val="1B3A6B"/>
          <w:sz w:val="30"/>
          <w:szCs w:val="30"/>
        </w:rPr>
        <w:t xml:space="preserve">2. Control Framework Overview</w:t>
      </w:r>
    </w:p>
    <w:p>
      <w:pPr>
        <w:spacing w:after="80" w:before="60"/>
      </w:pPr>
      <w:r>
        <w:rPr>
          <w:rFonts w:ascii="Arial" w:cs="Arial" w:eastAsia="Arial" w:hAnsi="Arial"/>
          <w:color w:val="1A1A2E"/>
          <w:sz w:val="20"/>
          <w:szCs w:val="20"/>
        </w:rPr>
        <w:t xml:space="preserve">Controls are organised into 8 domains, each aligned to a specific class of IAM risk identified in the assessment. The table below provides a navigation index — each domain is detailed in full in Sections 3–10.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000"/>
        <w:gridCol w:w="1900"/>
        <w:gridCol w:w="3460"/>
      </w:tblGrid>
      <w:tr>
        <w:tc>
          <w:tcPr>
            <w:tcW w:type="dxa" w:w="1000"/>
            <w:tcBorders>
              <w:top w:val="single" w:color="1B3A6B" w:sz="6"/>
              <w:left w:val="single" w:color="1B3A6B" w:sz="6"/>
              <w:bottom w:val="single" w:color="1B3A6B" w:sz="6"/>
              <w:right w:val="single" w:color="1B3A6B" w:sz="6"/>
            </w:tcBorders>
            <w:shd w:fill="1B3A6B" w:val="clear"/>
            <w:tcMar>
              <w:top w:type="dxa" w:w="110"/>
              <w:left w:type="dxa" w:w="160"/>
              <w:bottom w:type="dxa" w:w="110"/>
              <w:right w:type="dxa" w:w="160"/>
            </w:tcMar>
          </w:tcPr>
          <w:p>
            <w:pPr>
              <w:spacing w:after="0" w:before="0"/>
              <w:jc w:val="center"/>
            </w:pPr>
            <w:r>
              <w:rPr>
                <w:rFonts w:ascii="Arial" w:cs="Arial" w:eastAsia="Arial" w:hAnsi="Arial"/>
                <w:b/>
                <w:bCs/>
                <w:color w:val="FFFFFF"/>
                <w:sz w:val="18"/>
                <w:szCs w:val="18"/>
              </w:rPr>
              <w:t xml:space="preserve">Domain ID</w:t>
            </w:r>
          </w:p>
        </w:tc>
        <w:tc>
          <w:tcPr>
            <w:tcW w:type="dxa" w:w="2000"/>
            <w:tcBorders>
              <w:top w:val="single" w:color="1B3A6B" w:sz="6"/>
              <w:left w:val="single" w:color="1B3A6B" w:sz="6"/>
              <w:bottom w:val="single" w:color="1B3A6B" w:sz="6"/>
              <w:right w:val="single" w:color="1B3A6B" w:sz="6"/>
            </w:tcBorders>
            <w:shd w:fill="1B3A6B" w:val="clear"/>
            <w:tcMar>
              <w:top w:type="dxa" w:w="110"/>
              <w:left w:type="dxa" w:w="160"/>
              <w:bottom w:type="dxa" w:w="110"/>
              <w:right w:type="dxa" w:w="160"/>
            </w:tcMar>
          </w:tcPr>
          <w:p>
            <w:pPr>
              <w:spacing w:after="0" w:before="0"/>
              <w:jc w:val="center"/>
            </w:pPr>
            <w:r>
              <w:rPr>
                <w:rFonts w:ascii="Arial" w:cs="Arial" w:eastAsia="Arial" w:hAnsi="Arial"/>
                <w:b/>
                <w:bCs/>
                <w:color w:val="FFFFFF"/>
                <w:sz w:val="18"/>
                <w:szCs w:val="18"/>
              </w:rPr>
              <w:t xml:space="preserve">Control Domain</w:t>
            </w:r>
          </w:p>
        </w:tc>
        <w:tc>
          <w:tcPr>
            <w:tcW w:type="dxa" w:w="1000"/>
            <w:tcBorders>
              <w:top w:val="single" w:color="1B3A6B" w:sz="6"/>
              <w:left w:val="single" w:color="1B3A6B" w:sz="6"/>
              <w:bottom w:val="single" w:color="1B3A6B" w:sz="6"/>
              <w:right w:val="single" w:color="1B3A6B" w:sz="6"/>
            </w:tcBorders>
            <w:shd w:fill="1B3A6B" w:val="clear"/>
            <w:tcMar>
              <w:top w:type="dxa" w:w="110"/>
              <w:left w:type="dxa" w:w="160"/>
              <w:bottom w:type="dxa" w:w="110"/>
              <w:right w:type="dxa" w:w="160"/>
            </w:tcMar>
          </w:tcPr>
          <w:p>
            <w:pPr>
              <w:spacing w:after="0" w:before="0"/>
              <w:jc w:val="center"/>
            </w:pPr>
            <w:r>
              <w:rPr>
                <w:rFonts w:ascii="Arial" w:cs="Arial" w:eastAsia="Arial" w:hAnsi="Arial"/>
                <w:b/>
                <w:bCs/>
                <w:color w:val="FFFFFF"/>
                <w:sz w:val="18"/>
                <w:szCs w:val="18"/>
              </w:rPr>
              <w:t xml:space="preserve">Controls</w:t>
            </w:r>
          </w:p>
        </w:tc>
        <w:tc>
          <w:tcPr>
            <w:tcW w:type="dxa" w:w="1900"/>
            <w:tcBorders>
              <w:top w:val="single" w:color="1B3A6B" w:sz="6"/>
              <w:left w:val="single" w:color="1B3A6B" w:sz="6"/>
              <w:bottom w:val="single" w:color="1B3A6B" w:sz="6"/>
              <w:right w:val="single" w:color="1B3A6B" w:sz="6"/>
            </w:tcBorders>
            <w:shd w:fill="1B3A6B" w:val="clear"/>
            <w:tcMar>
              <w:top w:type="dxa" w:w="110"/>
              <w:left w:type="dxa" w:w="160"/>
              <w:bottom w:type="dxa" w:w="110"/>
              <w:right w:type="dxa" w:w="160"/>
            </w:tcMar>
          </w:tcPr>
          <w:p>
            <w:pPr>
              <w:spacing w:after="0" w:before="0"/>
              <w:jc w:val="center"/>
            </w:pPr>
            <w:r>
              <w:rPr>
                <w:rFonts w:ascii="Arial" w:cs="Arial" w:eastAsia="Arial" w:hAnsi="Arial"/>
                <w:b/>
                <w:bCs/>
                <w:color w:val="FFFFFF"/>
                <w:sz w:val="18"/>
                <w:szCs w:val="18"/>
              </w:rPr>
              <w:t xml:space="preserve">Risks Addressed</w:t>
            </w:r>
          </w:p>
        </w:tc>
        <w:tc>
          <w:tcPr>
            <w:tcW w:type="dxa" w:w="3460"/>
            <w:tcBorders>
              <w:top w:val="single" w:color="1B3A6B" w:sz="6"/>
              <w:left w:val="single" w:color="1B3A6B" w:sz="6"/>
              <w:bottom w:val="single" w:color="1B3A6B" w:sz="6"/>
              <w:right w:val="single" w:color="1B3A6B" w:sz="6"/>
            </w:tcBorders>
            <w:shd w:fill="1B3A6B" w:val="clear"/>
            <w:tcMar>
              <w:top w:type="dxa" w:w="110"/>
              <w:left w:type="dxa" w:w="160"/>
              <w:bottom w:type="dxa" w:w="110"/>
              <w:right w:type="dxa" w:w="160"/>
            </w:tcMar>
          </w:tcPr>
          <w:p>
            <w:pPr>
              <w:spacing w:after="0" w:before="0"/>
              <w:jc w:val="center"/>
            </w:pPr>
            <w:r>
              <w:rPr>
                <w:rFonts w:ascii="Arial" w:cs="Arial" w:eastAsia="Arial" w:hAnsi="Arial"/>
                <w:b/>
                <w:bCs/>
                <w:color w:val="FFFFFF"/>
                <w:sz w:val="18"/>
                <w:szCs w:val="18"/>
              </w:rPr>
              <w:t xml:space="preserve">Primary Technology</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CTL-MFA</w:t>
            </w:r>
          </w:p>
        </w:tc>
        <w:tc>
          <w:tcPr>
            <w:tcW w:type="dxa" w:w="20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MFA Improvements</w:t>
            </w:r>
          </w:p>
        </w:tc>
        <w:tc>
          <w:tcPr>
            <w:tcW w:type="dxa" w:w="10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center"/>
            </w:pPr>
            <w:r>
              <w:rPr>
                <w:rFonts w:ascii="Arial" w:cs="Arial" w:eastAsia="Arial" w:hAnsi="Arial"/>
                <w:b w:val="false"/>
                <w:bCs w:val="false"/>
                <w:color w:val="1A1A2E"/>
                <w:sz w:val="18"/>
                <w:szCs w:val="18"/>
              </w:rPr>
              <w:t xml:space="preserve">4 controls</w:t>
            </w:r>
          </w:p>
        </w:tc>
        <w:tc>
          <w:tcPr>
            <w:tcW w:type="dxa" w:w="19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R-007, R-010</w:t>
            </w:r>
          </w:p>
        </w:tc>
        <w:tc>
          <w:tcPr>
            <w:tcW w:type="dxa" w:w="346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Okta, YubiKey, Authenticator</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CTL-SSO</w:t>
            </w:r>
          </w:p>
        </w:tc>
        <w:tc>
          <w:tcPr>
            <w:tcW w:type="dxa" w:w="20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SSO Consolidation</w:t>
            </w:r>
          </w:p>
        </w:tc>
        <w:tc>
          <w:tcPr>
            <w:tcW w:type="dxa" w:w="10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center"/>
            </w:pPr>
            <w:r>
              <w:rPr>
                <w:rFonts w:ascii="Arial" w:cs="Arial" w:eastAsia="Arial" w:hAnsi="Arial"/>
                <w:b w:val="false"/>
                <w:bCs w:val="false"/>
                <w:color w:val="1A1A2E"/>
                <w:sz w:val="18"/>
                <w:szCs w:val="18"/>
              </w:rPr>
              <w:t xml:space="preserve">3 controls</w:t>
            </w:r>
          </w:p>
        </w:tc>
        <w:tc>
          <w:tcPr>
            <w:tcW w:type="dxa" w:w="19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R-001</w:t>
            </w:r>
          </w:p>
        </w:tc>
        <w:tc>
          <w:tcPr>
            <w:tcW w:type="dxa" w:w="34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Okta Identity Cloud, SAML 2.0</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CTL-RBAC</w:t>
            </w:r>
          </w:p>
        </w:tc>
        <w:tc>
          <w:tcPr>
            <w:tcW w:type="dxa" w:w="20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RBAC Corrections</w:t>
            </w:r>
          </w:p>
        </w:tc>
        <w:tc>
          <w:tcPr>
            <w:tcW w:type="dxa" w:w="10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center"/>
            </w:pPr>
            <w:r>
              <w:rPr>
                <w:rFonts w:ascii="Arial" w:cs="Arial" w:eastAsia="Arial" w:hAnsi="Arial"/>
                <w:b w:val="false"/>
                <w:bCs w:val="false"/>
                <w:color w:val="1A1A2E"/>
                <w:sz w:val="18"/>
                <w:szCs w:val="18"/>
              </w:rPr>
              <w:t xml:space="preserve">5 controls</w:t>
            </w:r>
          </w:p>
        </w:tc>
        <w:tc>
          <w:tcPr>
            <w:tcW w:type="dxa" w:w="19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R-008, R-009</w:t>
            </w:r>
          </w:p>
        </w:tc>
        <w:tc>
          <w:tcPr>
            <w:tcW w:type="dxa" w:w="346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SailPoint, Okta Groups, IGA</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CTL-LPE</w:t>
            </w:r>
          </w:p>
        </w:tc>
        <w:tc>
          <w:tcPr>
            <w:tcW w:type="dxa" w:w="20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Least Privilege Enforcement</w:t>
            </w:r>
          </w:p>
        </w:tc>
        <w:tc>
          <w:tcPr>
            <w:tcW w:type="dxa" w:w="10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center"/>
            </w:pPr>
            <w:r>
              <w:rPr>
                <w:rFonts w:ascii="Arial" w:cs="Arial" w:eastAsia="Arial" w:hAnsi="Arial"/>
                <w:b w:val="false"/>
                <w:bCs w:val="false"/>
                <w:color w:val="1A1A2E"/>
                <w:sz w:val="18"/>
                <w:szCs w:val="18"/>
              </w:rPr>
              <w:t xml:space="preserve">4 controls</w:t>
            </w:r>
          </w:p>
        </w:tc>
        <w:tc>
          <w:tcPr>
            <w:tcW w:type="dxa" w:w="19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R-002, R-003, R-012</w:t>
            </w:r>
          </w:p>
        </w:tc>
        <w:tc>
          <w:tcPr>
            <w:tcW w:type="dxa" w:w="34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AWS IAM, HashiCorp Vault</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CTL-PWD</w:t>
            </w:r>
          </w:p>
        </w:tc>
        <w:tc>
          <w:tcPr>
            <w:tcW w:type="dxa" w:w="20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Password &amp; Credential Policy</w:t>
            </w:r>
          </w:p>
        </w:tc>
        <w:tc>
          <w:tcPr>
            <w:tcW w:type="dxa" w:w="10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center"/>
            </w:pPr>
            <w:r>
              <w:rPr>
                <w:rFonts w:ascii="Arial" w:cs="Arial" w:eastAsia="Arial" w:hAnsi="Arial"/>
                <w:b w:val="false"/>
                <w:bCs w:val="false"/>
                <w:color w:val="1A1A2E"/>
                <w:sz w:val="18"/>
                <w:szCs w:val="18"/>
              </w:rPr>
              <w:t xml:space="preserve">3 controls</w:t>
            </w:r>
          </w:p>
        </w:tc>
        <w:tc>
          <w:tcPr>
            <w:tcW w:type="dxa" w:w="19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R-001, R-002, R-003</w:t>
            </w:r>
          </w:p>
        </w:tc>
        <w:tc>
          <w:tcPr>
            <w:tcW w:type="dxa" w:w="346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Vault, Okta Password Policy</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CTL-MON</w:t>
            </w:r>
          </w:p>
        </w:tc>
        <w:tc>
          <w:tcPr>
            <w:tcW w:type="dxa" w:w="20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Monitoring &amp; Detection</w:t>
            </w:r>
          </w:p>
        </w:tc>
        <w:tc>
          <w:tcPr>
            <w:tcW w:type="dxa" w:w="10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center"/>
            </w:pPr>
            <w:r>
              <w:rPr>
                <w:rFonts w:ascii="Arial" w:cs="Arial" w:eastAsia="Arial" w:hAnsi="Arial"/>
                <w:b w:val="false"/>
                <w:bCs w:val="false"/>
                <w:color w:val="1A1A2E"/>
                <w:sz w:val="18"/>
                <w:szCs w:val="18"/>
              </w:rPr>
              <w:t xml:space="preserve">5 controls</w:t>
            </w:r>
          </w:p>
        </w:tc>
        <w:tc>
          <w:tcPr>
            <w:tcW w:type="dxa" w:w="19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R-004–R-015</w:t>
            </w:r>
          </w:p>
        </w:tc>
        <w:tc>
          <w:tcPr>
            <w:tcW w:type="dxa" w:w="34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Splunk SIEM, CyberArk PAM, CloudTrail</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CTL-LCM</w:t>
            </w:r>
          </w:p>
        </w:tc>
        <w:tc>
          <w:tcPr>
            <w:tcW w:type="dxa" w:w="20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Identity Lifecycle Mgmt</w:t>
            </w:r>
          </w:p>
        </w:tc>
        <w:tc>
          <w:tcPr>
            <w:tcW w:type="dxa" w:w="10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center"/>
            </w:pPr>
            <w:r>
              <w:rPr>
                <w:rFonts w:ascii="Arial" w:cs="Arial" w:eastAsia="Arial" w:hAnsi="Arial"/>
                <w:b w:val="false"/>
                <w:bCs w:val="false"/>
                <w:color w:val="1A1A2E"/>
                <w:sz w:val="18"/>
                <w:szCs w:val="18"/>
              </w:rPr>
              <w:t xml:space="preserve">4 controls</w:t>
            </w:r>
          </w:p>
        </w:tc>
        <w:tc>
          <w:tcPr>
            <w:tcW w:type="dxa" w:w="19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R-004, R-005, R-006</w:t>
            </w:r>
          </w:p>
        </w:tc>
        <w:tc>
          <w:tcPr>
            <w:tcW w:type="dxa" w:w="346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SailPoint, Okta Workflows, HR integration</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CTL-PAM</w:t>
            </w:r>
          </w:p>
        </w:tc>
        <w:tc>
          <w:tcPr>
            <w:tcW w:type="dxa" w:w="20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Privileged Access Mgmt</w:t>
            </w:r>
          </w:p>
        </w:tc>
        <w:tc>
          <w:tcPr>
            <w:tcW w:type="dxa" w:w="10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center"/>
            </w:pPr>
            <w:r>
              <w:rPr>
                <w:rFonts w:ascii="Arial" w:cs="Arial" w:eastAsia="Arial" w:hAnsi="Arial"/>
                <w:b w:val="false"/>
                <w:bCs w:val="false"/>
                <w:color w:val="1A1A2E"/>
                <w:sz w:val="18"/>
                <w:szCs w:val="18"/>
              </w:rPr>
              <w:t xml:space="preserve">3 controls</w:t>
            </w:r>
          </w:p>
        </w:tc>
        <w:tc>
          <w:tcPr>
            <w:tcW w:type="dxa" w:w="19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R-001, R-013, R-015</w:t>
            </w:r>
          </w:p>
        </w:tc>
        <w:tc>
          <w:tcPr>
            <w:tcW w:type="dxa" w:w="34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CyberArk, AWS IAM, Session recording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8"/>
              <w:left w:val="single" w:color="2E5FA3" w:sz="24"/>
              <w:bottom w:val="single" w:color="2E5FA3" w:sz="4"/>
              <w:right w:val="single" w:color="2E5FA3" w:sz="4"/>
            </w:tcBorders>
            <w:shd w:fill="EEF4FF" w:val="clear"/>
            <w:tcMar>
              <w:top w:type="dxa" w:w="120"/>
              <w:left w:type="dxa" w:w="200"/>
              <w:bottom w:type="dxa" w:w="120"/>
              <w:right w:type="dxa" w:w="160"/>
            </w:tcMar>
          </w:tcPr>
          <w:p>
            <w:pPr>
              <w:spacing w:after="40" w:before="0"/>
            </w:pPr>
            <w:r>
              <w:rPr>
                <w:rFonts w:ascii="Arial" w:cs="Arial" w:eastAsia="Arial" w:hAnsi="Arial"/>
                <w:b/>
                <w:bCs/>
                <w:color w:val="2E5FA3"/>
                <w:sz w:val="18"/>
                <w:szCs w:val="18"/>
              </w:rPr>
              <w:t xml:space="preserve">Standards Alignment</w:t>
            </w:r>
          </w:p>
          <w:p>
            <w:pPr>
              <w:spacing w:after="0" w:before="0"/>
            </w:pPr>
            <w:r>
              <w:rPr>
                <w:rFonts w:ascii="Arial" w:cs="Arial" w:eastAsia="Arial" w:hAnsi="Arial"/>
                <w:color w:val="1A1A2E"/>
                <w:sz w:val="18"/>
                <w:szCs w:val="18"/>
              </w:rPr>
              <w:t xml:space="preserve">All controls in this framework are mapped to: NIST SP 800-53 Rev 5 (AC, IA, AU control families) | PCI-DSS v4.0 (Requirements 7, 8, 10, 12) | CIS Controls v8 (Controls 4, 5, 6) | ISO/IEC 27001:2022 (Annex A.5, A.8, A.9). Specific control references are cited per domain in the sections below.</w:t>
            </w:r>
          </w:p>
        </w:tc>
      </w:tr>
    </w:tbl>
    <w:p>
      <w:r>
        <w:br w:type="page"/>
      </w:r>
    </w:p>
    <w:p>
      <w:pPr>
        <w:pStyle w:val="Heading1"/>
        <w:pBdr>
          <w:bottom w:val="single" w:color="2E5FA3" w:sz="10"/>
        </w:pBdr>
        <w:spacing w:after="160" w:before="440"/>
      </w:pPr>
      <w:r>
        <w:rPr>
          <w:rFonts w:ascii="Arial" w:cs="Arial" w:eastAsia="Arial" w:hAnsi="Arial"/>
          <w:b/>
          <w:bCs/>
          <w:color w:val="1B3A6B"/>
          <w:sz w:val="30"/>
          <w:szCs w:val="30"/>
        </w:rPr>
        <w:t xml:space="preserve">3. MFA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tcPr>
          <w:p>
            <w:pPr>
              <w:spacing w:after="20" w:before="0"/>
            </w:pPr>
            <w:r>
              <w:rPr>
                <w:rFonts w:ascii="Arial" w:cs="Arial" w:eastAsia="Arial" w:hAnsi="Arial"/>
                <w:b/>
                <w:bCs/>
                <w:color w:val="FFFFFF"/>
                <w:sz w:val="15"/>
                <w:szCs w:val="15"/>
              </w:rPr>
              <w:t xml:space="preserve">Domain</w:t>
            </w:r>
          </w:p>
          <w:p>
            <w:pPr>
              <w:spacing w:after="0" w:before="0"/>
            </w:pPr>
            <w:r>
              <w:rPr>
                <w:rFonts w:ascii="Arial" w:cs="Arial" w:eastAsia="Arial" w:hAnsi="Arial"/>
                <w:b/>
                <w:bCs/>
                <w:color w:val="D6E4F7"/>
                <w:sz w:val="20"/>
                <w:szCs w:val="20"/>
              </w:rPr>
              <w:t xml:space="preserve">CTL-MFA</w:t>
            </w:r>
          </w:p>
        </w:tc>
        <w:tc>
          <w:tcPr>
            <w:tcW w:type="dxa" w:w="8160"/>
            <w:tcBorders>
              <w:top w:val="single" w:color="1B3A6B" w:sz="6"/>
              <w:left w:val="single" w:color="1B3A6B" w:sz="6"/>
              <w:bottom w:val="single" w:color="1B3A6B" w:sz="6"/>
              <w:right w:val="single" w:color="1B3A6B" w:sz="6"/>
            </w:tcBorders>
            <w:shd w:fill="EEF4FF" w:val="clear"/>
            <w:tcMar>
              <w:top w:type="dxa" w:w="100"/>
              <w:left w:type="dxa" w:w="200"/>
              <w:bottom w:type="dxa" w:w="100"/>
              <w:right w:type="dxa" w:w="160"/>
            </w:tcMar>
          </w:tcPr>
          <w:p>
            <w:pPr>
              <w:spacing w:after="0" w:before="0"/>
            </w:pPr>
            <w:r>
              <w:rPr>
                <w:rFonts w:ascii="Arial" w:cs="Arial" w:eastAsia="Arial" w:hAnsi="Arial"/>
                <w:color w:val="1A1A2E"/>
                <w:sz w:val="19"/>
                <w:szCs w:val="19"/>
              </w:rPr>
              <w:t xml:space="preserve">The assessment identified 6 human accounts with no MFA (including a Finance Manager with Level 4 access) and 5 expired exemptions with no enforcement. This domain eliminates single-factor authentication for all human accounts and enforces phishing-resistant hardware keys for privileged access — closing R-007 and R-010 entirely.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360"/>
      </w:tblGrid>
      <w:tr>
        <w:tc>
          <w:tcPr>
            <w:tcW w:type="dxa" w:w="1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jc w:val="center"/>
            </w:pPr>
            <w:r>
              <w:rPr>
                <w:rFonts w:ascii="Arial" w:cs="Arial" w:eastAsia="Arial" w:hAnsi="Arial"/>
                <w:b/>
                <w:bCs/>
                <w:color w:val="D6E4F7"/>
                <w:sz w:val="20"/>
                <w:szCs w:val="20"/>
              </w:rPr>
              <w:t xml:space="preserve">MFA-01</w:t>
            </w:r>
          </w:p>
        </w:tc>
        <w:tc>
          <w:tcPr>
            <w:tcW w:type="dxa" w:w="6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Universal MFA Enforcement — Zero Exemption Policy</w:t>
            </w:r>
          </w:p>
        </w:tc>
        <w:tc>
          <w:tcPr>
            <w:tcW w:type="dxa" w:w="2360"/>
            <w:tcBorders>
              <w:top w:val="single" w:color="1B3A6B" w:sz="8"/>
              <w:left w:val="single" w:color="1B3A6B" w:sz="8"/>
              <w:bottom w:val="single" w:color="1B3A6B" w:sz="8"/>
              <w:right w:val="single" w:color="1B3A6B" w:sz="8"/>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P1 — Immediate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Risks Addressed</w:t>
            </w:r>
          </w:p>
        </w:tc>
        <w:tc>
          <w:tcPr>
            <w:tcW w:type="dxa" w:w="796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pPr>
            <w:r>
              <w:rPr>
                <w:rFonts w:ascii="Arial" w:cs="Arial" w:eastAsia="Arial" w:hAnsi="Arial"/>
                <w:color w:val="1B3A6B"/>
                <w:sz w:val="18"/>
                <w:szCs w:val="18"/>
              </w:rPr>
              <w:t xml:space="preserve">R-007 (Admin no MFA), R-010 (Expired exemptions)</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Description</w:t>
            </w:r>
          </w:p>
        </w:tc>
        <w:tc>
          <w:tcPr>
            <w:tcW w:type="dxa" w:w="79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pPr>
            <w:r>
              <w:rPr>
                <w:rFonts w:ascii="Arial" w:cs="Arial" w:eastAsia="Arial" w:hAnsi="Arial"/>
                <w:color w:val="1A1A2E"/>
                <w:sz w:val="18"/>
                <w:szCs w:val="18"/>
              </w:rPr>
              <w:t xml:space="preserve">Enforce MFA for 100% of human user accounts in Okta with no permanent exemptions. All existing exemptions (10 accounts) are to be revoked within 48 hours. Any future exemption requires written CISO authorisation, documented business justification, a maximum 30-day duration with automated expiry enforced in Okta Workflows, and a named risk-accepting executive.</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Standards</w:t>
            </w:r>
          </w:p>
        </w:tc>
        <w:tc>
          <w:tcPr>
            <w:tcW w:type="dxa" w:w="7960"/>
            <w:tcBorders>
              <w:top w:val="single" w:color="D0D5E8" w:sz="4"/>
              <w:left w:val="single" w:color="D0D5E8" w:sz="4"/>
              <w:bottom w:val="single" w:color="D0D5E8" w:sz="4"/>
              <w:right w:val="single" w:color="D0D5E8" w:sz="4"/>
            </w:tcBorders>
            <w:shd w:fill="E8F5EE" w:val="clear"/>
            <w:tcMar>
              <w:top w:type="dxa" w:w="100"/>
              <w:left w:type="dxa" w:w="160"/>
              <w:bottom w:type="dxa" w:w="100"/>
              <w:right w:type="dxa" w:w="160"/>
            </w:tcMar>
          </w:tcPr>
          <w:p>
            <w:pPr>
              <w:spacing w:after="0" w:before="0"/>
            </w:pPr>
            <w:r>
              <w:rPr>
                <w:rFonts w:ascii="Arial" w:cs="Arial" w:eastAsia="Arial" w:hAnsi="Arial"/>
                <w:color w:val="155E38"/>
                <w:sz w:val="18"/>
                <w:szCs w:val="18"/>
              </w:rPr>
              <w:t xml:space="preserve">NIST IA-2(1), PCI-DSS v4.0 Req 8.4.2, CIS Control 6.3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Implementation Steps</w:t>
            </w:r>
          </w:p>
        </w:tc>
        <w:tc>
          <w:tcPr>
            <w:tcW w:type="dxa" w:w="7960"/>
            <w:tcBorders>
              <w:top w:val="single" w:color="D0D5E8" w:sz="4"/>
              <w:left w:val="single" w:color="D0D5E8" w:sz="4"/>
              <w:bottom w:val="single" w:color="D0D5E8" w:sz="4"/>
              <w:right w:val="single" w:color="D0D5E8" w:sz="4"/>
            </w:tcBorders>
            <w:shd w:fill="F4F6FB" w:val="clear"/>
            <w:tcMar>
              <w:top w:type="dxa" w:w="100"/>
              <w:left w:type="dxa" w:w="160"/>
              <w:bottom w:type="dxa" w:w="140"/>
              <w:right w:type="dxa" w:w="160"/>
            </w:tcMar>
          </w:tcPr>
          <w:p>
            <w:pPr>
              <w:pStyle w:val="ListParagraph"/>
              <w:numPr>
                <w:ilvl w:val="0"/>
                <w:numId w:val="2"/>
              </w:numPr>
              <w:spacing w:after="40" w:before="40"/>
            </w:pPr>
            <w:r>
              <w:rPr>
                <w:rFonts w:ascii="Arial" w:cs="Arial" w:eastAsia="Arial" w:hAnsi="Arial"/>
                <w:color w:val="1A1A2E"/>
                <w:sz w:val="18"/>
                <w:szCs w:val="18"/>
              </w:rPr>
              <w:t xml:space="preserve">In Okta Admin: Policies → Authentication Policies → Set 'Require MFA for all users' as default policy.</w:t>
            </w:r>
          </w:p>
          <w:p>
            <w:pPr>
              <w:pStyle w:val="ListParagraph"/>
              <w:numPr>
                <w:ilvl w:val="0"/>
                <w:numId w:val="2"/>
              </w:numPr>
              <w:spacing w:after="40" w:before="40"/>
            </w:pPr>
            <w:r>
              <w:rPr>
                <w:rFonts w:ascii="Arial" w:cs="Arial" w:eastAsia="Arial" w:hAnsi="Arial"/>
                <w:color w:val="1A1A2E"/>
                <w:sz w:val="18"/>
                <w:szCs w:val="18"/>
              </w:rPr>
              <w:t xml:space="preserve">Create an exception group (mfa-temporary-exemptions) gated by Okta Workflow with 30-day auto-removal.</w:t>
            </w:r>
          </w:p>
          <w:p>
            <w:pPr>
              <w:pStyle w:val="ListParagraph"/>
              <w:numPr>
                <w:ilvl w:val="0"/>
                <w:numId w:val="2"/>
              </w:numPr>
              <w:spacing w:after="40" w:before="40"/>
            </w:pPr>
            <w:r>
              <w:rPr>
                <w:rFonts w:ascii="Arial" w:cs="Arial" w:eastAsia="Arial" w:hAnsi="Arial"/>
                <w:color w:val="1A1A2E"/>
                <w:sz w:val="18"/>
                <w:szCs w:val="18"/>
              </w:rPr>
              <w:t xml:space="preserve">Set Okta password policy to deny SSO session creation for any account in the exemption group past its expiry date.</w:t>
            </w:r>
          </w:p>
          <w:p>
            <w:pPr>
              <w:pStyle w:val="ListParagraph"/>
              <w:numPr>
                <w:ilvl w:val="0"/>
                <w:numId w:val="2"/>
              </w:numPr>
              <w:spacing w:after="40" w:before="40"/>
            </w:pPr>
            <w:r>
              <w:rPr>
                <w:rFonts w:ascii="Arial" w:cs="Arial" w:eastAsia="Arial" w:hAnsi="Arial"/>
                <w:color w:val="1A1A2E"/>
                <w:sz w:val="18"/>
                <w:szCs w:val="18"/>
              </w:rPr>
              <w:t xml:space="preserve">Revoke existing 10 exemptions (USR-1005, USR-3002, USR-4003, USR-4004, USR-4007, USR-2005 + 4 others) — suspend access until MFA enrolled.</w:t>
            </w:r>
          </w:p>
          <w:p>
            <w:pPr>
              <w:pStyle w:val="ListParagraph"/>
              <w:numPr>
                <w:ilvl w:val="0"/>
                <w:numId w:val="2"/>
              </w:numPr>
              <w:spacing w:after="40" w:before="40"/>
            </w:pPr>
            <w:r>
              <w:rPr>
                <w:rFonts w:ascii="Arial" w:cs="Arial" w:eastAsia="Arial" w:hAnsi="Arial"/>
                <w:color w:val="1A1A2E"/>
                <w:sz w:val="18"/>
                <w:szCs w:val="18"/>
              </w:rPr>
              <w:t xml:space="preserve">Send mandatory enrolment notification with 48-hour deadline; escalate to department manager if not completed.</w:t>
            </w:r>
          </w:p>
          <w:p>
            <w:pPr>
              <w:pStyle w:val="ListParagraph"/>
              <w:numPr>
                <w:ilvl w:val="0"/>
                <w:numId w:val="2"/>
              </w:numPr>
              <w:spacing w:after="40" w:before="40"/>
            </w:pPr>
            <w:r>
              <w:rPr>
                <w:rFonts w:ascii="Arial" w:cs="Arial" w:eastAsia="Arial" w:hAnsi="Arial"/>
                <w:color w:val="1A1A2E"/>
                <w:sz w:val="18"/>
                <w:szCs w:val="18"/>
              </w:rPr>
              <w:t xml:space="preserve">Configure Okta System Log alert: fire on any successful authentication that bypasses MFA factor check.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360"/>
      </w:tblGrid>
      <w:tr>
        <w:tc>
          <w:tcPr>
            <w:tcW w:type="dxa" w:w="1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jc w:val="center"/>
            </w:pPr>
            <w:r>
              <w:rPr>
                <w:rFonts w:ascii="Arial" w:cs="Arial" w:eastAsia="Arial" w:hAnsi="Arial"/>
                <w:b/>
                <w:bCs/>
                <w:color w:val="D6E4F7"/>
                <w:sz w:val="20"/>
                <w:szCs w:val="20"/>
              </w:rPr>
              <w:t xml:space="preserve">MFA-02</w:t>
            </w:r>
          </w:p>
        </w:tc>
        <w:tc>
          <w:tcPr>
            <w:tcW w:type="dxa" w:w="6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FIDO2 / WebAuthn Phishing-Resistant MFA for Privileged Roles</w:t>
            </w:r>
          </w:p>
        </w:tc>
        <w:tc>
          <w:tcPr>
            <w:tcW w:type="dxa" w:w="2360"/>
            <w:tcBorders>
              <w:top w:val="single" w:color="1B3A6B" w:sz="8"/>
              <w:left w:val="single" w:color="1B3A6B" w:sz="8"/>
              <w:bottom w:val="single" w:color="1B3A6B" w:sz="8"/>
              <w:right w:val="single" w:color="1B3A6B" w:sz="8"/>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P1 — Immediate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Risks Addressed</w:t>
            </w:r>
          </w:p>
        </w:tc>
        <w:tc>
          <w:tcPr>
            <w:tcW w:type="dxa" w:w="796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pPr>
            <w:r>
              <w:rPr>
                <w:rFonts w:ascii="Arial" w:cs="Arial" w:eastAsia="Arial" w:hAnsi="Arial"/>
                <w:color w:val="1B3A6B"/>
                <w:sz w:val="18"/>
                <w:szCs w:val="18"/>
              </w:rPr>
              <w:t xml:space="preserve">R-007 (Admin no MFA), R-001 (Shared accounts), R-013 (PAM gap)</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Description</w:t>
            </w:r>
          </w:p>
        </w:tc>
        <w:tc>
          <w:tcPr>
            <w:tcW w:type="dxa" w:w="79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pPr>
            <w:r>
              <w:rPr>
                <w:rFonts w:ascii="Arial" w:cs="Arial" w:eastAsia="Arial" w:hAnsi="Arial"/>
                <w:color w:val="1A1A2E"/>
                <w:sz w:val="18"/>
                <w:szCs w:val="18"/>
              </w:rPr>
              <w:t xml:space="preserve">All accounts with Access Level 4 and above (Finance Managers, Support Managers, Infra Admins, Security Analysts, Super-Admins) must use FIDO2 hardware keys (YubiKey 5 series) as their sole MFA factor. TOTP is explicitly prohibited for privileged roles due to susceptibility to real-time phishing proxy attacks. Current FIDO2 deployment (Security department) to be extended to all privileged users within 7 days.</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Standards</w:t>
            </w:r>
          </w:p>
        </w:tc>
        <w:tc>
          <w:tcPr>
            <w:tcW w:type="dxa" w:w="7960"/>
            <w:tcBorders>
              <w:top w:val="single" w:color="D0D5E8" w:sz="4"/>
              <w:left w:val="single" w:color="D0D5E8" w:sz="4"/>
              <w:bottom w:val="single" w:color="D0D5E8" w:sz="4"/>
              <w:right w:val="single" w:color="D0D5E8" w:sz="4"/>
            </w:tcBorders>
            <w:shd w:fill="E8F5EE" w:val="clear"/>
            <w:tcMar>
              <w:top w:type="dxa" w:w="100"/>
              <w:left w:type="dxa" w:w="160"/>
              <w:bottom w:type="dxa" w:w="100"/>
              <w:right w:type="dxa" w:w="160"/>
            </w:tcMar>
          </w:tcPr>
          <w:p>
            <w:pPr>
              <w:spacing w:after="0" w:before="0"/>
            </w:pPr>
            <w:r>
              <w:rPr>
                <w:rFonts w:ascii="Arial" w:cs="Arial" w:eastAsia="Arial" w:hAnsi="Arial"/>
                <w:color w:val="155E38"/>
                <w:sz w:val="18"/>
                <w:szCs w:val="18"/>
              </w:rPr>
              <w:t xml:space="preserve">NIST IA-2(6), PCI-DSS v4.0 Req 8.6.1, FIDO Alliance FIDO2 Spec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Implementation Steps</w:t>
            </w:r>
          </w:p>
        </w:tc>
        <w:tc>
          <w:tcPr>
            <w:tcW w:type="dxa" w:w="7960"/>
            <w:tcBorders>
              <w:top w:val="single" w:color="D0D5E8" w:sz="4"/>
              <w:left w:val="single" w:color="D0D5E8" w:sz="4"/>
              <w:bottom w:val="single" w:color="D0D5E8" w:sz="4"/>
              <w:right w:val="single" w:color="D0D5E8" w:sz="4"/>
            </w:tcBorders>
            <w:shd w:fill="F4F6FB" w:val="clear"/>
            <w:tcMar>
              <w:top w:type="dxa" w:w="100"/>
              <w:left w:type="dxa" w:w="160"/>
              <w:bottom w:type="dxa" w:w="140"/>
              <w:right w:type="dxa" w:w="160"/>
            </w:tcMar>
          </w:tcPr>
          <w:p>
            <w:pPr>
              <w:pStyle w:val="ListParagraph"/>
              <w:numPr>
                <w:ilvl w:val="0"/>
                <w:numId w:val="2"/>
              </w:numPr>
              <w:spacing w:after="40" w:before="40"/>
            </w:pPr>
            <w:r>
              <w:rPr>
                <w:rFonts w:ascii="Arial" w:cs="Arial" w:eastAsia="Arial" w:hAnsi="Arial"/>
                <w:color w:val="1A1A2E"/>
                <w:sz w:val="18"/>
                <w:szCs w:val="18"/>
              </w:rPr>
              <w:t xml:space="preserve">Procure YubiKey 5 NFC units for all Level 4+ users (currently 37 accounts — budget ~$1,850 at volume).</w:t>
            </w:r>
          </w:p>
          <w:p>
            <w:pPr>
              <w:pStyle w:val="ListParagraph"/>
              <w:numPr>
                <w:ilvl w:val="0"/>
                <w:numId w:val="2"/>
              </w:numPr>
              <w:spacing w:after="40" w:before="40"/>
            </w:pPr>
            <w:r>
              <w:rPr>
                <w:rFonts w:ascii="Arial" w:cs="Arial" w:eastAsia="Arial" w:hAnsi="Arial"/>
                <w:color w:val="1A1A2E"/>
                <w:sz w:val="18"/>
                <w:szCs w:val="18"/>
              </w:rPr>
              <w:t xml:space="preserve">In Okta: create a 'Privileged Users' authentication policy requiring 'Security Key or Biometric' factor only.</w:t>
            </w:r>
          </w:p>
          <w:p>
            <w:pPr>
              <w:pStyle w:val="ListParagraph"/>
              <w:numPr>
                <w:ilvl w:val="0"/>
                <w:numId w:val="2"/>
              </w:numPr>
              <w:spacing w:after="40" w:before="40"/>
            </w:pPr>
            <w:r>
              <w:rPr>
                <w:rFonts w:ascii="Arial" w:cs="Arial" w:eastAsia="Arial" w:hAnsi="Arial"/>
                <w:color w:val="1A1A2E"/>
                <w:sz w:val="18"/>
                <w:szCs w:val="18"/>
              </w:rPr>
              <w:t xml:space="preserve">Apply policy to Okta groups: eng-leads, finance-managers, support-managers, infra-admins, security-team.</w:t>
            </w:r>
          </w:p>
          <w:p>
            <w:pPr>
              <w:pStyle w:val="ListParagraph"/>
              <w:numPr>
                <w:ilvl w:val="0"/>
                <w:numId w:val="2"/>
              </w:numPr>
              <w:spacing w:after="40" w:before="40"/>
            </w:pPr>
            <w:r>
              <w:rPr>
                <w:rFonts w:ascii="Arial" w:cs="Arial" w:eastAsia="Arial" w:hAnsi="Arial"/>
                <w:color w:val="1A1A2E"/>
                <w:sz w:val="18"/>
                <w:szCs w:val="18"/>
              </w:rPr>
              <w:t xml:space="preserve">Disable TOTP as an allowed factor for all users in these groups.</w:t>
            </w:r>
          </w:p>
          <w:p>
            <w:pPr>
              <w:pStyle w:val="ListParagraph"/>
              <w:numPr>
                <w:ilvl w:val="0"/>
                <w:numId w:val="2"/>
              </w:numPr>
              <w:spacing w:after="40" w:before="40"/>
            </w:pPr>
            <w:r>
              <w:rPr>
                <w:rFonts w:ascii="Arial" w:cs="Arial" w:eastAsia="Arial" w:hAnsi="Arial"/>
                <w:color w:val="1A1A2E"/>
                <w:sz w:val="18"/>
                <w:szCs w:val="18"/>
              </w:rPr>
              <w:t xml:space="preserve">Distribute keys via IT with in-person identity verification — no mail delivery for privileged keys.</w:t>
            </w:r>
          </w:p>
          <w:p>
            <w:pPr>
              <w:pStyle w:val="ListParagraph"/>
              <w:numPr>
                <w:ilvl w:val="0"/>
                <w:numId w:val="2"/>
              </w:numPr>
              <w:spacing w:after="40" w:before="40"/>
            </w:pPr>
            <w:r>
              <w:rPr>
                <w:rFonts w:ascii="Arial" w:cs="Arial" w:eastAsia="Arial" w:hAnsi="Arial"/>
                <w:color w:val="1A1A2E"/>
                <w:sz w:val="18"/>
                <w:szCs w:val="18"/>
              </w:rPr>
              <w:t xml:space="preserve">Enroll backup key for each privileged user; store primary backup key in CyberArk vault.</w:t>
            </w:r>
          </w:p>
          <w:p>
            <w:pPr>
              <w:pStyle w:val="ListParagraph"/>
              <w:numPr>
                <w:ilvl w:val="0"/>
                <w:numId w:val="2"/>
              </w:numPr>
              <w:spacing w:after="40" w:before="40"/>
            </w:pPr>
            <w:r>
              <w:rPr>
                <w:rFonts w:ascii="Arial" w:cs="Arial" w:eastAsia="Arial" w:hAnsi="Arial"/>
                <w:color w:val="1A1A2E"/>
                <w:sz w:val="18"/>
                <w:szCs w:val="18"/>
              </w:rPr>
              <w:t xml:space="preserve">Test FIDO2 flow for Admin Dashboard, AWS Console, and VPN portal before rollout.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360"/>
      </w:tblGrid>
      <w:tr>
        <w:tc>
          <w:tcPr>
            <w:tcW w:type="dxa" w:w="1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jc w:val="center"/>
            </w:pPr>
            <w:r>
              <w:rPr>
                <w:rFonts w:ascii="Arial" w:cs="Arial" w:eastAsia="Arial" w:hAnsi="Arial"/>
                <w:b/>
                <w:bCs/>
                <w:color w:val="D6E4F7"/>
                <w:sz w:val="20"/>
                <w:szCs w:val="20"/>
              </w:rPr>
              <w:t xml:space="preserve">MFA-03</w:t>
            </w:r>
          </w:p>
        </w:tc>
        <w:tc>
          <w:tcPr>
            <w:tcW w:type="dxa" w:w="6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MFA Step-Up Authentication for Sensitive Transactions</w:t>
            </w:r>
          </w:p>
        </w:tc>
        <w:tc>
          <w:tcPr>
            <w:tcW w:type="dxa" w:w="2360"/>
            <w:tcBorders>
              <w:top w:val="single" w:color="1B3A6B" w:sz="8"/>
              <w:left w:val="single" w:color="1B3A6B" w:sz="8"/>
              <w:bottom w:val="single" w:color="1B3A6B" w:sz="8"/>
              <w:right w:val="single" w:color="1B3A6B" w:sz="8"/>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P2 — 14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Risks Addressed</w:t>
            </w:r>
          </w:p>
        </w:tc>
        <w:tc>
          <w:tcPr>
            <w:tcW w:type="dxa" w:w="796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pPr>
            <w:r>
              <w:rPr>
                <w:rFonts w:ascii="Arial" w:cs="Arial" w:eastAsia="Arial" w:hAnsi="Arial"/>
                <w:color w:val="1B3A6B"/>
                <w:sz w:val="18"/>
                <w:szCs w:val="18"/>
              </w:rPr>
              <w:t xml:space="preserve">R-007, R-010</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Description</w:t>
            </w:r>
          </w:p>
        </w:tc>
        <w:tc>
          <w:tcPr>
            <w:tcW w:type="dxa" w:w="79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pPr>
            <w:r>
              <w:rPr>
                <w:rFonts w:ascii="Arial" w:cs="Arial" w:eastAsia="Arial" w:hAnsi="Arial"/>
                <w:color w:val="1A1A2E"/>
                <w:sz w:val="18"/>
                <w:szCs w:val="18"/>
              </w:rPr>
              <w:t xml:space="preserve">Implement step-up (re-authentication) MFA triggers within the Web App and Admin Dashboard for high-risk actions regardless of session age. Users must re-authenticate with their strongest enrolled factor before performing: payment transaction overrides, fee waiver approvals, account freeze/unfreeze actions, bulk data exports exceeding 500 records, and administrative role changes.</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Standards</w:t>
            </w:r>
          </w:p>
        </w:tc>
        <w:tc>
          <w:tcPr>
            <w:tcW w:type="dxa" w:w="7960"/>
            <w:tcBorders>
              <w:top w:val="single" w:color="D0D5E8" w:sz="4"/>
              <w:left w:val="single" w:color="D0D5E8" w:sz="4"/>
              <w:bottom w:val="single" w:color="D0D5E8" w:sz="4"/>
              <w:right w:val="single" w:color="D0D5E8" w:sz="4"/>
            </w:tcBorders>
            <w:shd w:fill="E8F5EE" w:val="clear"/>
            <w:tcMar>
              <w:top w:type="dxa" w:w="100"/>
              <w:left w:type="dxa" w:w="160"/>
              <w:bottom w:type="dxa" w:w="100"/>
              <w:right w:type="dxa" w:w="160"/>
            </w:tcMar>
          </w:tcPr>
          <w:p>
            <w:pPr>
              <w:spacing w:after="0" w:before="0"/>
            </w:pPr>
            <w:r>
              <w:rPr>
                <w:rFonts w:ascii="Arial" w:cs="Arial" w:eastAsia="Arial" w:hAnsi="Arial"/>
                <w:color w:val="155E38"/>
                <w:sz w:val="18"/>
                <w:szCs w:val="18"/>
              </w:rPr>
              <w:t xml:space="preserve">NIST IA-11, PCI-DSS v4.0 Req 8.3.4, OWASP ASVS 3.5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Implementation Steps</w:t>
            </w:r>
          </w:p>
        </w:tc>
        <w:tc>
          <w:tcPr>
            <w:tcW w:type="dxa" w:w="7960"/>
            <w:tcBorders>
              <w:top w:val="single" w:color="D0D5E8" w:sz="4"/>
              <w:left w:val="single" w:color="D0D5E8" w:sz="4"/>
              <w:bottom w:val="single" w:color="D0D5E8" w:sz="4"/>
              <w:right w:val="single" w:color="D0D5E8" w:sz="4"/>
            </w:tcBorders>
            <w:shd w:fill="F4F6FB" w:val="clear"/>
            <w:tcMar>
              <w:top w:type="dxa" w:w="100"/>
              <w:left w:type="dxa" w:w="160"/>
              <w:bottom w:type="dxa" w:w="140"/>
              <w:right w:type="dxa" w:w="160"/>
            </w:tcMar>
          </w:tcPr>
          <w:p>
            <w:pPr>
              <w:pStyle w:val="ListParagraph"/>
              <w:numPr>
                <w:ilvl w:val="0"/>
                <w:numId w:val="2"/>
              </w:numPr>
              <w:spacing w:after="40" w:before="40"/>
            </w:pPr>
            <w:r>
              <w:rPr>
                <w:rFonts w:ascii="Arial" w:cs="Arial" w:eastAsia="Arial" w:hAnsi="Arial"/>
                <w:color w:val="1A1A2E"/>
                <w:sz w:val="18"/>
                <w:szCs w:val="18"/>
              </w:rPr>
              <w:t xml:space="preserve">Integrate Okta Identity Engine step-up triggers via OIDC /authorize with acr_values=phr (phishing-resistant) for privileged actions.</w:t>
            </w:r>
          </w:p>
          <w:p>
            <w:pPr>
              <w:pStyle w:val="ListParagraph"/>
              <w:numPr>
                <w:ilvl w:val="0"/>
                <w:numId w:val="2"/>
              </w:numPr>
              <w:spacing w:after="40" w:before="40"/>
            </w:pPr>
            <w:r>
              <w:rPr>
                <w:rFonts w:ascii="Arial" w:cs="Arial" w:eastAsia="Arial" w:hAnsi="Arial"/>
                <w:color w:val="1A1A2E"/>
                <w:sz w:val="18"/>
                <w:szCs w:val="18"/>
              </w:rPr>
              <w:t xml:space="preserve">Instrument Admin Dashboard to call step-up endpoint before each high-risk operation category.</w:t>
            </w:r>
          </w:p>
          <w:p>
            <w:pPr>
              <w:pStyle w:val="ListParagraph"/>
              <w:numPr>
                <w:ilvl w:val="0"/>
                <w:numId w:val="2"/>
              </w:numPr>
              <w:spacing w:after="40" w:before="40"/>
            </w:pPr>
            <w:r>
              <w:rPr>
                <w:rFonts w:ascii="Arial" w:cs="Arial" w:eastAsia="Arial" w:hAnsi="Arial"/>
                <w:color w:val="1A1A2E"/>
                <w:sz w:val="18"/>
                <w:szCs w:val="18"/>
              </w:rPr>
              <w:t xml:space="preserve">Configure 15-minute re-authentication TTL for sensitive action sessions.</w:t>
            </w:r>
          </w:p>
          <w:p>
            <w:pPr>
              <w:pStyle w:val="ListParagraph"/>
              <w:numPr>
                <w:ilvl w:val="0"/>
                <w:numId w:val="2"/>
              </w:numPr>
              <w:spacing w:after="40" w:before="40"/>
            </w:pPr>
            <w:r>
              <w:rPr>
                <w:rFonts w:ascii="Arial" w:cs="Arial" w:eastAsia="Arial" w:hAnsi="Arial"/>
                <w:color w:val="1A1A2E"/>
                <w:sz w:val="18"/>
                <w:szCs w:val="18"/>
              </w:rPr>
              <w:t xml:space="preserve">Log all step-up events to SIEM with action type, user identity, and outcome.</w:t>
            </w:r>
          </w:p>
          <w:p>
            <w:pPr>
              <w:pStyle w:val="ListParagraph"/>
              <w:numPr>
                <w:ilvl w:val="0"/>
                <w:numId w:val="2"/>
              </w:numPr>
              <w:spacing w:after="40" w:before="40"/>
            </w:pPr>
            <w:r>
              <w:rPr>
                <w:rFonts w:ascii="Arial" w:cs="Arial" w:eastAsia="Arial" w:hAnsi="Arial"/>
                <w:color w:val="1A1A2E"/>
                <w:sz w:val="18"/>
                <w:szCs w:val="18"/>
              </w:rPr>
              <w:t xml:space="preserve">Test with Finance and Support Manager user journeys — measure friction impact on SLA.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360"/>
      </w:tblGrid>
      <w:tr>
        <w:tc>
          <w:tcPr>
            <w:tcW w:type="dxa" w:w="1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jc w:val="center"/>
            </w:pPr>
            <w:r>
              <w:rPr>
                <w:rFonts w:ascii="Arial" w:cs="Arial" w:eastAsia="Arial" w:hAnsi="Arial"/>
                <w:b/>
                <w:bCs/>
                <w:color w:val="D6E4F7"/>
                <w:sz w:val="20"/>
                <w:szCs w:val="20"/>
              </w:rPr>
              <w:t xml:space="preserve">MFA-04</w:t>
            </w:r>
          </w:p>
        </w:tc>
        <w:tc>
          <w:tcPr>
            <w:tcW w:type="dxa" w:w="6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MFA Coverage Dashboard &amp; Automated Compliance Reporting</w:t>
            </w:r>
          </w:p>
        </w:tc>
        <w:tc>
          <w:tcPr>
            <w:tcW w:type="dxa" w:w="2360"/>
            <w:tcBorders>
              <w:top w:val="single" w:color="1B3A6B" w:sz="8"/>
              <w:left w:val="single" w:color="1B3A6B" w:sz="8"/>
              <w:bottom w:val="single" w:color="1B3A6B" w:sz="8"/>
              <w:right w:val="single" w:color="1B3A6B" w:sz="8"/>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P2 — 14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Risks Addressed</w:t>
            </w:r>
          </w:p>
        </w:tc>
        <w:tc>
          <w:tcPr>
            <w:tcW w:type="dxa" w:w="796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pPr>
            <w:r>
              <w:rPr>
                <w:rFonts w:ascii="Arial" w:cs="Arial" w:eastAsia="Arial" w:hAnsi="Arial"/>
                <w:color w:val="1B3A6B"/>
                <w:sz w:val="18"/>
                <w:szCs w:val="18"/>
              </w:rPr>
              <w:t xml:space="preserve">R-007, R-010</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Description</w:t>
            </w:r>
          </w:p>
        </w:tc>
        <w:tc>
          <w:tcPr>
            <w:tcW w:type="dxa" w:w="79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pPr>
            <w:r>
              <w:rPr>
                <w:rFonts w:ascii="Arial" w:cs="Arial" w:eastAsia="Arial" w:hAnsi="Arial"/>
                <w:color w:val="1A1A2E"/>
                <w:sz w:val="18"/>
                <w:szCs w:val="18"/>
              </w:rPr>
              <w:t xml:space="preserve">Build real-time MFA coverage visibility into the security operations workflow to prevent the current situation where 10 exemptions persisted undetected for 45–125 days. Automate weekly compliance reporting to the CISO and department heads showing per-department MFA enrollment rates, exemption counts and ages, and accounts not logged in within 30 days.</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Standards</w:t>
            </w:r>
          </w:p>
        </w:tc>
        <w:tc>
          <w:tcPr>
            <w:tcW w:type="dxa" w:w="7960"/>
            <w:tcBorders>
              <w:top w:val="single" w:color="D0D5E8" w:sz="4"/>
              <w:left w:val="single" w:color="D0D5E8" w:sz="4"/>
              <w:bottom w:val="single" w:color="D0D5E8" w:sz="4"/>
              <w:right w:val="single" w:color="D0D5E8" w:sz="4"/>
            </w:tcBorders>
            <w:shd w:fill="E8F5EE" w:val="clear"/>
            <w:tcMar>
              <w:top w:type="dxa" w:w="100"/>
              <w:left w:type="dxa" w:w="160"/>
              <w:bottom w:type="dxa" w:w="100"/>
              <w:right w:type="dxa" w:w="160"/>
            </w:tcMar>
          </w:tcPr>
          <w:p>
            <w:pPr>
              <w:spacing w:after="0" w:before="0"/>
            </w:pPr>
            <w:r>
              <w:rPr>
                <w:rFonts w:ascii="Arial" w:cs="Arial" w:eastAsia="Arial" w:hAnsi="Arial"/>
                <w:color w:val="155E38"/>
                <w:sz w:val="18"/>
                <w:szCs w:val="18"/>
              </w:rPr>
              <w:t xml:space="preserve">NIST AU-6, PCI-DSS v4.0 Req 10.4.1, CIS Control 8.11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Implementation Steps</w:t>
            </w:r>
          </w:p>
        </w:tc>
        <w:tc>
          <w:tcPr>
            <w:tcW w:type="dxa" w:w="7960"/>
            <w:tcBorders>
              <w:top w:val="single" w:color="D0D5E8" w:sz="4"/>
              <w:left w:val="single" w:color="D0D5E8" w:sz="4"/>
              <w:bottom w:val="single" w:color="D0D5E8" w:sz="4"/>
              <w:right w:val="single" w:color="D0D5E8" w:sz="4"/>
            </w:tcBorders>
            <w:shd w:fill="F4F6FB" w:val="clear"/>
            <w:tcMar>
              <w:top w:type="dxa" w:w="100"/>
              <w:left w:type="dxa" w:w="160"/>
              <w:bottom w:type="dxa" w:w="140"/>
              <w:right w:type="dxa" w:w="160"/>
            </w:tcMar>
          </w:tcPr>
          <w:p>
            <w:pPr>
              <w:pStyle w:val="ListParagraph"/>
              <w:numPr>
                <w:ilvl w:val="0"/>
                <w:numId w:val="2"/>
              </w:numPr>
              <w:spacing w:after="40" w:before="40"/>
            </w:pPr>
            <w:r>
              <w:rPr>
                <w:rFonts w:ascii="Arial" w:cs="Arial" w:eastAsia="Arial" w:hAnsi="Arial"/>
                <w:color w:val="1A1A2E"/>
                <w:sz w:val="18"/>
                <w:szCs w:val="18"/>
              </w:rPr>
              <w:t xml:space="preserve">Pull Okta System Log + Users API daily via scheduled Lambda — ingest into Splunk index 'okta_iam_posture'.</w:t>
            </w:r>
          </w:p>
          <w:p>
            <w:pPr>
              <w:pStyle w:val="ListParagraph"/>
              <w:numPr>
                <w:ilvl w:val="0"/>
                <w:numId w:val="2"/>
              </w:numPr>
              <w:spacing w:after="40" w:before="40"/>
            </w:pPr>
            <w:r>
              <w:rPr>
                <w:rFonts w:ascii="Arial" w:cs="Arial" w:eastAsia="Arial" w:hAnsi="Arial"/>
                <w:color w:val="1A1A2E"/>
                <w:sz w:val="18"/>
                <w:szCs w:val="18"/>
              </w:rPr>
              <w:t xml:space="preserve">Build Splunk dashboard: MFA coverage % by dept, exemption age heatmap, expired exemptions alert.</w:t>
            </w:r>
          </w:p>
          <w:p>
            <w:pPr>
              <w:pStyle w:val="ListParagraph"/>
              <w:numPr>
                <w:ilvl w:val="0"/>
                <w:numId w:val="2"/>
              </w:numPr>
              <w:spacing w:after="40" w:before="40"/>
            </w:pPr>
            <w:r>
              <w:rPr>
                <w:rFonts w:ascii="Arial" w:cs="Arial" w:eastAsia="Arial" w:hAnsi="Arial"/>
                <w:color w:val="1A1A2E"/>
                <w:sz w:val="18"/>
                <w:szCs w:val="18"/>
              </w:rPr>
              <w:t xml:space="preserve">Configure automated weekly email report via Okta Workflows to CISO, department heads, and IT manager.</w:t>
            </w:r>
          </w:p>
          <w:p>
            <w:pPr>
              <w:pStyle w:val="ListParagraph"/>
              <w:numPr>
                <w:ilvl w:val="0"/>
                <w:numId w:val="2"/>
              </w:numPr>
              <w:spacing w:after="40" w:before="40"/>
            </w:pPr>
            <w:r>
              <w:rPr>
                <w:rFonts w:ascii="Arial" w:cs="Arial" w:eastAsia="Arial" w:hAnsi="Arial"/>
                <w:color w:val="1A1A2E"/>
                <w:sz w:val="18"/>
                <w:szCs w:val="18"/>
              </w:rPr>
              <w:t xml:space="preserve">Alert threshold: fire PagerDuty P2 if MFA coverage drops below 95% for any department.</w:t>
            </w:r>
          </w:p>
          <w:p>
            <w:pPr>
              <w:pStyle w:val="ListParagraph"/>
              <w:numPr>
                <w:ilvl w:val="0"/>
                <w:numId w:val="2"/>
              </w:numPr>
              <w:spacing w:after="40" w:before="40"/>
            </w:pPr>
            <w:r>
              <w:rPr>
                <w:rFonts w:ascii="Arial" w:cs="Arial" w:eastAsia="Arial" w:hAnsi="Arial"/>
                <w:color w:val="1A1A2E"/>
                <w:sz w:val="18"/>
                <w:szCs w:val="18"/>
              </w:rPr>
              <w:t xml:space="preserve">Alert threshold: fire PagerDuty P1 if any Level 4+ account has MFA disabled.</w:t>
            </w:r>
          </w:p>
        </w:tc>
      </w:tr>
    </w:tbl>
    <w:p>
      <w:pPr>
        <w:spacing w:after="0" w:before="120"/>
      </w:pPr>
      <w:r>
        <w:t xml:space="preserve"/>
      </w:r>
    </w:p>
    <w:p>
      <w:r>
        <w:br w:type="page"/>
      </w:r>
    </w:p>
    <w:p>
      <w:pPr>
        <w:pStyle w:val="Heading1"/>
        <w:pBdr>
          <w:bottom w:val="single" w:color="2E5FA3" w:sz="10"/>
        </w:pBdr>
        <w:spacing w:after="160" w:before="440"/>
      </w:pPr>
      <w:r>
        <w:rPr>
          <w:rFonts w:ascii="Arial" w:cs="Arial" w:eastAsia="Arial" w:hAnsi="Arial"/>
          <w:b/>
          <w:bCs/>
          <w:color w:val="1B3A6B"/>
          <w:sz w:val="30"/>
          <w:szCs w:val="30"/>
        </w:rPr>
        <w:t xml:space="preserve">4. SSO Consolidation &amp;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tcPr>
          <w:p>
            <w:pPr>
              <w:spacing w:after="20" w:before="0"/>
            </w:pPr>
            <w:r>
              <w:rPr>
                <w:rFonts w:ascii="Arial" w:cs="Arial" w:eastAsia="Arial" w:hAnsi="Arial"/>
                <w:b/>
                <w:bCs/>
                <w:color w:val="FFFFFF"/>
                <w:sz w:val="15"/>
                <w:szCs w:val="15"/>
              </w:rPr>
              <w:t xml:space="preserve">Domain</w:t>
            </w:r>
          </w:p>
          <w:p>
            <w:pPr>
              <w:spacing w:after="0" w:before="0"/>
            </w:pPr>
            <w:r>
              <w:rPr>
                <w:rFonts w:ascii="Arial" w:cs="Arial" w:eastAsia="Arial" w:hAnsi="Arial"/>
                <w:b/>
                <w:bCs/>
                <w:color w:val="D6E4F7"/>
                <w:sz w:val="20"/>
                <w:szCs w:val="20"/>
              </w:rPr>
              <w:t xml:space="preserve">CTL-SSO</w:t>
            </w:r>
          </w:p>
        </w:tc>
        <w:tc>
          <w:tcPr>
            <w:tcW w:type="dxa" w:w="8160"/>
            <w:tcBorders>
              <w:top w:val="single" w:color="1B3A6B" w:sz="6"/>
              <w:left w:val="single" w:color="1B3A6B" w:sz="6"/>
              <w:bottom w:val="single" w:color="1B3A6B" w:sz="6"/>
              <w:right w:val="single" w:color="1B3A6B" w:sz="6"/>
            </w:tcBorders>
            <w:shd w:fill="EEF4FF" w:val="clear"/>
            <w:tcMar>
              <w:top w:type="dxa" w:w="100"/>
              <w:left w:type="dxa" w:w="200"/>
              <w:bottom w:type="dxa" w:w="100"/>
              <w:right w:type="dxa" w:w="160"/>
            </w:tcMar>
          </w:tcPr>
          <w:p>
            <w:pPr>
              <w:spacing w:after="0" w:before="0"/>
            </w:pPr>
            <w:r>
              <w:rPr>
                <w:rFonts w:ascii="Arial" w:cs="Arial" w:eastAsia="Arial" w:hAnsi="Arial"/>
                <w:color w:val="1A1A2E"/>
                <w:sz w:val="19"/>
                <w:szCs w:val="19"/>
              </w:rPr>
              <w:t xml:space="preserve">The Admin Dashboard's local authentication bypass is the single highest-impact SSO gap — it enables three shared accounts with full admin access to operate completely outside Okta's identity controls. This domain mandates universal SSO enforcement, eliminates all local auth pathways, and establishes governance processes to prevent recurrence.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360"/>
      </w:tblGrid>
      <w:tr>
        <w:tc>
          <w:tcPr>
            <w:tcW w:type="dxa" w:w="1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jc w:val="center"/>
            </w:pPr>
            <w:r>
              <w:rPr>
                <w:rFonts w:ascii="Arial" w:cs="Arial" w:eastAsia="Arial" w:hAnsi="Arial"/>
                <w:b/>
                <w:bCs/>
                <w:color w:val="D6E4F7"/>
                <w:sz w:val="20"/>
                <w:szCs w:val="20"/>
              </w:rPr>
              <w:t xml:space="preserve">SSO-01</w:t>
            </w:r>
          </w:p>
        </w:tc>
        <w:tc>
          <w:tcPr>
            <w:tcW w:type="dxa" w:w="6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Enforce Okta SSO for All Applications — Eliminate Local Auth</w:t>
            </w:r>
          </w:p>
        </w:tc>
        <w:tc>
          <w:tcPr>
            <w:tcW w:type="dxa" w:w="2360"/>
            <w:tcBorders>
              <w:top w:val="single" w:color="1B3A6B" w:sz="8"/>
              <w:left w:val="single" w:color="1B3A6B" w:sz="8"/>
              <w:bottom w:val="single" w:color="1B3A6B" w:sz="8"/>
              <w:right w:val="single" w:color="1B3A6B" w:sz="8"/>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P1 — Immediate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Risks Addressed</w:t>
            </w:r>
          </w:p>
        </w:tc>
        <w:tc>
          <w:tcPr>
            <w:tcW w:type="dxa" w:w="796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pPr>
            <w:r>
              <w:rPr>
                <w:rFonts w:ascii="Arial" w:cs="Arial" w:eastAsia="Arial" w:hAnsi="Arial"/>
                <w:color w:val="1B3A6B"/>
                <w:sz w:val="18"/>
                <w:szCs w:val="18"/>
              </w:rPr>
              <w:t xml:space="preserve">R-001 (Shared accounts bypassing Okta), R-013 (No session recording)</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Description</w:t>
            </w:r>
          </w:p>
        </w:tc>
        <w:tc>
          <w:tcPr>
            <w:tcW w:type="dxa" w:w="79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pPr>
            <w:r>
              <w:rPr>
                <w:rFonts w:ascii="Arial" w:cs="Arial" w:eastAsia="Arial" w:hAnsi="Arial"/>
                <w:color w:val="1A1A2E"/>
                <w:sz w:val="18"/>
                <w:szCs w:val="18"/>
              </w:rPr>
              <w:t xml:space="preserve">The Admin Dashboard currently allows local authentication that bypasses Okta SSO entirely, enabling the three shared accounts (SHR-7001, SHR-7002, SHR-7003) to operate without any IdP controls, MFA, or session attribution. All authentication to all in-scope systems must be routed through Okta as the sole authoritative identity provider, with local authentication disabled at the application layer.</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Standards</w:t>
            </w:r>
          </w:p>
        </w:tc>
        <w:tc>
          <w:tcPr>
            <w:tcW w:type="dxa" w:w="7960"/>
            <w:tcBorders>
              <w:top w:val="single" w:color="D0D5E8" w:sz="4"/>
              <w:left w:val="single" w:color="D0D5E8" w:sz="4"/>
              <w:bottom w:val="single" w:color="D0D5E8" w:sz="4"/>
              <w:right w:val="single" w:color="D0D5E8" w:sz="4"/>
            </w:tcBorders>
            <w:shd w:fill="E8F5EE" w:val="clear"/>
            <w:tcMar>
              <w:top w:type="dxa" w:w="100"/>
              <w:left w:type="dxa" w:w="160"/>
              <w:bottom w:type="dxa" w:w="100"/>
              <w:right w:type="dxa" w:w="160"/>
            </w:tcMar>
          </w:tcPr>
          <w:p>
            <w:pPr>
              <w:spacing w:after="0" w:before="0"/>
            </w:pPr>
            <w:r>
              <w:rPr>
                <w:rFonts w:ascii="Arial" w:cs="Arial" w:eastAsia="Arial" w:hAnsi="Arial"/>
                <w:color w:val="155E38"/>
                <w:sz w:val="18"/>
                <w:szCs w:val="18"/>
              </w:rPr>
              <w:t xml:space="preserve">NIST IA-8, PCI-DSS v4.0 Req 8.2.1, CIS Control 4.1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Implementation Steps</w:t>
            </w:r>
          </w:p>
        </w:tc>
        <w:tc>
          <w:tcPr>
            <w:tcW w:type="dxa" w:w="7960"/>
            <w:tcBorders>
              <w:top w:val="single" w:color="D0D5E8" w:sz="4"/>
              <w:left w:val="single" w:color="D0D5E8" w:sz="4"/>
              <w:bottom w:val="single" w:color="D0D5E8" w:sz="4"/>
              <w:right w:val="single" w:color="D0D5E8" w:sz="4"/>
            </w:tcBorders>
            <w:shd w:fill="F4F6FB" w:val="clear"/>
            <w:tcMar>
              <w:top w:type="dxa" w:w="100"/>
              <w:left w:type="dxa" w:w="160"/>
              <w:bottom w:type="dxa" w:w="140"/>
              <w:right w:type="dxa" w:w="160"/>
            </w:tcMar>
          </w:tcPr>
          <w:p>
            <w:pPr>
              <w:pStyle w:val="ListParagraph"/>
              <w:numPr>
                <w:ilvl w:val="0"/>
                <w:numId w:val="2"/>
              </w:numPr>
              <w:spacing w:after="40" w:before="40"/>
            </w:pPr>
            <w:r>
              <w:rPr>
                <w:rFonts w:ascii="Arial" w:cs="Arial" w:eastAsia="Arial" w:hAnsi="Arial"/>
                <w:color w:val="1A1A2E"/>
                <w:sz w:val="18"/>
                <w:szCs w:val="18"/>
              </w:rPr>
              <w:t xml:space="preserve">Audit Admin Dashboard application authentication config — identify local auth endpoint and disable it.</w:t>
            </w:r>
          </w:p>
          <w:p>
            <w:pPr>
              <w:pStyle w:val="ListParagraph"/>
              <w:numPr>
                <w:ilvl w:val="0"/>
                <w:numId w:val="2"/>
              </w:numPr>
              <w:spacing w:after="40" w:before="40"/>
            </w:pPr>
            <w:r>
              <w:rPr>
                <w:rFonts w:ascii="Arial" w:cs="Arial" w:eastAsia="Arial" w:hAnsi="Arial"/>
                <w:color w:val="1A1A2E"/>
                <w:sz w:val="18"/>
                <w:szCs w:val="18"/>
              </w:rPr>
              <w:t xml:space="preserve">Integrate Admin Dashboard with Okta via SAML 2.0 or OIDC; test all named-account login flows before cutover.</w:t>
            </w:r>
          </w:p>
          <w:p>
            <w:pPr>
              <w:pStyle w:val="ListParagraph"/>
              <w:numPr>
                <w:ilvl w:val="0"/>
                <w:numId w:val="2"/>
              </w:numPr>
              <w:spacing w:after="40" w:before="40"/>
            </w:pPr>
            <w:r>
              <w:rPr>
                <w:rFonts w:ascii="Arial" w:cs="Arial" w:eastAsia="Arial" w:hAnsi="Arial"/>
                <w:color w:val="1A1A2E"/>
                <w:sz w:val="18"/>
                <w:szCs w:val="18"/>
              </w:rPr>
              <w:t xml:space="preserve">Set Admin Dashboard to reject any authentication request not originating from Okta SAML assertion.</w:t>
            </w:r>
          </w:p>
          <w:p>
            <w:pPr>
              <w:pStyle w:val="ListParagraph"/>
              <w:numPr>
                <w:ilvl w:val="0"/>
                <w:numId w:val="2"/>
              </w:numPr>
              <w:spacing w:after="40" w:before="40"/>
            </w:pPr>
            <w:r>
              <w:rPr>
                <w:rFonts w:ascii="Arial" w:cs="Arial" w:eastAsia="Arial" w:hAnsi="Arial"/>
                <w:color w:val="1A1A2E"/>
                <w:sz w:val="18"/>
                <w:szCs w:val="18"/>
              </w:rPr>
              <w:t xml:space="preserve">Verify all 5 in-scope systems have valid Okta SAML/OIDC integrations with signed assertions; document in app registry.</w:t>
            </w:r>
          </w:p>
          <w:p>
            <w:pPr>
              <w:pStyle w:val="ListParagraph"/>
              <w:numPr>
                <w:ilvl w:val="0"/>
                <w:numId w:val="2"/>
              </w:numPr>
              <w:spacing w:after="40" w:before="40"/>
            </w:pPr>
            <w:r>
              <w:rPr>
                <w:rFonts w:ascii="Arial" w:cs="Arial" w:eastAsia="Arial" w:hAnsi="Arial"/>
                <w:color w:val="1A1A2E"/>
                <w:sz w:val="18"/>
                <w:szCs w:val="18"/>
              </w:rPr>
              <w:t xml:space="preserve">Block all direct-to-app credential flows at the network layer (WAF rule: deny POST to /login if not preceded by Okta redirect).</w:t>
            </w:r>
          </w:p>
          <w:p>
            <w:pPr>
              <w:pStyle w:val="ListParagraph"/>
              <w:numPr>
                <w:ilvl w:val="0"/>
                <w:numId w:val="2"/>
              </w:numPr>
              <w:spacing w:after="40" w:before="40"/>
            </w:pPr>
            <w:r>
              <w:rPr>
                <w:rFonts w:ascii="Arial" w:cs="Arial" w:eastAsia="Arial" w:hAnsi="Arial"/>
                <w:color w:val="1A1A2E"/>
                <w:sz w:val="18"/>
                <w:szCs w:val="18"/>
              </w:rPr>
              <w:t xml:space="preserve">Run smoke tests for all user roles — confirm no silent fallback to local auth exists.</w:t>
            </w:r>
          </w:p>
          <w:p>
            <w:pPr>
              <w:pStyle w:val="ListParagraph"/>
              <w:numPr>
                <w:ilvl w:val="0"/>
                <w:numId w:val="2"/>
              </w:numPr>
              <w:spacing w:after="40" w:before="40"/>
            </w:pPr>
            <w:r>
              <w:rPr>
                <w:rFonts w:ascii="Arial" w:cs="Arial" w:eastAsia="Arial" w:hAnsi="Arial"/>
                <w:color w:val="1A1A2E"/>
                <w:sz w:val="18"/>
                <w:szCs w:val="18"/>
              </w:rPr>
              <w:t xml:space="preserve">After Okta integration confirmed, disable the 3 shared accounts (SHR-7001, SHR-7002, SHR-7003).</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360"/>
      </w:tblGrid>
      <w:tr>
        <w:tc>
          <w:tcPr>
            <w:tcW w:type="dxa" w:w="1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jc w:val="center"/>
            </w:pPr>
            <w:r>
              <w:rPr>
                <w:rFonts w:ascii="Arial" w:cs="Arial" w:eastAsia="Arial" w:hAnsi="Arial"/>
                <w:b/>
                <w:bCs/>
                <w:color w:val="D6E4F7"/>
                <w:sz w:val="20"/>
                <w:szCs w:val="20"/>
              </w:rPr>
              <w:t xml:space="preserve">SSO-02</w:t>
            </w:r>
          </w:p>
        </w:tc>
        <w:tc>
          <w:tcPr>
            <w:tcW w:type="dxa" w:w="6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Centralised Application Registry &amp; SSO Coverage Assurance</w:t>
            </w:r>
          </w:p>
        </w:tc>
        <w:tc>
          <w:tcPr>
            <w:tcW w:type="dxa" w:w="2360"/>
            <w:tcBorders>
              <w:top w:val="single" w:color="1B3A6B" w:sz="8"/>
              <w:left w:val="single" w:color="1B3A6B" w:sz="8"/>
              <w:bottom w:val="single" w:color="1B3A6B" w:sz="8"/>
              <w:right w:val="single" w:color="1B3A6B" w:sz="8"/>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P2 — 14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Risks Addressed</w:t>
            </w:r>
          </w:p>
        </w:tc>
        <w:tc>
          <w:tcPr>
            <w:tcW w:type="dxa" w:w="796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pPr>
            <w:r>
              <w:rPr>
                <w:rFonts w:ascii="Arial" w:cs="Arial" w:eastAsia="Arial" w:hAnsi="Arial"/>
                <w:color w:val="1B3A6B"/>
                <w:sz w:val="18"/>
                <w:szCs w:val="18"/>
              </w:rPr>
              <w:t xml:space="preserve">R-001, R-013</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Description</w:t>
            </w:r>
          </w:p>
        </w:tc>
        <w:tc>
          <w:tcPr>
            <w:tcW w:type="dxa" w:w="79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pPr>
            <w:r>
              <w:rPr>
                <w:rFonts w:ascii="Arial" w:cs="Arial" w:eastAsia="Arial" w:hAnsi="Arial"/>
                <w:color w:val="1A1A2E"/>
                <w:sz w:val="18"/>
                <w:szCs w:val="18"/>
              </w:rPr>
              <w:t xml:space="preserve">NovaPay lacks a maintained application registry that maps all applications to their authentication mechanism, Okta integration status, and business owner. Without this, new systems can be deployed with local auth by default and remain undetected until an audit. Establish a mandatory application registry with quarterly SSO compliance review.</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Standards</w:t>
            </w:r>
          </w:p>
        </w:tc>
        <w:tc>
          <w:tcPr>
            <w:tcW w:type="dxa" w:w="7960"/>
            <w:tcBorders>
              <w:top w:val="single" w:color="D0D5E8" w:sz="4"/>
              <w:left w:val="single" w:color="D0D5E8" w:sz="4"/>
              <w:bottom w:val="single" w:color="D0D5E8" w:sz="4"/>
              <w:right w:val="single" w:color="D0D5E8" w:sz="4"/>
            </w:tcBorders>
            <w:shd w:fill="E8F5EE" w:val="clear"/>
            <w:tcMar>
              <w:top w:type="dxa" w:w="100"/>
              <w:left w:type="dxa" w:w="160"/>
              <w:bottom w:type="dxa" w:w="100"/>
              <w:right w:type="dxa" w:w="160"/>
            </w:tcMar>
          </w:tcPr>
          <w:p>
            <w:pPr>
              <w:spacing w:after="0" w:before="0"/>
            </w:pPr>
            <w:r>
              <w:rPr>
                <w:rFonts w:ascii="Arial" w:cs="Arial" w:eastAsia="Arial" w:hAnsi="Arial"/>
                <w:color w:val="155E38"/>
                <w:sz w:val="18"/>
                <w:szCs w:val="18"/>
              </w:rPr>
              <w:t xml:space="preserve">NIST CM-8, PCI-DSS v4.0 Req 12.3.2, ISO 27001 A.8.1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Implementation Steps</w:t>
            </w:r>
          </w:p>
        </w:tc>
        <w:tc>
          <w:tcPr>
            <w:tcW w:type="dxa" w:w="7960"/>
            <w:tcBorders>
              <w:top w:val="single" w:color="D0D5E8" w:sz="4"/>
              <w:left w:val="single" w:color="D0D5E8" w:sz="4"/>
              <w:bottom w:val="single" w:color="D0D5E8" w:sz="4"/>
              <w:right w:val="single" w:color="D0D5E8" w:sz="4"/>
            </w:tcBorders>
            <w:shd w:fill="F4F6FB" w:val="clear"/>
            <w:tcMar>
              <w:top w:type="dxa" w:w="100"/>
              <w:left w:type="dxa" w:w="160"/>
              <w:bottom w:type="dxa" w:w="140"/>
              <w:right w:type="dxa" w:w="160"/>
            </w:tcMar>
          </w:tcPr>
          <w:p>
            <w:pPr>
              <w:pStyle w:val="ListParagraph"/>
              <w:numPr>
                <w:ilvl w:val="0"/>
                <w:numId w:val="2"/>
              </w:numPr>
              <w:spacing w:after="40" w:before="40"/>
            </w:pPr>
            <w:r>
              <w:rPr>
                <w:rFonts w:ascii="Arial" w:cs="Arial" w:eastAsia="Arial" w:hAnsi="Arial"/>
                <w:color w:val="1A1A2E"/>
                <w:sz w:val="18"/>
                <w:szCs w:val="18"/>
              </w:rPr>
              <w:t xml:space="preserve">Create application registry in Confluence (or ServiceNow CMDB): fields = App Name, Owner, Auth Type, Okta Integration, SSO Status, Last Reviewed.</w:t>
            </w:r>
          </w:p>
          <w:p>
            <w:pPr>
              <w:pStyle w:val="ListParagraph"/>
              <w:numPr>
                <w:ilvl w:val="0"/>
                <w:numId w:val="2"/>
              </w:numPr>
              <w:spacing w:after="40" w:before="40"/>
            </w:pPr>
            <w:r>
              <w:rPr>
                <w:rFonts w:ascii="Arial" w:cs="Arial" w:eastAsia="Arial" w:hAnsi="Arial"/>
                <w:color w:val="1A1A2E"/>
                <w:sz w:val="18"/>
                <w:szCs w:val="18"/>
              </w:rPr>
              <w:t xml:space="preserve">Automate discovery: query Okta /api/v1/apps endpoint weekly; flag apps in Okta not in registry and apps in registry not in Okta.</w:t>
            </w:r>
          </w:p>
          <w:p>
            <w:pPr>
              <w:pStyle w:val="ListParagraph"/>
              <w:numPr>
                <w:ilvl w:val="0"/>
                <w:numId w:val="2"/>
              </w:numPr>
              <w:spacing w:after="40" w:before="40"/>
            </w:pPr>
            <w:r>
              <w:rPr>
                <w:rFonts w:ascii="Arial" w:cs="Arial" w:eastAsia="Arial" w:hAnsi="Arial"/>
                <w:color w:val="1A1A2E"/>
                <w:sz w:val="18"/>
                <w:szCs w:val="18"/>
              </w:rPr>
              <w:t xml:space="preserve">Policy: no new application may be deployed to production without a completed Okta integration and registry entry.</w:t>
            </w:r>
          </w:p>
          <w:p>
            <w:pPr>
              <w:pStyle w:val="ListParagraph"/>
              <w:numPr>
                <w:ilvl w:val="0"/>
                <w:numId w:val="2"/>
              </w:numPr>
              <w:spacing w:after="40" w:before="40"/>
            </w:pPr>
            <w:r>
              <w:rPr>
                <w:rFonts w:ascii="Arial" w:cs="Arial" w:eastAsia="Arial" w:hAnsi="Arial"/>
                <w:color w:val="1A1A2E"/>
                <w:sz w:val="18"/>
                <w:szCs w:val="18"/>
              </w:rPr>
              <w:t xml:space="preserve">Add SSO integration as a mandatory gate in the engineering deployment checklist (Jira issue template).</w:t>
            </w:r>
          </w:p>
          <w:p>
            <w:pPr>
              <w:pStyle w:val="ListParagraph"/>
              <w:numPr>
                <w:ilvl w:val="0"/>
                <w:numId w:val="2"/>
              </w:numPr>
              <w:spacing w:after="40" w:before="40"/>
            </w:pPr>
            <w:r>
              <w:rPr>
                <w:rFonts w:ascii="Arial" w:cs="Arial" w:eastAsia="Arial" w:hAnsi="Arial"/>
                <w:color w:val="1A1A2E"/>
                <w:sz w:val="18"/>
                <w:szCs w:val="18"/>
              </w:rPr>
              <w:t xml:space="preserve">Quarterly review: Security team certifies 100% of apps in registry are Okta-integrated; exceptions require CISO approval.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360"/>
      </w:tblGrid>
      <w:tr>
        <w:tc>
          <w:tcPr>
            <w:tcW w:type="dxa" w:w="1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jc w:val="center"/>
            </w:pPr>
            <w:r>
              <w:rPr>
                <w:rFonts w:ascii="Arial" w:cs="Arial" w:eastAsia="Arial" w:hAnsi="Arial"/>
                <w:b/>
                <w:bCs/>
                <w:color w:val="D6E4F7"/>
                <w:sz w:val="20"/>
                <w:szCs w:val="20"/>
              </w:rPr>
              <w:t xml:space="preserve">SSO-03</w:t>
            </w:r>
          </w:p>
        </w:tc>
        <w:tc>
          <w:tcPr>
            <w:tcW w:type="dxa" w:w="6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Federated Identity for Third-Party and Contractor Access</w:t>
            </w:r>
          </w:p>
        </w:tc>
        <w:tc>
          <w:tcPr>
            <w:tcW w:type="dxa" w:w="2360"/>
            <w:tcBorders>
              <w:top w:val="single" w:color="1B3A6B" w:sz="8"/>
              <w:left w:val="single" w:color="1B3A6B" w:sz="8"/>
              <w:bottom w:val="single" w:color="1B3A6B" w:sz="8"/>
              <w:right w:val="single" w:color="1B3A6B" w:sz="8"/>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P2 — 14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Risks Addressed</w:t>
            </w:r>
          </w:p>
        </w:tc>
        <w:tc>
          <w:tcPr>
            <w:tcW w:type="dxa" w:w="796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pPr>
            <w:r>
              <w:rPr>
                <w:rFonts w:ascii="Arial" w:cs="Arial" w:eastAsia="Arial" w:hAnsi="Arial"/>
                <w:color w:val="1B3A6B"/>
                <w:sz w:val="18"/>
                <w:szCs w:val="18"/>
              </w:rPr>
              <w:t xml:space="preserve">R-005, R-006</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Description</w:t>
            </w:r>
          </w:p>
        </w:tc>
        <w:tc>
          <w:tcPr>
            <w:tcW w:type="dxa" w:w="79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pPr>
            <w:r>
              <w:rPr>
                <w:rFonts w:ascii="Arial" w:cs="Arial" w:eastAsia="Arial" w:hAnsi="Arial"/>
                <w:color w:val="1A1A2E"/>
                <w:sz w:val="18"/>
                <w:szCs w:val="18"/>
              </w:rPr>
              <w:t xml:space="preserve">Contractors (USR-8002) and partner-org transfers (USR-8003) currently receive full internal Okta accounts indistinguishable from employee accounts, leading to orphaned accounts post-engagement. Establish a separate identity tier for non-employees using Okta's B2B Federation or Workforce Identity external accounts, with automated expiry tied to contract end date.</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Standards</w:t>
            </w:r>
          </w:p>
        </w:tc>
        <w:tc>
          <w:tcPr>
            <w:tcW w:type="dxa" w:w="7960"/>
            <w:tcBorders>
              <w:top w:val="single" w:color="D0D5E8" w:sz="4"/>
              <w:left w:val="single" w:color="D0D5E8" w:sz="4"/>
              <w:bottom w:val="single" w:color="D0D5E8" w:sz="4"/>
              <w:right w:val="single" w:color="D0D5E8" w:sz="4"/>
            </w:tcBorders>
            <w:shd w:fill="E8F5EE" w:val="clear"/>
            <w:tcMar>
              <w:top w:type="dxa" w:w="100"/>
              <w:left w:type="dxa" w:w="160"/>
              <w:bottom w:type="dxa" w:w="100"/>
              <w:right w:type="dxa" w:w="160"/>
            </w:tcMar>
          </w:tcPr>
          <w:p>
            <w:pPr>
              <w:spacing w:after="0" w:before="0"/>
            </w:pPr>
            <w:r>
              <w:rPr>
                <w:rFonts w:ascii="Arial" w:cs="Arial" w:eastAsia="Arial" w:hAnsi="Arial"/>
                <w:color w:val="155E38"/>
                <w:sz w:val="18"/>
                <w:szCs w:val="18"/>
              </w:rPr>
              <w:t xml:space="preserve">NIST IA-4, PCI-DSS v4.0 Req 8.2.5, CIS Control 5.3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Implementation Steps</w:t>
            </w:r>
          </w:p>
        </w:tc>
        <w:tc>
          <w:tcPr>
            <w:tcW w:type="dxa" w:w="7960"/>
            <w:tcBorders>
              <w:top w:val="single" w:color="D0D5E8" w:sz="4"/>
              <w:left w:val="single" w:color="D0D5E8" w:sz="4"/>
              <w:bottom w:val="single" w:color="D0D5E8" w:sz="4"/>
              <w:right w:val="single" w:color="D0D5E8" w:sz="4"/>
            </w:tcBorders>
            <w:shd w:fill="F4F6FB" w:val="clear"/>
            <w:tcMar>
              <w:top w:type="dxa" w:w="100"/>
              <w:left w:type="dxa" w:w="160"/>
              <w:bottom w:type="dxa" w:w="140"/>
              <w:right w:type="dxa" w:w="160"/>
            </w:tcMar>
          </w:tcPr>
          <w:p>
            <w:pPr>
              <w:pStyle w:val="ListParagraph"/>
              <w:numPr>
                <w:ilvl w:val="0"/>
                <w:numId w:val="2"/>
              </w:numPr>
              <w:spacing w:after="40" w:before="40"/>
            </w:pPr>
            <w:r>
              <w:rPr>
                <w:rFonts w:ascii="Arial" w:cs="Arial" w:eastAsia="Arial" w:hAnsi="Arial"/>
                <w:color w:val="1A1A2E"/>
                <w:sz w:val="18"/>
                <w:szCs w:val="18"/>
              </w:rPr>
              <w:t xml:space="preserve">Create Okta group 'external-users' with separate authentication policy and access restrictions.</w:t>
            </w:r>
          </w:p>
          <w:p>
            <w:pPr>
              <w:pStyle w:val="ListParagraph"/>
              <w:numPr>
                <w:ilvl w:val="0"/>
                <w:numId w:val="2"/>
              </w:numPr>
              <w:spacing w:after="40" w:before="40"/>
            </w:pPr>
            <w:r>
              <w:rPr>
                <w:rFonts w:ascii="Arial" w:cs="Arial" w:eastAsia="Arial" w:hAnsi="Arial"/>
                <w:color w:val="1A1A2E"/>
                <w:sz w:val="18"/>
                <w:szCs w:val="18"/>
              </w:rPr>
              <w:t xml:space="preserve">Integrate with contract management system (ServiceNow / Workday) — auto-set account expiry from contract end date field.</w:t>
            </w:r>
          </w:p>
          <w:p>
            <w:pPr>
              <w:pStyle w:val="ListParagraph"/>
              <w:numPr>
                <w:ilvl w:val="0"/>
                <w:numId w:val="2"/>
              </w:numPr>
              <w:spacing w:after="40" w:before="40"/>
            </w:pPr>
            <w:r>
              <w:rPr>
                <w:rFonts w:ascii="Arial" w:cs="Arial" w:eastAsia="Arial" w:hAnsi="Arial"/>
                <w:color w:val="1A1A2E"/>
                <w:sz w:val="18"/>
                <w:szCs w:val="18"/>
              </w:rPr>
              <w:t xml:space="preserve">External accounts expire automatically on contract end date; require IT approval to extend.</w:t>
            </w:r>
          </w:p>
          <w:p>
            <w:pPr>
              <w:pStyle w:val="ListParagraph"/>
              <w:numPr>
                <w:ilvl w:val="0"/>
                <w:numId w:val="2"/>
              </w:numPr>
              <w:spacing w:after="40" w:before="40"/>
            </w:pPr>
            <w:r>
              <w:rPr>
                <w:rFonts w:ascii="Arial" w:cs="Arial" w:eastAsia="Arial" w:hAnsi="Arial"/>
                <w:color w:val="1A1A2E"/>
                <w:sz w:val="18"/>
                <w:szCs w:val="18"/>
              </w:rPr>
              <w:t xml:space="preserve">External accounts are excluded from bulk access provisioning templates — access must be explicitly requested per system.</w:t>
            </w:r>
          </w:p>
          <w:p>
            <w:pPr>
              <w:pStyle w:val="ListParagraph"/>
              <w:numPr>
                <w:ilvl w:val="0"/>
                <w:numId w:val="2"/>
              </w:numPr>
              <w:spacing w:after="40" w:before="40"/>
            </w:pPr>
            <w:r>
              <w:rPr>
                <w:rFonts w:ascii="Arial" w:cs="Arial" w:eastAsia="Arial" w:hAnsi="Arial"/>
                <w:color w:val="1A1A2E"/>
                <w:sz w:val="18"/>
                <w:szCs w:val="18"/>
              </w:rPr>
              <w:t xml:space="preserve">Quarterly access review mandatory for all external accounts regardless of contract status.</w:t>
            </w:r>
          </w:p>
          <w:p>
            <w:pPr>
              <w:pStyle w:val="ListParagraph"/>
              <w:numPr>
                <w:ilvl w:val="0"/>
                <w:numId w:val="2"/>
              </w:numPr>
              <w:spacing w:after="40" w:before="40"/>
            </w:pPr>
            <w:r>
              <w:rPr>
                <w:rFonts w:ascii="Arial" w:cs="Arial" w:eastAsia="Arial" w:hAnsi="Arial"/>
                <w:color w:val="1A1A2E"/>
                <w:sz w:val="18"/>
                <w:szCs w:val="18"/>
              </w:rPr>
              <w:t xml:space="preserve">Terminate USR-8002 and USR-8003 per R-004/R-006 remediation; enroll future externals under new framework.</w:t>
            </w:r>
          </w:p>
        </w:tc>
      </w:tr>
    </w:tbl>
    <w:p>
      <w:pPr>
        <w:spacing w:after="0" w:before="120"/>
      </w:pPr>
      <w:r>
        <w:t xml:space="preserve"/>
      </w:r>
    </w:p>
    <w:p>
      <w:r>
        <w:br w:type="page"/>
      </w:r>
    </w:p>
    <w:p>
      <w:pPr>
        <w:pStyle w:val="Heading1"/>
        <w:pBdr>
          <w:bottom w:val="single" w:color="2E5FA3" w:sz="10"/>
        </w:pBdr>
        <w:spacing w:after="160" w:before="440"/>
      </w:pPr>
      <w:r>
        <w:rPr>
          <w:rFonts w:ascii="Arial" w:cs="Arial" w:eastAsia="Arial" w:hAnsi="Arial"/>
          <w:b/>
          <w:bCs/>
          <w:color w:val="1B3A6B"/>
          <w:sz w:val="30"/>
          <w:szCs w:val="30"/>
        </w:rPr>
        <w:t xml:space="preserve">5. RBAC Corrections &amp;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tcPr>
          <w:p>
            <w:pPr>
              <w:spacing w:after="20" w:before="0"/>
            </w:pPr>
            <w:r>
              <w:rPr>
                <w:rFonts w:ascii="Arial" w:cs="Arial" w:eastAsia="Arial" w:hAnsi="Arial"/>
                <w:b/>
                <w:bCs/>
                <w:color w:val="FFFFFF"/>
                <w:sz w:val="15"/>
                <w:szCs w:val="15"/>
              </w:rPr>
              <w:t xml:space="preserve">Domain</w:t>
            </w:r>
          </w:p>
          <w:p>
            <w:pPr>
              <w:spacing w:after="0" w:before="0"/>
            </w:pPr>
            <w:r>
              <w:rPr>
                <w:rFonts w:ascii="Arial" w:cs="Arial" w:eastAsia="Arial" w:hAnsi="Arial"/>
                <w:b/>
                <w:bCs/>
                <w:color w:val="D6E4F7"/>
                <w:sz w:val="20"/>
                <w:szCs w:val="20"/>
              </w:rPr>
              <w:t xml:space="preserve">CTL-RBAC</w:t>
            </w:r>
          </w:p>
        </w:tc>
        <w:tc>
          <w:tcPr>
            <w:tcW w:type="dxa" w:w="8160"/>
            <w:tcBorders>
              <w:top w:val="single" w:color="1B3A6B" w:sz="6"/>
              <w:left w:val="single" w:color="1B3A6B" w:sz="6"/>
              <w:bottom w:val="single" w:color="1B3A6B" w:sz="6"/>
              <w:right w:val="single" w:color="1B3A6B" w:sz="6"/>
            </w:tcBorders>
            <w:shd w:fill="EEF4FF" w:val="clear"/>
            <w:tcMar>
              <w:top w:type="dxa" w:w="100"/>
              <w:left w:type="dxa" w:w="200"/>
              <w:bottom w:type="dxa" w:w="100"/>
              <w:right w:type="dxa" w:w="160"/>
            </w:tcMar>
          </w:tcPr>
          <w:p>
            <w:pPr>
              <w:spacing w:after="0" w:before="0"/>
            </w:pPr>
            <w:r>
              <w:rPr>
                <w:rFonts w:ascii="Arial" w:cs="Arial" w:eastAsia="Arial" w:hAnsi="Arial"/>
                <w:color w:val="1A1A2E"/>
                <w:sz w:val="19"/>
                <w:szCs w:val="19"/>
              </w:rPr>
              <w:t xml:space="preserve">The assessment found role creep in 3 Engineering accounts and an incorrect provisioning in Finance, both undetected through standard quarterly certification. This domain fixes the immediate violations and rebuilds the RBAC governance process to detect and prevent recurrence — shifting from reactive certification to proactive IGA-enforced role management.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360"/>
      </w:tblGrid>
      <w:tr>
        <w:tc>
          <w:tcPr>
            <w:tcW w:type="dxa" w:w="1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jc w:val="center"/>
            </w:pPr>
            <w:r>
              <w:rPr>
                <w:rFonts w:ascii="Arial" w:cs="Arial" w:eastAsia="Arial" w:hAnsi="Arial"/>
                <w:b/>
                <w:bCs/>
                <w:color w:val="D6E4F7"/>
                <w:sz w:val="20"/>
                <w:szCs w:val="20"/>
              </w:rPr>
              <w:t xml:space="preserve">RBAC-01</w:t>
            </w:r>
          </w:p>
        </w:tc>
        <w:tc>
          <w:tcPr>
            <w:tcW w:type="dxa" w:w="6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Immediate Role Creep Remediation — Engineering Lead Group Cleanup</w:t>
            </w:r>
          </w:p>
        </w:tc>
        <w:tc>
          <w:tcPr>
            <w:tcW w:type="dxa" w:w="2360"/>
            <w:tcBorders>
              <w:top w:val="single" w:color="1B3A6B" w:sz="8"/>
              <w:left w:val="single" w:color="1B3A6B" w:sz="8"/>
              <w:bottom w:val="single" w:color="1B3A6B" w:sz="8"/>
              <w:right w:val="single" w:color="1B3A6B" w:sz="8"/>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P1 — Immediate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Risks Addressed</w:t>
            </w:r>
          </w:p>
        </w:tc>
        <w:tc>
          <w:tcPr>
            <w:tcW w:type="dxa" w:w="796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pPr>
            <w:r>
              <w:rPr>
                <w:rFonts w:ascii="Arial" w:cs="Arial" w:eastAsia="Arial" w:hAnsi="Arial"/>
                <w:color w:val="1B3A6B"/>
                <w:sz w:val="18"/>
                <w:szCs w:val="18"/>
              </w:rPr>
              <w:t xml:space="preserve">R-008 (Role creep — 3 accounts)</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Description</w:t>
            </w:r>
          </w:p>
        </w:tc>
        <w:tc>
          <w:tcPr>
            <w:tcW w:type="dxa" w:w="79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pPr>
            <w:r>
              <w:rPr>
                <w:rFonts w:ascii="Arial" w:cs="Arial" w:eastAsia="Arial" w:hAnsi="Arial"/>
                <w:color w:val="1A1A2E"/>
                <w:sz w:val="18"/>
                <w:szCs w:val="18"/>
              </w:rPr>
              <w:t xml:space="preserve">USR-1001, USR-1004, and USR-1008 retain Engineering Lead Okta group membership from a March 2024 restructure, granting them staging infrastructure write access and expanded AWS IAM permissions beyond their current Developer (Senior) role. This constitutes a principle of least privilege violation and creates excess blast radius for any credential compromise.</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Standards</w:t>
            </w:r>
          </w:p>
        </w:tc>
        <w:tc>
          <w:tcPr>
            <w:tcW w:type="dxa" w:w="7960"/>
            <w:tcBorders>
              <w:top w:val="single" w:color="D0D5E8" w:sz="4"/>
              <w:left w:val="single" w:color="D0D5E8" w:sz="4"/>
              <w:bottom w:val="single" w:color="D0D5E8" w:sz="4"/>
              <w:right w:val="single" w:color="D0D5E8" w:sz="4"/>
            </w:tcBorders>
            <w:shd w:fill="E8F5EE" w:val="clear"/>
            <w:tcMar>
              <w:top w:type="dxa" w:w="100"/>
              <w:left w:type="dxa" w:w="160"/>
              <w:bottom w:type="dxa" w:w="100"/>
              <w:right w:type="dxa" w:w="160"/>
            </w:tcMar>
          </w:tcPr>
          <w:p>
            <w:pPr>
              <w:spacing w:after="0" w:before="0"/>
            </w:pPr>
            <w:r>
              <w:rPr>
                <w:rFonts w:ascii="Arial" w:cs="Arial" w:eastAsia="Arial" w:hAnsi="Arial"/>
                <w:color w:val="155E38"/>
                <w:sz w:val="18"/>
                <w:szCs w:val="18"/>
              </w:rPr>
              <w:t xml:space="preserve">NIST AC-6, PCI-DSS v4.0 Req 7.2.1, CIS Control 5.4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Implementation Steps</w:t>
            </w:r>
          </w:p>
        </w:tc>
        <w:tc>
          <w:tcPr>
            <w:tcW w:type="dxa" w:w="7960"/>
            <w:tcBorders>
              <w:top w:val="single" w:color="D0D5E8" w:sz="4"/>
              <w:left w:val="single" w:color="D0D5E8" w:sz="4"/>
              <w:bottom w:val="single" w:color="D0D5E8" w:sz="4"/>
              <w:right w:val="single" w:color="D0D5E8" w:sz="4"/>
            </w:tcBorders>
            <w:shd w:fill="F4F6FB" w:val="clear"/>
            <w:tcMar>
              <w:top w:type="dxa" w:w="100"/>
              <w:left w:type="dxa" w:w="160"/>
              <w:bottom w:type="dxa" w:w="140"/>
              <w:right w:type="dxa" w:w="160"/>
            </w:tcMar>
          </w:tcPr>
          <w:p>
            <w:pPr>
              <w:pStyle w:val="ListParagraph"/>
              <w:numPr>
                <w:ilvl w:val="0"/>
                <w:numId w:val="2"/>
              </w:numPr>
              <w:spacing w:after="40" w:before="40"/>
            </w:pPr>
            <w:r>
              <w:rPr>
                <w:rFonts w:ascii="Arial" w:cs="Arial" w:eastAsia="Arial" w:hAnsi="Arial"/>
                <w:color w:val="1A1A2E"/>
                <w:sz w:val="18"/>
                <w:szCs w:val="18"/>
              </w:rPr>
              <w:t xml:space="preserve">Remove USR-1001, USR-1004, USR-1008 from 'engineering-leads' Okta group immediately.</w:t>
            </w:r>
          </w:p>
          <w:p>
            <w:pPr>
              <w:pStyle w:val="ListParagraph"/>
              <w:numPr>
                <w:ilvl w:val="0"/>
                <w:numId w:val="2"/>
              </w:numPr>
              <w:spacing w:after="40" w:before="40"/>
            </w:pPr>
            <w:r>
              <w:rPr>
                <w:rFonts w:ascii="Arial" w:cs="Arial" w:eastAsia="Arial" w:hAnsi="Arial"/>
                <w:color w:val="1A1A2E"/>
                <w:sz w:val="18"/>
                <w:szCs w:val="18"/>
              </w:rPr>
              <w:t xml:space="preserve">Re-assign to 'developer-senior' group only — verify correct AWS IAM permission boundary is applied.</w:t>
            </w:r>
          </w:p>
          <w:p>
            <w:pPr>
              <w:pStyle w:val="ListParagraph"/>
              <w:numPr>
                <w:ilvl w:val="0"/>
                <w:numId w:val="2"/>
              </w:numPr>
              <w:spacing w:after="40" w:before="40"/>
            </w:pPr>
            <w:r>
              <w:rPr>
                <w:rFonts w:ascii="Arial" w:cs="Arial" w:eastAsia="Arial" w:hAnsi="Arial"/>
                <w:color w:val="1A1A2E"/>
                <w:sz w:val="18"/>
                <w:szCs w:val="18"/>
              </w:rPr>
              <w:t xml:space="preserve">Audit all three accounts' recent activity in CloudTrail for any use of elevated permissions in the last 90 days.</w:t>
            </w:r>
          </w:p>
          <w:p>
            <w:pPr>
              <w:pStyle w:val="ListParagraph"/>
              <w:numPr>
                <w:ilvl w:val="0"/>
                <w:numId w:val="2"/>
              </w:numPr>
              <w:spacing w:after="40" w:before="40"/>
            </w:pPr>
            <w:r>
              <w:rPr>
                <w:rFonts w:ascii="Arial" w:cs="Arial" w:eastAsia="Arial" w:hAnsi="Arial"/>
                <w:color w:val="1A1A2E"/>
                <w:sz w:val="18"/>
                <w:szCs w:val="18"/>
              </w:rPr>
              <w:t xml:space="preserve">Run SailPoint access certification specifically for Engineering Leads group — require manager attestation for each member.</w:t>
            </w:r>
          </w:p>
          <w:p>
            <w:pPr>
              <w:pStyle w:val="ListParagraph"/>
              <w:numPr>
                <w:ilvl w:val="0"/>
                <w:numId w:val="2"/>
              </w:numPr>
              <w:spacing w:after="40" w:before="40"/>
            </w:pPr>
            <w:r>
              <w:rPr>
                <w:rFonts w:ascii="Arial" w:cs="Arial" w:eastAsia="Arial" w:hAnsi="Arial"/>
                <w:color w:val="1A1A2E"/>
                <w:sz w:val="18"/>
                <w:szCs w:val="18"/>
              </w:rPr>
              <w:t xml:space="preserve">Add SailPoint policy rule: alert if user's Okta group membership exceeds their HR job title scope by more than 1 role level.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360"/>
      </w:tblGrid>
      <w:tr>
        <w:tc>
          <w:tcPr>
            <w:tcW w:type="dxa" w:w="1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jc w:val="center"/>
            </w:pPr>
            <w:r>
              <w:rPr>
                <w:rFonts w:ascii="Arial" w:cs="Arial" w:eastAsia="Arial" w:hAnsi="Arial"/>
                <w:b/>
                <w:bCs/>
                <w:color w:val="D6E4F7"/>
                <w:sz w:val="20"/>
                <w:szCs w:val="20"/>
              </w:rPr>
              <w:t xml:space="preserve">RBAC-02</w:t>
            </w:r>
          </w:p>
        </w:tc>
        <w:tc>
          <w:tcPr>
            <w:tcW w:type="dxa" w:w="6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Remediate Over-Provisioned Finance Analyst (Admin Dashboard Edit Rights)</w:t>
            </w:r>
          </w:p>
        </w:tc>
        <w:tc>
          <w:tcPr>
            <w:tcW w:type="dxa" w:w="2360"/>
            <w:tcBorders>
              <w:top w:val="single" w:color="1B3A6B" w:sz="8"/>
              <w:left w:val="single" w:color="1B3A6B" w:sz="8"/>
              <w:bottom w:val="single" w:color="1B3A6B" w:sz="8"/>
              <w:right w:val="single" w:color="1B3A6B" w:sz="8"/>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P2 — 14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Risks Addressed</w:t>
            </w:r>
          </w:p>
        </w:tc>
        <w:tc>
          <w:tcPr>
            <w:tcW w:type="dxa" w:w="796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pPr>
            <w:r>
              <w:rPr>
                <w:rFonts w:ascii="Arial" w:cs="Arial" w:eastAsia="Arial" w:hAnsi="Arial"/>
                <w:color w:val="1B3A6B"/>
                <w:sz w:val="18"/>
                <w:szCs w:val="18"/>
              </w:rPr>
              <w:t xml:space="preserve">R-009 (Over-privileged user)</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Description</w:t>
            </w:r>
          </w:p>
        </w:tc>
        <w:tc>
          <w:tcPr>
            <w:tcW w:type="dxa" w:w="79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pPr>
            <w:r>
              <w:rPr>
                <w:rFonts w:ascii="Arial" w:cs="Arial" w:eastAsia="Arial" w:hAnsi="Arial"/>
                <w:color w:val="1A1A2E"/>
                <w:sz w:val="18"/>
                <w:szCs w:val="18"/>
              </w:rPr>
              <w:t xml:space="preserve">USR-2003 (Yuki Tanaka, Finance Analyst) was incorrectly provisioned with Admin Dashboard edit rights during onboarding. The RBAC matrix specifies Finance Analysts as Read-only on the Admin Dashboard. This provisioning error undermines the maker-checker integrity control in the Finance workflow.</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Standards</w:t>
            </w:r>
          </w:p>
        </w:tc>
        <w:tc>
          <w:tcPr>
            <w:tcW w:type="dxa" w:w="7960"/>
            <w:tcBorders>
              <w:top w:val="single" w:color="D0D5E8" w:sz="4"/>
              <w:left w:val="single" w:color="D0D5E8" w:sz="4"/>
              <w:bottom w:val="single" w:color="D0D5E8" w:sz="4"/>
              <w:right w:val="single" w:color="D0D5E8" w:sz="4"/>
            </w:tcBorders>
            <w:shd w:fill="E8F5EE" w:val="clear"/>
            <w:tcMar>
              <w:top w:type="dxa" w:w="100"/>
              <w:left w:type="dxa" w:w="160"/>
              <w:bottom w:type="dxa" w:w="100"/>
              <w:right w:type="dxa" w:w="160"/>
            </w:tcMar>
          </w:tcPr>
          <w:p>
            <w:pPr>
              <w:spacing w:after="0" w:before="0"/>
            </w:pPr>
            <w:r>
              <w:rPr>
                <w:rFonts w:ascii="Arial" w:cs="Arial" w:eastAsia="Arial" w:hAnsi="Arial"/>
                <w:color w:val="155E38"/>
                <w:sz w:val="18"/>
                <w:szCs w:val="18"/>
              </w:rPr>
              <w:t xml:space="preserve">NIST AC-2, PCI-DSS v4.0 Req 7.2.2, ISO 27001 A.9.2.2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Implementation Steps</w:t>
            </w:r>
          </w:p>
        </w:tc>
        <w:tc>
          <w:tcPr>
            <w:tcW w:type="dxa" w:w="7960"/>
            <w:tcBorders>
              <w:top w:val="single" w:color="D0D5E8" w:sz="4"/>
              <w:left w:val="single" w:color="D0D5E8" w:sz="4"/>
              <w:bottom w:val="single" w:color="D0D5E8" w:sz="4"/>
              <w:right w:val="single" w:color="D0D5E8" w:sz="4"/>
            </w:tcBorders>
            <w:shd w:fill="F4F6FB" w:val="clear"/>
            <w:tcMar>
              <w:top w:type="dxa" w:w="100"/>
              <w:left w:type="dxa" w:w="160"/>
              <w:bottom w:type="dxa" w:w="140"/>
              <w:right w:type="dxa" w:w="160"/>
            </w:tcMar>
          </w:tcPr>
          <w:p>
            <w:pPr>
              <w:pStyle w:val="ListParagraph"/>
              <w:numPr>
                <w:ilvl w:val="0"/>
                <w:numId w:val="2"/>
              </w:numPr>
              <w:spacing w:after="40" w:before="40"/>
            </w:pPr>
            <w:r>
              <w:rPr>
                <w:rFonts w:ascii="Arial" w:cs="Arial" w:eastAsia="Arial" w:hAnsi="Arial"/>
                <w:color w:val="1A1A2E"/>
                <w:sz w:val="18"/>
                <w:szCs w:val="18"/>
              </w:rPr>
              <w:t xml:space="preserve">Remove Admin Dashboard 'Editor' role from USR-2003 — apply Finance Analyst read-only policy.</w:t>
            </w:r>
          </w:p>
          <w:p>
            <w:pPr>
              <w:pStyle w:val="ListParagraph"/>
              <w:numPr>
                <w:ilvl w:val="0"/>
                <w:numId w:val="2"/>
              </w:numPr>
              <w:spacing w:after="40" w:before="40"/>
            </w:pPr>
            <w:r>
              <w:rPr>
                <w:rFonts w:ascii="Arial" w:cs="Arial" w:eastAsia="Arial" w:hAnsi="Arial"/>
                <w:color w:val="1A1A2E"/>
                <w:sz w:val="18"/>
                <w:szCs w:val="18"/>
              </w:rPr>
              <w:t xml:space="preserve">Audit all Finance Analyst accounts (USR-2002, USR-2004, USR-2003) for similar provisioning errors.</w:t>
            </w:r>
          </w:p>
          <w:p>
            <w:pPr>
              <w:pStyle w:val="ListParagraph"/>
              <w:numPr>
                <w:ilvl w:val="0"/>
                <w:numId w:val="2"/>
              </w:numPr>
              <w:spacing w:after="40" w:before="40"/>
            </w:pPr>
            <w:r>
              <w:rPr>
                <w:rFonts w:ascii="Arial" w:cs="Arial" w:eastAsia="Arial" w:hAnsi="Arial"/>
                <w:color w:val="1A1A2E"/>
                <w:sz w:val="18"/>
                <w:szCs w:val="18"/>
              </w:rPr>
              <w:t xml:space="preserve">Review Admin Dashboard onboarding template — correct the default Finance Analyst role assignment.</w:t>
            </w:r>
          </w:p>
          <w:p>
            <w:pPr>
              <w:pStyle w:val="ListParagraph"/>
              <w:numPr>
                <w:ilvl w:val="0"/>
                <w:numId w:val="2"/>
              </w:numPr>
              <w:spacing w:after="40" w:before="40"/>
            </w:pPr>
            <w:r>
              <w:rPr>
                <w:rFonts w:ascii="Arial" w:cs="Arial" w:eastAsia="Arial" w:hAnsi="Arial"/>
                <w:color w:val="1A1A2E"/>
                <w:sz w:val="18"/>
                <w:szCs w:val="18"/>
              </w:rPr>
              <w:t xml:space="preserve">Add Admin Dashboard role assignments to quarterly SailPoint access certification scope.</w:t>
            </w:r>
          </w:p>
          <w:p>
            <w:pPr>
              <w:pStyle w:val="ListParagraph"/>
              <w:numPr>
                <w:ilvl w:val="0"/>
                <w:numId w:val="2"/>
              </w:numPr>
              <w:spacing w:after="40" w:before="40"/>
            </w:pPr>
            <w:r>
              <w:rPr>
                <w:rFonts w:ascii="Arial" w:cs="Arial" w:eastAsia="Arial" w:hAnsi="Arial"/>
                <w:color w:val="1A1A2E"/>
                <w:sz w:val="18"/>
                <w:szCs w:val="18"/>
              </w:rPr>
              <w:t xml:space="preserve">Validate: Finance Manager (USR-2001, USR-2005) retains Read/Write; Finance Analyst reduced to Read-only.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360"/>
      </w:tblGrid>
      <w:tr>
        <w:tc>
          <w:tcPr>
            <w:tcW w:type="dxa" w:w="1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jc w:val="center"/>
            </w:pPr>
            <w:r>
              <w:rPr>
                <w:rFonts w:ascii="Arial" w:cs="Arial" w:eastAsia="Arial" w:hAnsi="Arial"/>
                <w:b/>
                <w:bCs/>
                <w:color w:val="D6E4F7"/>
                <w:sz w:val="20"/>
                <w:szCs w:val="20"/>
              </w:rPr>
              <w:t xml:space="preserve">RBAC-03</w:t>
            </w:r>
          </w:p>
        </w:tc>
        <w:tc>
          <w:tcPr>
            <w:tcW w:type="dxa" w:w="6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Automated Role Conflict Detection via IGA (SailPoint)</w:t>
            </w:r>
          </w:p>
        </w:tc>
        <w:tc>
          <w:tcPr>
            <w:tcW w:type="dxa" w:w="2360"/>
            <w:tcBorders>
              <w:top w:val="single" w:color="1B3A6B" w:sz="8"/>
              <w:left w:val="single" w:color="1B3A6B" w:sz="8"/>
              <w:bottom w:val="single" w:color="1B3A6B" w:sz="8"/>
              <w:right w:val="single" w:color="1B3A6B" w:sz="8"/>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P2 — 14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Risks Addressed</w:t>
            </w:r>
          </w:p>
        </w:tc>
        <w:tc>
          <w:tcPr>
            <w:tcW w:type="dxa" w:w="796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pPr>
            <w:r>
              <w:rPr>
                <w:rFonts w:ascii="Arial" w:cs="Arial" w:eastAsia="Arial" w:hAnsi="Arial"/>
                <w:color w:val="1B3A6B"/>
                <w:sz w:val="18"/>
                <w:szCs w:val="18"/>
              </w:rPr>
              <w:t xml:space="preserve">R-008, R-009</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Description</w:t>
            </w:r>
          </w:p>
        </w:tc>
        <w:tc>
          <w:tcPr>
            <w:tcW w:type="dxa" w:w="79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pPr>
            <w:r>
              <w:rPr>
                <w:rFonts w:ascii="Arial" w:cs="Arial" w:eastAsia="Arial" w:hAnsi="Arial"/>
                <w:color w:val="1A1A2E"/>
                <w:sz w:val="18"/>
                <w:szCs w:val="18"/>
              </w:rPr>
              <w:t xml:space="preserve">The role creep and over-provisioning issues persisted because quarterly access certifications rely on manual manager attestation without automated conflict detection. SailPoint IdentityNow should enforce role definitions programmatically, detect conflicts in real time, and prevent non-compliant assignments at provisioning time rather than discovering them in quarterly reviews.</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Standards</w:t>
            </w:r>
          </w:p>
        </w:tc>
        <w:tc>
          <w:tcPr>
            <w:tcW w:type="dxa" w:w="7960"/>
            <w:tcBorders>
              <w:top w:val="single" w:color="D0D5E8" w:sz="4"/>
              <w:left w:val="single" w:color="D0D5E8" w:sz="4"/>
              <w:bottom w:val="single" w:color="D0D5E8" w:sz="4"/>
              <w:right w:val="single" w:color="D0D5E8" w:sz="4"/>
            </w:tcBorders>
            <w:shd w:fill="E8F5EE" w:val="clear"/>
            <w:tcMar>
              <w:top w:type="dxa" w:w="100"/>
              <w:left w:type="dxa" w:w="160"/>
              <w:bottom w:type="dxa" w:w="100"/>
              <w:right w:type="dxa" w:w="160"/>
            </w:tcMar>
          </w:tcPr>
          <w:p>
            <w:pPr>
              <w:spacing w:after="0" w:before="0"/>
            </w:pPr>
            <w:r>
              <w:rPr>
                <w:rFonts w:ascii="Arial" w:cs="Arial" w:eastAsia="Arial" w:hAnsi="Arial"/>
                <w:color w:val="155E38"/>
                <w:sz w:val="18"/>
                <w:szCs w:val="18"/>
              </w:rPr>
              <w:t xml:space="preserve">NIST AC-5, PCI-DSS v4.0 Req 7.3.1, CIS Control 5.1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Implementation Steps</w:t>
            </w:r>
          </w:p>
        </w:tc>
        <w:tc>
          <w:tcPr>
            <w:tcW w:type="dxa" w:w="7960"/>
            <w:tcBorders>
              <w:top w:val="single" w:color="D0D5E8" w:sz="4"/>
              <w:left w:val="single" w:color="D0D5E8" w:sz="4"/>
              <w:bottom w:val="single" w:color="D0D5E8" w:sz="4"/>
              <w:right w:val="single" w:color="D0D5E8" w:sz="4"/>
            </w:tcBorders>
            <w:shd w:fill="F4F6FB" w:val="clear"/>
            <w:tcMar>
              <w:top w:type="dxa" w:w="100"/>
              <w:left w:type="dxa" w:w="160"/>
              <w:bottom w:type="dxa" w:w="140"/>
              <w:right w:type="dxa" w:w="160"/>
            </w:tcMar>
          </w:tcPr>
          <w:p>
            <w:pPr>
              <w:pStyle w:val="ListParagraph"/>
              <w:numPr>
                <w:ilvl w:val="0"/>
                <w:numId w:val="2"/>
              </w:numPr>
              <w:spacing w:after="40" w:before="40"/>
            </w:pPr>
            <w:r>
              <w:rPr>
                <w:rFonts w:ascii="Arial" w:cs="Arial" w:eastAsia="Arial" w:hAnsi="Arial"/>
                <w:color w:val="1A1A2E"/>
                <w:sz w:val="18"/>
                <w:szCs w:val="18"/>
              </w:rPr>
              <w:t xml:space="preserve">Define authoritative role definitions in SailPoint matching the RBAC matrix (14 roles × 5 systems).</w:t>
            </w:r>
          </w:p>
          <w:p>
            <w:pPr>
              <w:pStyle w:val="ListParagraph"/>
              <w:numPr>
                <w:ilvl w:val="0"/>
                <w:numId w:val="2"/>
              </w:numPr>
              <w:spacing w:after="40" w:before="40"/>
            </w:pPr>
            <w:r>
              <w:rPr>
                <w:rFonts w:ascii="Arial" w:cs="Arial" w:eastAsia="Arial" w:hAnsi="Arial"/>
                <w:color w:val="1A1A2E"/>
                <w:sz w:val="18"/>
                <w:szCs w:val="18"/>
              </w:rPr>
              <w:t xml:space="preserve">Enable Separation of Duties (SoD) policy in SailPoint: flag accounts holding conflicting role combinations (e.g., Finance Analyst + Admin Dashboard Edit).</w:t>
            </w:r>
          </w:p>
          <w:p>
            <w:pPr>
              <w:pStyle w:val="ListParagraph"/>
              <w:numPr>
                <w:ilvl w:val="0"/>
                <w:numId w:val="2"/>
              </w:numPr>
              <w:spacing w:after="40" w:before="40"/>
            </w:pPr>
            <w:r>
              <w:rPr>
                <w:rFonts w:ascii="Arial" w:cs="Arial" w:eastAsia="Arial" w:hAnsi="Arial"/>
                <w:color w:val="1A1A2E"/>
                <w:sz w:val="18"/>
                <w:szCs w:val="18"/>
              </w:rPr>
              <w:t xml:space="preserve">Configure real-time provisioning policy enforcement: block Okta group assignments that violate defined role boundaries.</w:t>
            </w:r>
          </w:p>
          <w:p>
            <w:pPr>
              <w:pStyle w:val="ListParagraph"/>
              <w:numPr>
                <w:ilvl w:val="0"/>
                <w:numId w:val="2"/>
              </w:numPr>
              <w:spacing w:after="40" w:before="40"/>
            </w:pPr>
            <w:r>
              <w:rPr>
                <w:rFonts w:ascii="Arial" w:cs="Arial" w:eastAsia="Arial" w:hAnsi="Arial"/>
                <w:color w:val="1A1A2E"/>
                <w:sz w:val="18"/>
                <w:szCs w:val="18"/>
              </w:rPr>
              <w:t xml:space="preserve">Run full retroactive conflict scan across all 44 identities in scope — generate remediation report.</w:t>
            </w:r>
          </w:p>
          <w:p>
            <w:pPr>
              <w:pStyle w:val="ListParagraph"/>
              <w:numPr>
                <w:ilvl w:val="0"/>
                <w:numId w:val="2"/>
              </w:numPr>
              <w:spacing w:after="40" w:before="40"/>
            </w:pPr>
            <w:r>
              <w:rPr>
                <w:rFonts w:ascii="Arial" w:cs="Arial" w:eastAsia="Arial" w:hAnsi="Arial"/>
                <w:color w:val="1A1A2E"/>
                <w:sz w:val="18"/>
                <w:szCs w:val="18"/>
              </w:rPr>
              <w:t xml:space="preserve">Configure weekly SailPoint report: 'Roles Deviating from RBAC Matrix' → auto-sent to IAM Team and department heads.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360"/>
      </w:tblGrid>
      <w:tr>
        <w:tc>
          <w:tcPr>
            <w:tcW w:type="dxa" w:w="1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jc w:val="center"/>
            </w:pPr>
            <w:r>
              <w:rPr>
                <w:rFonts w:ascii="Arial" w:cs="Arial" w:eastAsia="Arial" w:hAnsi="Arial"/>
                <w:b/>
                <w:bCs/>
                <w:color w:val="D6E4F7"/>
                <w:sz w:val="20"/>
                <w:szCs w:val="20"/>
              </w:rPr>
              <w:t xml:space="preserve">RBAC-04</w:t>
            </w:r>
          </w:p>
        </w:tc>
        <w:tc>
          <w:tcPr>
            <w:tcW w:type="dxa" w:w="6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Quarterly Access Certification with Manager + IGA Validation</w:t>
            </w:r>
          </w:p>
        </w:tc>
        <w:tc>
          <w:tcPr>
            <w:tcW w:type="dxa" w:w="2360"/>
            <w:tcBorders>
              <w:top w:val="single" w:color="1B3A6B" w:sz="8"/>
              <w:left w:val="single" w:color="1B3A6B" w:sz="8"/>
              <w:bottom w:val="single" w:color="1B3A6B" w:sz="8"/>
              <w:right w:val="single" w:color="1B3A6B" w:sz="8"/>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P2 — 14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Risks Addressed</w:t>
            </w:r>
          </w:p>
        </w:tc>
        <w:tc>
          <w:tcPr>
            <w:tcW w:type="dxa" w:w="796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pPr>
            <w:r>
              <w:rPr>
                <w:rFonts w:ascii="Arial" w:cs="Arial" w:eastAsia="Arial" w:hAnsi="Arial"/>
                <w:color w:val="1B3A6B"/>
                <w:sz w:val="18"/>
                <w:szCs w:val="18"/>
              </w:rPr>
              <w:t xml:space="preserve">R-008, R-009</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Description</w:t>
            </w:r>
          </w:p>
        </w:tc>
        <w:tc>
          <w:tcPr>
            <w:tcW w:type="dxa" w:w="79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pPr>
            <w:r>
              <w:rPr>
                <w:rFonts w:ascii="Arial" w:cs="Arial" w:eastAsia="Arial" w:hAnsi="Arial"/>
                <w:color w:val="1A1A2E"/>
                <w:sz w:val="18"/>
                <w:szCs w:val="18"/>
              </w:rPr>
              <w:t xml:space="preserve">The current quarterly access review process has critical gaps: manager attestation can override flagged items without CISO sign-off (demonstrated by USR-1008), and the process does not validate attestations against the RBAC matrix. Access certifications must be backed by IGA policy enforcement, not just manager approval.</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Standards</w:t>
            </w:r>
          </w:p>
        </w:tc>
        <w:tc>
          <w:tcPr>
            <w:tcW w:type="dxa" w:w="7960"/>
            <w:tcBorders>
              <w:top w:val="single" w:color="D0D5E8" w:sz="4"/>
              <w:left w:val="single" w:color="D0D5E8" w:sz="4"/>
              <w:bottom w:val="single" w:color="D0D5E8" w:sz="4"/>
              <w:right w:val="single" w:color="D0D5E8" w:sz="4"/>
            </w:tcBorders>
            <w:shd w:fill="E8F5EE" w:val="clear"/>
            <w:tcMar>
              <w:top w:type="dxa" w:w="100"/>
              <w:left w:type="dxa" w:w="160"/>
              <w:bottom w:type="dxa" w:w="100"/>
              <w:right w:type="dxa" w:w="160"/>
            </w:tcMar>
          </w:tcPr>
          <w:p>
            <w:pPr>
              <w:spacing w:after="0" w:before="0"/>
            </w:pPr>
            <w:r>
              <w:rPr>
                <w:rFonts w:ascii="Arial" w:cs="Arial" w:eastAsia="Arial" w:hAnsi="Arial"/>
                <w:color w:val="155E38"/>
                <w:sz w:val="18"/>
                <w:szCs w:val="18"/>
              </w:rPr>
              <w:t xml:space="preserve">NIST AC-2(7), PCI-DSS v4.0 Req 7.3.2, ISO 27001 A.9.2.5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Implementation Steps</w:t>
            </w:r>
          </w:p>
        </w:tc>
        <w:tc>
          <w:tcPr>
            <w:tcW w:type="dxa" w:w="7960"/>
            <w:tcBorders>
              <w:top w:val="single" w:color="D0D5E8" w:sz="4"/>
              <w:left w:val="single" w:color="D0D5E8" w:sz="4"/>
              <w:bottom w:val="single" w:color="D0D5E8" w:sz="4"/>
              <w:right w:val="single" w:color="D0D5E8" w:sz="4"/>
            </w:tcBorders>
            <w:shd w:fill="F4F6FB" w:val="clear"/>
            <w:tcMar>
              <w:top w:type="dxa" w:w="100"/>
              <w:left w:type="dxa" w:w="160"/>
              <w:bottom w:type="dxa" w:w="140"/>
              <w:right w:type="dxa" w:w="160"/>
            </w:tcMar>
          </w:tcPr>
          <w:p>
            <w:pPr>
              <w:pStyle w:val="ListParagraph"/>
              <w:numPr>
                <w:ilvl w:val="0"/>
                <w:numId w:val="2"/>
              </w:numPr>
              <w:spacing w:after="40" w:before="40"/>
            </w:pPr>
            <w:r>
              <w:rPr>
                <w:rFonts w:ascii="Arial" w:cs="Arial" w:eastAsia="Arial" w:hAnsi="Arial"/>
                <w:color w:val="1A1A2E"/>
                <w:sz w:val="18"/>
                <w:szCs w:val="18"/>
              </w:rPr>
              <w:t xml:space="preserve">Reconfigure SailPoint certification campaigns: manager attestation is advisory only; IGA policy rule is determinative.</w:t>
            </w:r>
          </w:p>
          <w:p>
            <w:pPr>
              <w:pStyle w:val="ListParagraph"/>
              <w:numPr>
                <w:ilvl w:val="0"/>
                <w:numId w:val="2"/>
              </w:numPr>
              <w:spacing w:after="40" w:before="40"/>
            </w:pPr>
            <w:r>
              <w:rPr>
                <w:rFonts w:ascii="Arial" w:cs="Arial" w:eastAsia="Arial" w:hAnsi="Arial"/>
                <w:color w:val="1A1A2E"/>
                <w:sz w:val="18"/>
                <w:szCs w:val="18"/>
              </w:rPr>
              <w:t xml:space="preserve">Add a second-level reviewer (Security team) for any account where manager attestation conflicts with SailPoint role policy.</w:t>
            </w:r>
          </w:p>
          <w:p>
            <w:pPr>
              <w:pStyle w:val="ListParagraph"/>
              <w:numPr>
                <w:ilvl w:val="0"/>
                <w:numId w:val="2"/>
              </w:numPr>
              <w:spacing w:after="40" w:before="40"/>
            </w:pPr>
            <w:r>
              <w:rPr>
                <w:rFonts w:ascii="Arial" w:cs="Arial" w:eastAsia="Arial" w:hAnsi="Arial"/>
                <w:color w:val="1A1A2E"/>
                <w:sz w:val="18"/>
                <w:szCs w:val="18"/>
              </w:rPr>
              <w:t xml:space="preserve">CISO sign-off required for any RBAC policy override — logged in SailPoint audit trail.</w:t>
            </w:r>
          </w:p>
          <w:p>
            <w:pPr>
              <w:pStyle w:val="ListParagraph"/>
              <w:numPr>
                <w:ilvl w:val="0"/>
                <w:numId w:val="2"/>
              </w:numPr>
              <w:spacing w:after="40" w:before="40"/>
            </w:pPr>
            <w:r>
              <w:rPr>
                <w:rFonts w:ascii="Arial" w:cs="Arial" w:eastAsia="Arial" w:hAnsi="Arial"/>
                <w:color w:val="1A1A2E"/>
                <w:sz w:val="18"/>
                <w:szCs w:val="18"/>
              </w:rPr>
              <w:t xml:space="preserve">Certification campaigns run quarterly for standard users; monthly for privileged users (Level 4+).</w:t>
            </w:r>
          </w:p>
          <w:p>
            <w:pPr>
              <w:pStyle w:val="ListParagraph"/>
              <w:numPr>
                <w:ilvl w:val="0"/>
                <w:numId w:val="2"/>
              </w:numPr>
              <w:spacing w:after="40" w:before="40"/>
            </w:pPr>
            <w:r>
              <w:rPr>
                <w:rFonts w:ascii="Arial" w:cs="Arial" w:eastAsia="Arial" w:hAnsi="Arial"/>
                <w:color w:val="1A1A2E"/>
                <w:sz w:val="18"/>
                <w:szCs w:val="18"/>
              </w:rPr>
              <w:t xml:space="preserve">Non-response to certification within 10 business days = automatic access revocation (not extension).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360"/>
      </w:tblGrid>
      <w:tr>
        <w:tc>
          <w:tcPr>
            <w:tcW w:type="dxa" w:w="1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jc w:val="center"/>
            </w:pPr>
            <w:r>
              <w:rPr>
                <w:rFonts w:ascii="Arial" w:cs="Arial" w:eastAsia="Arial" w:hAnsi="Arial"/>
                <w:b/>
                <w:bCs/>
                <w:color w:val="D6E4F7"/>
                <w:sz w:val="20"/>
                <w:szCs w:val="20"/>
              </w:rPr>
              <w:t xml:space="preserve">RBAC-05</w:t>
            </w:r>
          </w:p>
        </w:tc>
        <w:tc>
          <w:tcPr>
            <w:tcW w:type="dxa" w:w="6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Role Engineering — Formalise and Version-Control RBAC Matrix</w:t>
            </w:r>
          </w:p>
        </w:tc>
        <w:tc>
          <w:tcPr>
            <w:tcW w:type="dxa" w:w="2360"/>
            <w:tcBorders>
              <w:top w:val="single" w:color="1B3A6B" w:sz="8"/>
              <w:left w:val="single" w:color="1B3A6B" w:sz="8"/>
              <w:bottom w:val="single" w:color="1B3A6B" w:sz="8"/>
              <w:right w:val="single" w:color="1B3A6B" w:sz="8"/>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P3 — 30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Risks Addressed</w:t>
            </w:r>
          </w:p>
        </w:tc>
        <w:tc>
          <w:tcPr>
            <w:tcW w:type="dxa" w:w="796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pPr>
            <w:r>
              <w:rPr>
                <w:rFonts w:ascii="Arial" w:cs="Arial" w:eastAsia="Arial" w:hAnsi="Arial"/>
                <w:color w:val="1B3A6B"/>
                <w:sz w:val="18"/>
                <w:szCs w:val="18"/>
              </w:rPr>
              <w:t xml:space="preserve">R-008, R-009</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Description</w:t>
            </w:r>
          </w:p>
        </w:tc>
        <w:tc>
          <w:tcPr>
            <w:tcW w:type="dxa" w:w="79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pPr>
            <w:r>
              <w:rPr>
                <w:rFonts w:ascii="Arial" w:cs="Arial" w:eastAsia="Arial" w:hAnsi="Arial"/>
                <w:color w:val="1A1A2E"/>
                <w:sz w:val="18"/>
                <w:szCs w:val="18"/>
              </w:rPr>
              <w:t xml:space="preserve">The RBAC matrix exists as a document but is not version-controlled, not machine-readable, and not enforced programmatically. Role definitions must be managed as code, reviewed on a defined cadence, and serve as the single source of truth for SailPoint, Okta, and AWS IAM configuration.</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Standards</w:t>
            </w:r>
          </w:p>
        </w:tc>
        <w:tc>
          <w:tcPr>
            <w:tcW w:type="dxa" w:w="7960"/>
            <w:tcBorders>
              <w:top w:val="single" w:color="D0D5E8" w:sz="4"/>
              <w:left w:val="single" w:color="D0D5E8" w:sz="4"/>
              <w:bottom w:val="single" w:color="D0D5E8" w:sz="4"/>
              <w:right w:val="single" w:color="D0D5E8" w:sz="4"/>
            </w:tcBorders>
            <w:shd w:fill="E8F5EE" w:val="clear"/>
            <w:tcMar>
              <w:top w:type="dxa" w:w="100"/>
              <w:left w:type="dxa" w:w="160"/>
              <w:bottom w:type="dxa" w:w="100"/>
              <w:right w:type="dxa" w:w="160"/>
            </w:tcMar>
          </w:tcPr>
          <w:p>
            <w:pPr>
              <w:spacing w:after="0" w:before="0"/>
            </w:pPr>
            <w:r>
              <w:rPr>
                <w:rFonts w:ascii="Arial" w:cs="Arial" w:eastAsia="Arial" w:hAnsi="Arial"/>
                <w:color w:val="155E38"/>
                <w:sz w:val="18"/>
                <w:szCs w:val="18"/>
              </w:rPr>
              <w:t xml:space="preserve">NIST CM-3, ISO 27001 A.8.3, CIS Control 4.7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Implementation Steps</w:t>
            </w:r>
          </w:p>
        </w:tc>
        <w:tc>
          <w:tcPr>
            <w:tcW w:type="dxa" w:w="7960"/>
            <w:tcBorders>
              <w:top w:val="single" w:color="D0D5E8" w:sz="4"/>
              <w:left w:val="single" w:color="D0D5E8" w:sz="4"/>
              <w:bottom w:val="single" w:color="D0D5E8" w:sz="4"/>
              <w:right w:val="single" w:color="D0D5E8" w:sz="4"/>
            </w:tcBorders>
            <w:shd w:fill="F4F6FB" w:val="clear"/>
            <w:tcMar>
              <w:top w:type="dxa" w:w="100"/>
              <w:left w:type="dxa" w:w="160"/>
              <w:bottom w:type="dxa" w:w="140"/>
              <w:right w:type="dxa" w:w="160"/>
            </w:tcMar>
          </w:tcPr>
          <w:p>
            <w:pPr>
              <w:pStyle w:val="ListParagraph"/>
              <w:numPr>
                <w:ilvl w:val="0"/>
                <w:numId w:val="2"/>
              </w:numPr>
              <w:spacing w:after="40" w:before="40"/>
            </w:pPr>
            <w:r>
              <w:rPr>
                <w:rFonts w:ascii="Arial" w:cs="Arial" w:eastAsia="Arial" w:hAnsi="Arial"/>
                <w:color w:val="1A1A2E"/>
                <w:sz w:val="18"/>
                <w:szCs w:val="18"/>
              </w:rPr>
              <w:t xml:space="preserve">Export RBAC matrix to YAML/JSON and store in a dedicated Git repo (iam-rbac-definitions) under Security team ownership.</w:t>
            </w:r>
          </w:p>
          <w:p>
            <w:pPr>
              <w:pStyle w:val="ListParagraph"/>
              <w:numPr>
                <w:ilvl w:val="0"/>
                <w:numId w:val="2"/>
              </w:numPr>
              <w:spacing w:after="40" w:before="40"/>
            </w:pPr>
            <w:r>
              <w:rPr>
                <w:rFonts w:ascii="Arial" w:cs="Arial" w:eastAsia="Arial" w:hAnsi="Arial"/>
                <w:color w:val="1A1A2E"/>
                <w:sz w:val="18"/>
                <w:szCs w:val="18"/>
              </w:rPr>
              <w:t xml:space="preserve">Changes to role definitions require a pull request with Security team review and manager approval.</w:t>
            </w:r>
          </w:p>
          <w:p>
            <w:pPr>
              <w:pStyle w:val="ListParagraph"/>
              <w:numPr>
                <w:ilvl w:val="0"/>
                <w:numId w:val="2"/>
              </w:numPr>
              <w:spacing w:after="40" w:before="40"/>
            </w:pPr>
            <w:r>
              <w:rPr>
                <w:rFonts w:ascii="Arial" w:cs="Arial" w:eastAsia="Arial" w:hAnsi="Arial"/>
                <w:color w:val="1A1A2E"/>
                <w:sz w:val="18"/>
                <w:szCs w:val="18"/>
              </w:rPr>
              <w:t xml:space="preserve">Automate SailPoint role definition sync from Git repo on merge to main branch (GitOps pattern).</w:t>
            </w:r>
          </w:p>
          <w:p>
            <w:pPr>
              <w:pStyle w:val="ListParagraph"/>
              <w:numPr>
                <w:ilvl w:val="0"/>
                <w:numId w:val="2"/>
              </w:numPr>
              <w:spacing w:after="40" w:before="40"/>
            </w:pPr>
            <w:r>
              <w:rPr>
                <w:rFonts w:ascii="Arial" w:cs="Arial" w:eastAsia="Arial" w:hAnsi="Arial"/>
                <w:color w:val="1A1A2E"/>
                <w:sz w:val="18"/>
                <w:szCs w:val="18"/>
              </w:rPr>
              <w:t xml:space="preserve">Tag each role version with a date; SailPoint certifications reference the current tagged version.</w:t>
            </w:r>
          </w:p>
          <w:p>
            <w:pPr>
              <w:pStyle w:val="ListParagraph"/>
              <w:numPr>
                <w:ilvl w:val="0"/>
                <w:numId w:val="2"/>
              </w:numPr>
              <w:spacing w:after="40" w:before="40"/>
            </w:pPr>
            <w:r>
              <w:rPr>
                <w:rFonts w:ascii="Arial" w:cs="Arial" w:eastAsia="Arial" w:hAnsi="Arial"/>
                <w:color w:val="1A1A2E"/>
                <w:sz w:val="18"/>
                <w:szCs w:val="18"/>
              </w:rPr>
              <w:t xml:space="preserve">Annual role review: Engineering, Finance, HR, Support, Security department heads confirm role definitions reflect current job functions.</w:t>
            </w:r>
          </w:p>
        </w:tc>
      </w:tr>
    </w:tbl>
    <w:p>
      <w:pPr>
        <w:spacing w:after="0" w:before="120"/>
      </w:pPr>
      <w:r>
        <w:t xml:space="preserve"/>
      </w:r>
    </w:p>
    <w:p>
      <w:r>
        <w:br w:type="page"/>
      </w:r>
    </w:p>
    <w:p>
      <w:pPr>
        <w:pStyle w:val="Heading1"/>
        <w:pBdr>
          <w:bottom w:val="single" w:color="2E5FA3" w:sz="10"/>
        </w:pBdr>
        <w:spacing w:after="160" w:before="440"/>
      </w:pPr>
      <w:r>
        <w:rPr>
          <w:rFonts w:ascii="Arial" w:cs="Arial" w:eastAsia="Arial" w:hAnsi="Arial"/>
          <w:b/>
          <w:bCs/>
          <w:color w:val="1B3A6B"/>
          <w:sz w:val="30"/>
          <w:szCs w:val="30"/>
        </w:rPr>
        <w:t xml:space="preserve">6. Least Privilege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tcPr>
          <w:p>
            <w:pPr>
              <w:spacing w:after="20" w:before="0"/>
            </w:pPr>
            <w:r>
              <w:rPr>
                <w:rFonts w:ascii="Arial" w:cs="Arial" w:eastAsia="Arial" w:hAnsi="Arial"/>
                <w:b/>
                <w:bCs/>
                <w:color w:val="FFFFFF"/>
                <w:sz w:val="15"/>
                <w:szCs w:val="15"/>
              </w:rPr>
              <w:t xml:space="preserve">Domain</w:t>
            </w:r>
          </w:p>
          <w:p>
            <w:pPr>
              <w:spacing w:after="0" w:before="0"/>
            </w:pPr>
            <w:r>
              <w:rPr>
                <w:rFonts w:ascii="Arial" w:cs="Arial" w:eastAsia="Arial" w:hAnsi="Arial"/>
                <w:b/>
                <w:bCs/>
                <w:color w:val="D6E4F7"/>
                <w:sz w:val="20"/>
                <w:szCs w:val="20"/>
              </w:rPr>
              <w:t xml:space="preserve">CTL-LPE</w:t>
            </w:r>
          </w:p>
        </w:tc>
        <w:tc>
          <w:tcPr>
            <w:tcW w:type="dxa" w:w="8160"/>
            <w:tcBorders>
              <w:top w:val="single" w:color="1B3A6B" w:sz="6"/>
              <w:left w:val="single" w:color="1B3A6B" w:sz="6"/>
              <w:bottom w:val="single" w:color="1B3A6B" w:sz="6"/>
              <w:right w:val="single" w:color="1B3A6B" w:sz="6"/>
            </w:tcBorders>
            <w:shd w:fill="EEF4FF" w:val="clear"/>
            <w:tcMar>
              <w:top w:type="dxa" w:w="100"/>
              <w:left w:type="dxa" w:w="200"/>
              <w:bottom w:type="dxa" w:w="100"/>
              <w:right w:type="dxa" w:w="160"/>
            </w:tcMar>
          </w:tcPr>
          <w:p>
            <w:pPr>
              <w:spacing w:after="0" w:before="0"/>
            </w:pPr>
            <w:r>
              <w:rPr>
                <w:rFonts w:ascii="Arial" w:cs="Arial" w:eastAsia="Arial" w:hAnsi="Arial"/>
                <w:color w:val="1A1A2E"/>
                <w:sz w:val="19"/>
                <w:szCs w:val="19"/>
              </w:rPr>
              <w:t xml:space="preserve">The assessment found the most dangerous least-privilege failures in service account credential management (stale API keys including payment initiation access) and orphaned account lifecycle (a terminated employee with live AWS IAM permissions). This domain eliminates static long-lived credentials, enforces JIT access, and automates the deprovisioning pipeline.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360"/>
      </w:tblGrid>
      <w:tr>
        <w:tc>
          <w:tcPr>
            <w:tcW w:type="dxa" w:w="1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jc w:val="center"/>
            </w:pPr>
            <w:r>
              <w:rPr>
                <w:rFonts w:ascii="Arial" w:cs="Arial" w:eastAsia="Arial" w:hAnsi="Arial"/>
                <w:b/>
                <w:bCs/>
                <w:color w:val="D6E4F7"/>
                <w:sz w:val="20"/>
                <w:szCs w:val="20"/>
              </w:rPr>
              <w:t xml:space="preserve">LPE-01</w:t>
            </w:r>
          </w:p>
        </w:tc>
        <w:tc>
          <w:tcPr>
            <w:tcW w:type="dxa" w:w="6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Dynamic Secrets for All Service Account Credentials (Vault)</w:t>
            </w:r>
          </w:p>
        </w:tc>
        <w:tc>
          <w:tcPr>
            <w:tcW w:type="dxa" w:w="2360"/>
            <w:tcBorders>
              <w:top w:val="single" w:color="1B3A6B" w:sz="8"/>
              <w:left w:val="single" w:color="1B3A6B" w:sz="8"/>
              <w:bottom w:val="single" w:color="1B3A6B" w:sz="8"/>
              <w:right w:val="single" w:color="1B3A6B" w:sz="8"/>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P1 — Immediate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Risks Addressed</w:t>
            </w:r>
          </w:p>
        </w:tc>
        <w:tc>
          <w:tcPr>
            <w:tcW w:type="dxa" w:w="796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pPr>
            <w:r>
              <w:rPr>
                <w:rFonts w:ascii="Arial" w:cs="Arial" w:eastAsia="Arial" w:hAnsi="Arial"/>
                <w:color w:val="1B3A6B"/>
                <w:sz w:val="18"/>
                <w:szCs w:val="18"/>
              </w:rPr>
              <w:t xml:space="preserve">R-002 (Payment API key 312d), R-003 (Staging DB 187d), R-012 (3 further stale keys)</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Description</w:t>
            </w:r>
          </w:p>
        </w:tc>
        <w:tc>
          <w:tcPr>
            <w:tcW w:type="dxa" w:w="79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pPr>
            <w:r>
              <w:rPr>
                <w:rFonts w:ascii="Arial" w:cs="Arial" w:eastAsia="Arial" w:hAnsi="Arial"/>
                <w:color w:val="1A1A2E"/>
                <w:sz w:val="18"/>
                <w:szCs w:val="18"/>
              </w:rPr>
              <w:t xml:space="preserve">Five service account credentials exceed the 90-day rotation policy by 88–222 days. The most critical (svc-payment-processor at 312 days) has payment initiation permissions; svc-db-staging-rw credentials are embedded in 8 developer machines and CI stores. Static long-lived credentials must be eliminated and replaced with HashiCorp Vault dynamic secrets with short TTLs.</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Standards</w:t>
            </w:r>
          </w:p>
        </w:tc>
        <w:tc>
          <w:tcPr>
            <w:tcW w:type="dxa" w:w="7960"/>
            <w:tcBorders>
              <w:top w:val="single" w:color="D0D5E8" w:sz="4"/>
              <w:left w:val="single" w:color="D0D5E8" w:sz="4"/>
              <w:bottom w:val="single" w:color="D0D5E8" w:sz="4"/>
              <w:right w:val="single" w:color="D0D5E8" w:sz="4"/>
            </w:tcBorders>
            <w:shd w:fill="E8F5EE" w:val="clear"/>
            <w:tcMar>
              <w:top w:type="dxa" w:w="100"/>
              <w:left w:type="dxa" w:w="160"/>
              <w:bottom w:type="dxa" w:w="100"/>
              <w:right w:type="dxa" w:w="160"/>
            </w:tcMar>
          </w:tcPr>
          <w:p>
            <w:pPr>
              <w:spacing w:after="0" w:before="0"/>
            </w:pPr>
            <w:r>
              <w:rPr>
                <w:rFonts w:ascii="Arial" w:cs="Arial" w:eastAsia="Arial" w:hAnsi="Arial"/>
                <w:color w:val="155E38"/>
                <w:sz w:val="18"/>
                <w:szCs w:val="18"/>
              </w:rPr>
              <w:t xml:space="preserve">NIST IA-5(1), PCI-DSS v4.0 Req 8.3.6, CIS Control 4.5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Implementation Steps</w:t>
            </w:r>
          </w:p>
        </w:tc>
        <w:tc>
          <w:tcPr>
            <w:tcW w:type="dxa" w:w="7960"/>
            <w:tcBorders>
              <w:top w:val="single" w:color="D0D5E8" w:sz="4"/>
              <w:left w:val="single" w:color="D0D5E8" w:sz="4"/>
              <w:bottom w:val="single" w:color="D0D5E8" w:sz="4"/>
              <w:right w:val="single" w:color="D0D5E8" w:sz="4"/>
            </w:tcBorders>
            <w:shd w:fill="F4F6FB" w:val="clear"/>
            <w:tcMar>
              <w:top w:type="dxa" w:w="100"/>
              <w:left w:type="dxa" w:w="160"/>
              <w:bottom w:type="dxa" w:w="140"/>
              <w:right w:type="dxa" w:w="160"/>
            </w:tcMar>
          </w:tcPr>
          <w:p>
            <w:pPr>
              <w:pStyle w:val="ListParagraph"/>
              <w:numPr>
                <w:ilvl w:val="0"/>
                <w:numId w:val="2"/>
              </w:numPr>
              <w:spacing w:after="40" w:before="40"/>
            </w:pPr>
            <w:r>
              <w:rPr>
                <w:rFonts w:ascii="Arial" w:cs="Arial" w:eastAsia="Arial" w:hAnsi="Arial"/>
                <w:color w:val="1A1A2E"/>
                <w:sz w:val="18"/>
                <w:szCs w:val="18"/>
              </w:rPr>
              <w:t xml:space="preserve">Immediately rotate all 5 stale credentials manually: SVC-6001, SVC-6002, SVC-6003, SVC-6004, SVC-6005.</w:t>
            </w:r>
          </w:p>
          <w:p>
            <w:pPr>
              <w:pStyle w:val="ListParagraph"/>
              <w:numPr>
                <w:ilvl w:val="0"/>
                <w:numId w:val="2"/>
              </w:numPr>
              <w:spacing w:after="40" w:before="40"/>
            </w:pPr>
            <w:r>
              <w:rPr>
                <w:rFonts w:ascii="Arial" w:cs="Arial" w:eastAsia="Arial" w:hAnsi="Arial"/>
                <w:color w:val="1A1A2E"/>
                <w:sz w:val="18"/>
                <w:szCs w:val="18"/>
              </w:rPr>
              <w:t xml:space="preserve">For database credentials (SVC-6005): enable Vault Dynamic Secrets engine for PostgreSQL — generate per-request credentials with 15-minute TTL.</w:t>
            </w:r>
          </w:p>
          <w:p>
            <w:pPr>
              <w:pStyle w:val="ListParagraph"/>
              <w:numPr>
                <w:ilvl w:val="0"/>
                <w:numId w:val="2"/>
              </w:numPr>
              <w:spacing w:after="40" w:before="40"/>
            </w:pPr>
            <w:r>
              <w:rPr>
                <w:rFonts w:ascii="Arial" w:cs="Arial" w:eastAsia="Arial" w:hAnsi="Arial"/>
                <w:color w:val="1A1A2E"/>
                <w:sz w:val="18"/>
                <w:szCs w:val="18"/>
              </w:rPr>
              <w:t xml:space="preserve">For API keys (SVC-6001 to SVC-6004): migrate to Vault's Key/Value Secrets Engine v2 with mandatory rotation leases (max 90 days).</w:t>
            </w:r>
          </w:p>
          <w:p>
            <w:pPr>
              <w:pStyle w:val="ListParagraph"/>
              <w:numPr>
                <w:ilvl w:val="0"/>
                <w:numId w:val="2"/>
              </w:numPr>
              <w:spacing w:after="40" w:before="40"/>
            </w:pPr>
            <w:r>
              <w:rPr>
                <w:rFonts w:ascii="Arial" w:cs="Arial" w:eastAsia="Arial" w:hAnsi="Arial"/>
                <w:color w:val="1A1A2E"/>
                <w:sz w:val="18"/>
                <w:szCs w:val="18"/>
              </w:rPr>
              <w:t xml:space="preserve">Remove all static credentials from developer ~/.pgpass files and CI environment variables — replace with Vault Agent or OIDC token exchange.</w:t>
            </w:r>
          </w:p>
          <w:p>
            <w:pPr>
              <w:pStyle w:val="ListParagraph"/>
              <w:numPr>
                <w:ilvl w:val="0"/>
                <w:numId w:val="2"/>
              </w:numPr>
              <w:spacing w:after="40" w:before="40"/>
            </w:pPr>
            <w:r>
              <w:rPr>
                <w:rFonts w:ascii="Arial" w:cs="Arial" w:eastAsia="Arial" w:hAnsi="Arial"/>
                <w:color w:val="1A1A2E"/>
                <w:sz w:val="18"/>
                <w:szCs w:val="18"/>
              </w:rPr>
              <w:t xml:space="preserve">Audit SVC-6004 (svc-legacy-onboarding) for active usage — if no traffic in 30 days, revoke and delete service account.</w:t>
            </w:r>
          </w:p>
          <w:p>
            <w:pPr>
              <w:pStyle w:val="ListParagraph"/>
              <w:numPr>
                <w:ilvl w:val="0"/>
                <w:numId w:val="2"/>
              </w:numPr>
              <w:spacing w:after="40" w:before="40"/>
            </w:pPr>
            <w:r>
              <w:rPr>
                <w:rFonts w:ascii="Arial" w:cs="Arial" w:eastAsia="Arial" w:hAnsi="Arial"/>
                <w:color w:val="1A1A2E"/>
                <w:sz w:val="18"/>
                <w:szCs w:val="18"/>
              </w:rPr>
              <w:t xml:space="preserve">Add Vault lease expiry alerting: PagerDuty P2 at 70% of TTL elapsed; P1 at 90% with auto-rotation attempt.</w:t>
            </w:r>
          </w:p>
          <w:p>
            <w:pPr>
              <w:pStyle w:val="ListParagraph"/>
              <w:numPr>
                <w:ilvl w:val="0"/>
                <w:numId w:val="2"/>
              </w:numPr>
              <w:spacing w:after="40" w:before="40"/>
            </w:pPr>
            <w:r>
              <w:rPr>
                <w:rFonts w:ascii="Arial" w:cs="Arial" w:eastAsia="Arial" w:hAnsi="Arial"/>
                <w:color w:val="1A1A2E"/>
                <w:sz w:val="18"/>
                <w:szCs w:val="18"/>
              </w:rPr>
              <w:t xml:space="preserve">Add CI/CD pipeline gate: fail build if any secret reference older than 90 days is detected in environment.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360"/>
      </w:tblGrid>
      <w:tr>
        <w:tc>
          <w:tcPr>
            <w:tcW w:type="dxa" w:w="1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jc w:val="center"/>
            </w:pPr>
            <w:r>
              <w:rPr>
                <w:rFonts w:ascii="Arial" w:cs="Arial" w:eastAsia="Arial" w:hAnsi="Arial"/>
                <w:b/>
                <w:bCs/>
                <w:color w:val="D6E4F7"/>
                <w:sz w:val="20"/>
                <w:szCs w:val="20"/>
              </w:rPr>
              <w:t xml:space="preserve">LPE-02</w:t>
            </w:r>
          </w:p>
        </w:tc>
        <w:tc>
          <w:tcPr>
            <w:tcW w:type="dxa" w:w="6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AWS IAM Permission Boundaries &amp; Scoped Role Policies</w:t>
            </w:r>
          </w:p>
        </w:tc>
        <w:tc>
          <w:tcPr>
            <w:tcW w:type="dxa" w:w="2360"/>
            <w:tcBorders>
              <w:top w:val="single" w:color="1B3A6B" w:sz="8"/>
              <w:left w:val="single" w:color="1B3A6B" w:sz="8"/>
              <w:bottom w:val="single" w:color="1B3A6B" w:sz="8"/>
              <w:right w:val="single" w:color="1B3A6B" w:sz="8"/>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P1 — Immediate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Risks Addressed</w:t>
            </w:r>
          </w:p>
        </w:tc>
        <w:tc>
          <w:tcPr>
            <w:tcW w:type="dxa" w:w="796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pPr>
            <w:r>
              <w:rPr>
                <w:rFonts w:ascii="Arial" w:cs="Arial" w:eastAsia="Arial" w:hAnsi="Arial"/>
                <w:color w:val="1B3A6B"/>
                <w:sz w:val="18"/>
                <w:szCs w:val="18"/>
              </w:rPr>
              <w:t xml:space="preserve">R-004 (Orphaned employee with AWS access), R-008 (Role creep AWS perms)</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Description</w:t>
            </w:r>
          </w:p>
        </w:tc>
        <w:tc>
          <w:tcPr>
            <w:tcW w:type="dxa" w:w="79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pPr>
            <w:r>
              <w:rPr>
                <w:rFonts w:ascii="Arial" w:cs="Arial" w:eastAsia="Arial" w:hAnsi="Arial"/>
                <w:color w:val="1A1A2E"/>
                <w:sz w:val="18"/>
                <w:szCs w:val="18"/>
              </w:rPr>
              <w:t xml:space="preserve">Orphaned account USR-8001 (Chris Alderton, terminated Jan 2025) retains active AWS IAM role attachments with Developer Senior permissions. Combined with role creep in 3 Engineering accounts, AWS IAM permissions are misaligned with current employment and role status. Permission Boundaries must be applied to enforce maximum-permitted access independent of role assignments.</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Standards</w:t>
            </w:r>
          </w:p>
        </w:tc>
        <w:tc>
          <w:tcPr>
            <w:tcW w:type="dxa" w:w="7960"/>
            <w:tcBorders>
              <w:top w:val="single" w:color="D0D5E8" w:sz="4"/>
              <w:left w:val="single" w:color="D0D5E8" w:sz="4"/>
              <w:bottom w:val="single" w:color="D0D5E8" w:sz="4"/>
              <w:right w:val="single" w:color="D0D5E8" w:sz="4"/>
            </w:tcBorders>
            <w:shd w:fill="E8F5EE" w:val="clear"/>
            <w:tcMar>
              <w:top w:type="dxa" w:w="100"/>
              <w:left w:type="dxa" w:w="160"/>
              <w:bottom w:type="dxa" w:w="100"/>
              <w:right w:type="dxa" w:w="160"/>
            </w:tcMar>
          </w:tcPr>
          <w:p>
            <w:pPr>
              <w:spacing w:after="0" w:before="0"/>
            </w:pPr>
            <w:r>
              <w:rPr>
                <w:rFonts w:ascii="Arial" w:cs="Arial" w:eastAsia="Arial" w:hAnsi="Arial"/>
                <w:color w:val="155E38"/>
                <w:sz w:val="18"/>
                <w:szCs w:val="18"/>
              </w:rPr>
              <w:t xml:space="preserve">NIST AC-6(1), PCI-DSS v4.0 Req 7.2.3, CIS Control 5.4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Implementation Steps</w:t>
            </w:r>
          </w:p>
        </w:tc>
        <w:tc>
          <w:tcPr>
            <w:tcW w:type="dxa" w:w="7960"/>
            <w:tcBorders>
              <w:top w:val="single" w:color="D0D5E8" w:sz="4"/>
              <w:left w:val="single" w:color="D0D5E8" w:sz="4"/>
              <w:bottom w:val="single" w:color="D0D5E8" w:sz="4"/>
              <w:right w:val="single" w:color="D0D5E8" w:sz="4"/>
            </w:tcBorders>
            <w:shd w:fill="F4F6FB" w:val="clear"/>
            <w:tcMar>
              <w:top w:type="dxa" w:w="100"/>
              <w:left w:type="dxa" w:w="160"/>
              <w:bottom w:type="dxa" w:w="140"/>
              <w:right w:type="dxa" w:w="160"/>
            </w:tcMar>
          </w:tcPr>
          <w:p>
            <w:pPr>
              <w:pStyle w:val="ListParagraph"/>
              <w:numPr>
                <w:ilvl w:val="0"/>
                <w:numId w:val="2"/>
              </w:numPr>
              <w:spacing w:after="40" w:before="40"/>
            </w:pPr>
            <w:r>
              <w:rPr>
                <w:rFonts w:ascii="Arial" w:cs="Arial" w:eastAsia="Arial" w:hAnsi="Arial"/>
                <w:color w:val="1A1A2E"/>
                <w:sz w:val="18"/>
                <w:szCs w:val="18"/>
              </w:rPr>
              <w:t xml:space="preserve">Immediately detach all AWS IAM roles from USR-8001 and disable Okta account.</w:t>
            </w:r>
          </w:p>
          <w:p>
            <w:pPr>
              <w:pStyle w:val="ListParagraph"/>
              <w:numPr>
                <w:ilvl w:val="0"/>
                <w:numId w:val="2"/>
              </w:numPr>
              <w:spacing w:after="40" w:before="40"/>
            </w:pPr>
            <w:r>
              <w:rPr>
                <w:rFonts w:ascii="Arial" w:cs="Arial" w:eastAsia="Arial" w:hAnsi="Arial"/>
                <w:color w:val="1A1A2E"/>
                <w:sz w:val="18"/>
                <w:szCs w:val="18"/>
              </w:rPr>
              <w:t xml:space="preserve">Implement AWS IAM Permission Boundaries for all human user roles — boundary policy caps permissions at role-maximum regardless of additional policies attached.</w:t>
            </w:r>
          </w:p>
          <w:p>
            <w:pPr>
              <w:pStyle w:val="ListParagraph"/>
              <w:numPr>
                <w:ilvl w:val="0"/>
                <w:numId w:val="2"/>
              </w:numPr>
              <w:spacing w:after="40" w:before="40"/>
            </w:pPr>
            <w:r>
              <w:rPr>
                <w:rFonts w:ascii="Arial" w:cs="Arial" w:eastAsia="Arial" w:hAnsi="Arial"/>
                <w:color w:val="1A1A2E"/>
                <w:sz w:val="18"/>
                <w:szCs w:val="18"/>
              </w:rPr>
              <w:t xml:space="preserve">Audit all Developer (Senior) accounts: verify AWS IAM permission boundary matches 'developer-senior' boundary policy (not engineering-lead).</w:t>
            </w:r>
          </w:p>
          <w:p>
            <w:pPr>
              <w:pStyle w:val="ListParagraph"/>
              <w:numPr>
                <w:ilvl w:val="0"/>
                <w:numId w:val="2"/>
              </w:numPr>
              <w:spacing w:after="40" w:before="40"/>
            </w:pPr>
            <w:r>
              <w:rPr>
                <w:rFonts w:ascii="Arial" w:cs="Arial" w:eastAsia="Arial" w:hAnsi="Arial"/>
                <w:color w:val="1A1A2E"/>
                <w:sz w:val="18"/>
                <w:szCs w:val="18"/>
              </w:rPr>
              <w:t xml:space="preserve">Enable AWS IAM Access Analyzer in all 6 AWS accounts — generate unused access findings weekly; auto-open Jira tickets for access unused &gt; 60 days.</w:t>
            </w:r>
          </w:p>
          <w:p>
            <w:pPr>
              <w:pStyle w:val="ListParagraph"/>
              <w:numPr>
                <w:ilvl w:val="0"/>
                <w:numId w:val="2"/>
              </w:numPr>
              <w:spacing w:after="40" w:before="40"/>
            </w:pPr>
            <w:r>
              <w:rPr>
                <w:rFonts w:ascii="Arial" w:cs="Arial" w:eastAsia="Arial" w:hAnsi="Arial"/>
                <w:color w:val="1A1A2E"/>
                <w:sz w:val="18"/>
                <w:szCs w:val="18"/>
              </w:rPr>
              <w:t xml:space="preserve">Enforce Service Control Policies (SCPs) at the AWS Org level blocking actions beyond each account's designated scope (e.g., dev account cannot access prod resources).</w:t>
            </w:r>
          </w:p>
          <w:p>
            <w:pPr>
              <w:pStyle w:val="ListParagraph"/>
              <w:numPr>
                <w:ilvl w:val="0"/>
                <w:numId w:val="2"/>
              </w:numPr>
              <w:spacing w:after="40" w:before="40"/>
            </w:pPr>
            <w:r>
              <w:rPr>
                <w:rFonts w:ascii="Arial" w:cs="Arial" w:eastAsia="Arial" w:hAnsi="Arial"/>
                <w:color w:val="1A1A2E"/>
                <w:sz w:val="18"/>
                <w:szCs w:val="18"/>
              </w:rPr>
              <w:t xml:space="preserve">Tag all AWS IAM roles with the associated Okta group and employee ID — enables automated deprovisioning on Okta account disable.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360"/>
      </w:tblGrid>
      <w:tr>
        <w:tc>
          <w:tcPr>
            <w:tcW w:type="dxa" w:w="1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jc w:val="center"/>
            </w:pPr>
            <w:r>
              <w:rPr>
                <w:rFonts w:ascii="Arial" w:cs="Arial" w:eastAsia="Arial" w:hAnsi="Arial"/>
                <w:b/>
                <w:bCs/>
                <w:color w:val="D6E4F7"/>
                <w:sz w:val="20"/>
                <w:szCs w:val="20"/>
              </w:rPr>
              <w:t xml:space="preserve">LPE-03</w:t>
            </w:r>
          </w:p>
        </w:tc>
        <w:tc>
          <w:tcPr>
            <w:tcW w:type="dxa" w:w="6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Just-In-Time (JIT) Access for Privileged Operations</w:t>
            </w:r>
          </w:p>
        </w:tc>
        <w:tc>
          <w:tcPr>
            <w:tcW w:type="dxa" w:w="2360"/>
            <w:tcBorders>
              <w:top w:val="single" w:color="1B3A6B" w:sz="8"/>
              <w:left w:val="single" w:color="1B3A6B" w:sz="8"/>
              <w:bottom w:val="single" w:color="1B3A6B" w:sz="8"/>
              <w:right w:val="single" w:color="1B3A6B" w:sz="8"/>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P2 — 14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Risks Addressed</w:t>
            </w:r>
          </w:p>
        </w:tc>
        <w:tc>
          <w:tcPr>
            <w:tcW w:type="dxa" w:w="796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pPr>
            <w:r>
              <w:rPr>
                <w:rFonts w:ascii="Arial" w:cs="Arial" w:eastAsia="Arial" w:hAnsi="Arial"/>
                <w:color w:val="1B3A6B"/>
                <w:sz w:val="18"/>
                <w:szCs w:val="18"/>
              </w:rPr>
              <w:t xml:space="preserve">R-015 (Break-glass overrun), R-008 (Role creep)</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Description</w:t>
            </w:r>
          </w:p>
        </w:tc>
        <w:tc>
          <w:tcPr>
            <w:tcW w:type="dxa" w:w="79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pPr>
            <w:r>
              <w:rPr>
                <w:rFonts w:ascii="Arial" w:cs="Arial" w:eastAsia="Arial" w:hAnsi="Arial"/>
                <w:color w:val="1A1A2E"/>
                <w:sz w:val="18"/>
                <w:szCs w:val="18"/>
              </w:rPr>
              <w:t xml:space="preserve">Privileged access (Level 4+) is currently permanent — once assigned, elevated access persists until explicitly revoked. Break-glass accounts exceeded their approved access window by 6–11 hours because de-escalation is manual. Implement JIT access for all elevated operations: access is granted on-demand for a defined duration and automatically revoked on expiry.</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Standards</w:t>
            </w:r>
          </w:p>
        </w:tc>
        <w:tc>
          <w:tcPr>
            <w:tcW w:type="dxa" w:w="7960"/>
            <w:tcBorders>
              <w:top w:val="single" w:color="D0D5E8" w:sz="4"/>
              <w:left w:val="single" w:color="D0D5E8" w:sz="4"/>
              <w:bottom w:val="single" w:color="D0D5E8" w:sz="4"/>
              <w:right w:val="single" w:color="D0D5E8" w:sz="4"/>
            </w:tcBorders>
            <w:shd w:fill="E8F5EE" w:val="clear"/>
            <w:tcMar>
              <w:top w:type="dxa" w:w="100"/>
              <w:left w:type="dxa" w:w="160"/>
              <w:bottom w:type="dxa" w:w="100"/>
              <w:right w:type="dxa" w:w="160"/>
            </w:tcMar>
          </w:tcPr>
          <w:p>
            <w:pPr>
              <w:spacing w:after="0" w:before="0"/>
            </w:pPr>
            <w:r>
              <w:rPr>
                <w:rFonts w:ascii="Arial" w:cs="Arial" w:eastAsia="Arial" w:hAnsi="Arial"/>
                <w:color w:val="155E38"/>
                <w:sz w:val="18"/>
                <w:szCs w:val="18"/>
              </w:rPr>
              <w:t xml:space="preserve">NIST AC-6(9), PCI-DSS v4.0 Req 7.2.6, ISO 27001 A.9.4.2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Implementation Steps</w:t>
            </w:r>
          </w:p>
        </w:tc>
        <w:tc>
          <w:tcPr>
            <w:tcW w:type="dxa" w:w="7960"/>
            <w:tcBorders>
              <w:top w:val="single" w:color="D0D5E8" w:sz="4"/>
              <w:left w:val="single" w:color="D0D5E8" w:sz="4"/>
              <w:bottom w:val="single" w:color="D0D5E8" w:sz="4"/>
              <w:right w:val="single" w:color="D0D5E8" w:sz="4"/>
            </w:tcBorders>
            <w:shd w:fill="F4F6FB" w:val="clear"/>
            <w:tcMar>
              <w:top w:type="dxa" w:w="100"/>
              <w:left w:type="dxa" w:w="160"/>
              <w:bottom w:type="dxa" w:w="140"/>
              <w:right w:type="dxa" w:w="160"/>
            </w:tcMar>
          </w:tcPr>
          <w:p>
            <w:pPr>
              <w:pStyle w:val="ListParagraph"/>
              <w:numPr>
                <w:ilvl w:val="0"/>
                <w:numId w:val="2"/>
              </w:numPr>
              <w:spacing w:after="40" w:before="40"/>
            </w:pPr>
            <w:r>
              <w:rPr>
                <w:rFonts w:ascii="Arial" w:cs="Arial" w:eastAsia="Arial" w:hAnsi="Arial"/>
                <w:color w:val="1A1A2E"/>
                <w:sz w:val="18"/>
                <w:szCs w:val="18"/>
              </w:rPr>
              <w:t xml:space="preserve">Implement CyberArk PAS or AWS IAM Identity Center temporary elevation for all Level 4+ operations.</w:t>
            </w:r>
          </w:p>
          <w:p>
            <w:pPr>
              <w:pStyle w:val="ListParagraph"/>
              <w:numPr>
                <w:ilvl w:val="0"/>
                <w:numId w:val="2"/>
              </w:numPr>
              <w:spacing w:after="40" w:before="40"/>
            </w:pPr>
            <w:r>
              <w:rPr>
                <w:rFonts w:ascii="Arial" w:cs="Arial" w:eastAsia="Arial" w:hAnsi="Arial"/>
                <w:color w:val="1A1A2E"/>
                <w:sz w:val="18"/>
                <w:szCs w:val="18"/>
              </w:rPr>
              <w:t xml:space="preserve">Engineering Lead and Infra Admin access to production: maximum 4-hour JIT session; requires Jira change ticket and manager approval.</w:t>
            </w:r>
          </w:p>
          <w:p>
            <w:pPr>
              <w:pStyle w:val="ListParagraph"/>
              <w:numPr>
                <w:ilvl w:val="0"/>
                <w:numId w:val="2"/>
              </w:numPr>
              <w:spacing w:after="40" w:before="40"/>
            </w:pPr>
            <w:r>
              <w:rPr>
                <w:rFonts w:ascii="Arial" w:cs="Arial" w:eastAsia="Arial" w:hAnsi="Arial"/>
                <w:color w:val="1A1A2E"/>
                <w:sz w:val="18"/>
                <w:szCs w:val="18"/>
              </w:rPr>
              <w:t xml:space="preserve">Break-glass accounts: configure AWS IAM session policy with hard 4-hour TTL via sts:AssumeRole condition; Okta group auto-removal at TTL expiry.</w:t>
            </w:r>
          </w:p>
          <w:p>
            <w:pPr>
              <w:pStyle w:val="ListParagraph"/>
              <w:numPr>
                <w:ilvl w:val="0"/>
                <w:numId w:val="2"/>
              </w:numPr>
              <w:spacing w:after="40" w:before="40"/>
            </w:pPr>
            <w:r>
              <w:rPr>
                <w:rFonts w:ascii="Arial" w:cs="Arial" w:eastAsia="Arial" w:hAnsi="Arial"/>
                <w:color w:val="1A1A2E"/>
                <w:sz w:val="18"/>
                <w:szCs w:val="18"/>
              </w:rPr>
              <w:t xml:space="preserve">All JIT sessions generate a mandatory post-incident review ticket in Jira automatically.</w:t>
            </w:r>
          </w:p>
          <w:p>
            <w:pPr>
              <w:pStyle w:val="ListParagraph"/>
              <w:numPr>
                <w:ilvl w:val="0"/>
                <w:numId w:val="2"/>
              </w:numPr>
              <w:spacing w:after="40" w:before="40"/>
            </w:pPr>
            <w:r>
              <w:rPr>
                <w:rFonts w:ascii="Arial" w:cs="Arial" w:eastAsia="Arial" w:hAnsi="Arial"/>
                <w:color w:val="1A1A2E"/>
                <w:sz w:val="18"/>
                <w:szCs w:val="18"/>
              </w:rPr>
              <w:t xml:space="preserve">Alert SIEM immediately when a break-glass account is activated; alert again at T-30min before expiry; alert on overrun.</w:t>
            </w:r>
          </w:p>
          <w:p>
            <w:pPr>
              <w:pStyle w:val="ListParagraph"/>
              <w:numPr>
                <w:ilvl w:val="0"/>
                <w:numId w:val="2"/>
              </w:numPr>
              <w:spacing w:after="40" w:before="40"/>
            </w:pPr>
            <w:r>
              <w:rPr>
                <w:rFonts w:ascii="Arial" w:cs="Arial" w:eastAsia="Arial" w:hAnsi="Arial"/>
                <w:color w:val="1A1A2E"/>
                <w:sz w:val="18"/>
                <w:szCs w:val="18"/>
              </w:rPr>
              <w:t xml:space="preserve">Measure: track mean time to de-escalation (MTTD); target &lt; 5 minutes post-window-expiry.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360"/>
      </w:tblGrid>
      <w:tr>
        <w:tc>
          <w:tcPr>
            <w:tcW w:type="dxa" w:w="1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jc w:val="center"/>
            </w:pPr>
            <w:r>
              <w:rPr>
                <w:rFonts w:ascii="Arial" w:cs="Arial" w:eastAsia="Arial" w:hAnsi="Arial"/>
                <w:b/>
                <w:bCs/>
                <w:color w:val="D6E4F7"/>
                <w:sz w:val="20"/>
                <w:szCs w:val="20"/>
              </w:rPr>
              <w:t xml:space="preserve">LPE-04</w:t>
            </w:r>
          </w:p>
        </w:tc>
        <w:tc>
          <w:tcPr>
            <w:tcW w:type="dxa" w:w="6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Deprovisioning Automation — Offboarding &amp; Transfer Workflows</w:t>
            </w:r>
          </w:p>
        </w:tc>
        <w:tc>
          <w:tcPr>
            <w:tcW w:type="dxa" w:w="2360"/>
            <w:tcBorders>
              <w:top w:val="single" w:color="1B3A6B" w:sz="8"/>
              <w:left w:val="single" w:color="1B3A6B" w:sz="8"/>
              <w:bottom w:val="single" w:color="1B3A6B" w:sz="8"/>
              <w:right w:val="single" w:color="1B3A6B" w:sz="8"/>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P1 — Immediate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Risks Addressed</w:t>
            </w:r>
          </w:p>
        </w:tc>
        <w:tc>
          <w:tcPr>
            <w:tcW w:type="dxa" w:w="796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pPr>
            <w:r>
              <w:rPr>
                <w:rFonts w:ascii="Arial" w:cs="Arial" w:eastAsia="Arial" w:hAnsi="Arial"/>
                <w:color w:val="1B3A6B"/>
                <w:sz w:val="18"/>
                <w:szCs w:val="18"/>
              </w:rPr>
              <w:t xml:space="preserve">R-004, R-005, R-006 (3 orphaned accounts)</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Description</w:t>
            </w:r>
          </w:p>
        </w:tc>
        <w:tc>
          <w:tcPr>
            <w:tcW w:type="dxa" w:w="79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pPr>
            <w:r>
              <w:rPr>
                <w:rFonts w:ascii="Arial" w:cs="Arial" w:eastAsia="Arial" w:hAnsi="Arial"/>
                <w:color w:val="1A1A2E"/>
                <w:sz w:val="18"/>
                <w:szCs w:val="18"/>
              </w:rPr>
              <w:t xml:space="preserve">Three orphaned accounts (terminated employee USR-8001 with live AWS access, suspended contractor USR-8002 with residual IAM roles, and transferred employee USR-8003 with active T2 support access) demonstrate a broken offboarding process. Deprovisioning must be automated, triggered by HR system events, and verified against downstream systems — not just Okta.</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Standards</w:t>
            </w:r>
          </w:p>
        </w:tc>
        <w:tc>
          <w:tcPr>
            <w:tcW w:type="dxa" w:w="7960"/>
            <w:tcBorders>
              <w:top w:val="single" w:color="D0D5E8" w:sz="4"/>
              <w:left w:val="single" w:color="D0D5E8" w:sz="4"/>
              <w:bottom w:val="single" w:color="D0D5E8" w:sz="4"/>
              <w:right w:val="single" w:color="D0D5E8" w:sz="4"/>
            </w:tcBorders>
            <w:shd w:fill="E8F5EE" w:val="clear"/>
            <w:tcMar>
              <w:top w:type="dxa" w:w="100"/>
              <w:left w:type="dxa" w:w="160"/>
              <w:bottom w:type="dxa" w:w="100"/>
              <w:right w:type="dxa" w:w="160"/>
            </w:tcMar>
          </w:tcPr>
          <w:p>
            <w:pPr>
              <w:spacing w:after="0" w:before="0"/>
            </w:pPr>
            <w:r>
              <w:rPr>
                <w:rFonts w:ascii="Arial" w:cs="Arial" w:eastAsia="Arial" w:hAnsi="Arial"/>
                <w:color w:val="155E38"/>
                <w:sz w:val="18"/>
                <w:szCs w:val="18"/>
              </w:rPr>
              <w:t xml:space="preserve">NIST AC-2(3), PCI-DSS v4.0 Req 8.2.6, CIS Control 5.3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Implementation Steps</w:t>
            </w:r>
          </w:p>
        </w:tc>
        <w:tc>
          <w:tcPr>
            <w:tcW w:type="dxa" w:w="7960"/>
            <w:tcBorders>
              <w:top w:val="single" w:color="D0D5E8" w:sz="4"/>
              <w:left w:val="single" w:color="D0D5E8" w:sz="4"/>
              <w:bottom w:val="single" w:color="D0D5E8" w:sz="4"/>
              <w:right w:val="single" w:color="D0D5E8" w:sz="4"/>
            </w:tcBorders>
            <w:shd w:fill="F4F6FB" w:val="clear"/>
            <w:tcMar>
              <w:top w:type="dxa" w:w="100"/>
              <w:left w:type="dxa" w:w="160"/>
              <w:bottom w:type="dxa" w:w="140"/>
              <w:right w:type="dxa" w:w="160"/>
            </w:tcMar>
          </w:tcPr>
          <w:p>
            <w:pPr>
              <w:pStyle w:val="ListParagraph"/>
              <w:numPr>
                <w:ilvl w:val="0"/>
                <w:numId w:val="2"/>
              </w:numPr>
              <w:spacing w:after="40" w:before="40"/>
            </w:pPr>
            <w:r>
              <w:rPr>
                <w:rFonts w:ascii="Arial" w:cs="Arial" w:eastAsia="Arial" w:hAnsi="Arial"/>
                <w:color w:val="1A1A2E"/>
                <w:sz w:val="18"/>
                <w:szCs w:val="18"/>
              </w:rPr>
              <w:t xml:space="preserve">Integrate Workday (HR) → Okta via SCIM 2.0: termination events in Workday automatically trigger Okta account suspension within 15 minutes.</w:t>
            </w:r>
          </w:p>
          <w:p>
            <w:pPr>
              <w:pStyle w:val="ListParagraph"/>
              <w:numPr>
                <w:ilvl w:val="0"/>
                <w:numId w:val="2"/>
              </w:numPr>
              <w:spacing w:after="40" w:before="40"/>
            </w:pPr>
            <w:r>
              <w:rPr>
                <w:rFonts w:ascii="Arial" w:cs="Arial" w:eastAsia="Arial" w:hAnsi="Arial"/>
                <w:color w:val="1A1A2E"/>
                <w:sz w:val="18"/>
                <w:szCs w:val="18"/>
              </w:rPr>
              <w:t xml:space="preserve">Okta suspension triggers downstream: AWS IAM role detachment, VPN certificate revocation, Admin Dashboard session termination.</w:t>
            </w:r>
          </w:p>
          <w:p>
            <w:pPr>
              <w:pStyle w:val="ListParagraph"/>
              <w:numPr>
                <w:ilvl w:val="0"/>
                <w:numId w:val="2"/>
              </w:numPr>
              <w:spacing w:after="40" w:before="40"/>
            </w:pPr>
            <w:r>
              <w:rPr>
                <w:rFonts w:ascii="Arial" w:cs="Arial" w:eastAsia="Arial" w:hAnsi="Arial"/>
                <w:color w:val="1A1A2E"/>
                <w:sz w:val="18"/>
                <w:szCs w:val="18"/>
              </w:rPr>
              <w:t xml:space="preserve">Define three offboarding event types in Okta Workflows: Termination, Internal Transfer, External Transfer — each triggers appropriate access modification.</w:t>
            </w:r>
          </w:p>
          <w:p>
            <w:pPr>
              <w:pStyle w:val="ListParagraph"/>
              <w:numPr>
                <w:ilvl w:val="0"/>
                <w:numId w:val="2"/>
              </w:numPr>
              <w:spacing w:after="40" w:before="40"/>
            </w:pPr>
            <w:r>
              <w:rPr>
                <w:rFonts w:ascii="Arial" w:cs="Arial" w:eastAsia="Arial" w:hAnsi="Arial"/>
                <w:color w:val="1A1A2E"/>
                <w:sz w:val="18"/>
                <w:szCs w:val="18"/>
              </w:rPr>
              <w:t xml:space="preserve">Okta Workflow: on Termination, verify AWS IAM Access Analyzer reports zero active roles within 1 hour; alert Security if any remain.</w:t>
            </w:r>
          </w:p>
          <w:p>
            <w:pPr>
              <w:pStyle w:val="ListParagraph"/>
              <w:numPr>
                <w:ilvl w:val="0"/>
                <w:numId w:val="2"/>
              </w:numPr>
              <w:spacing w:after="40" w:before="40"/>
            </w:pPr>
            <w:r>
              <w:rPr>
                <w:rFonts w:ascii="Arial" w:cs="Arial" w:eastAsia="Arial" w:hAnsi="Arial"/>
                <w:color w:val="1A1A2E"/>
                <w:sz w:val="18"/>
                <w:szCs w:val="18"/>
              </w:rPr>
              <w:t xml:space="preserve">IT Helpdesk receives a deprovisioning checklist ticket (Jira) for every offboarding — must confirm: Okta disabled, AWS detached, VPN revoked, Admin Dashboard access removed.</w:t>
            </w:r>
          </w:p>
          <w:p>
            <w:pPr>
              <w:pStyle w:val="ListParagraph"/>
              <w:numPr>
                <w:ilvl w:val="0"/>
                <w:numId w:val="2"/>
              </w:numPr>
              <w:spacing w:after="40" w:before="40"/>
            </w:pPr>
            <w:r>
              <w:rPr>
                <w:rFonts w:ascii="Arial" w:cs="Arial" w:eastAsia="Arial" w:hAnsi="Arial"/>
                <w:color w:val="1A1A2E"/>
                <w:sz w:val="18"/>
                <w:szCs w:val="18"/>
              </w:rPr>
              <w:t xml:space="preserve">Weekly automated report: all Okta-suspended accounts with remaining AWS role attachments → auto-escalate to IAM team.</w:t>
            </w:r>
          </w:p>
          <w:p>
            <w:pPr>
              <w:pStyle w:val="ListParagraph"/>
              <w:numPr>
                <w:ilvl w:val="0"/>
                <w:numId w:val="2"/>
              </w:numPr>
              <w:spacing w:after="40" w:before="40"/>
            </w:pPr>
            <w:r>
              <w:rPr>
                <w:rFonts w:ascii="Arial" w:cs="Arial" w:eastAsia="Arial" w:hAnsi="Arial"/>
                <w:color w:val="1A1A2E"/>
                <w:sz w:val="18"/>
                <w:szCs w:val="18"/>
              </w:rPr>
              <w:t xml:space="preserve">Immediately remediate: disable USR-8001, complete USR-8002 AWS cleanup, disable USR-8003.</w:t>
            </w:r>
          </w:p>
        </w:tc>
      </w:tr>
    </w:tbl>
    <w:p>
      <w:pPr>
        <w:spacing w:after="0" w:before="120"/>
      </w:pPr>
      <w:r>
        <w:t xml:space="preserve"/>
      </w:r>
    </w:p>
    <w:p>
      <w:r>
        <w:br w:type="page"/>
      </w:r>
    </w:p>
    <w:p>
      <w:pPr>
        <w:pStyle w:val="Heading1"/>
        <w:pBdr>
          <w:bottom w:val="single" w:color="2E5FA3" w:sz="10"/>
        </w:pBdr>
        <w:spacing w:after="160" w:before="440"/>
      </w:pPr>
      <w:r>
        <w:rPr>
          <w:rFonts w:ascii="Arial" w:cs="Arial" w:eastAsia="Arial" w:hAnsi="Arial"/>
          <w:b/>
          <w:bCs/>
          <w:color w:val="1B3A6B"/>
          <w:sz w:val="30"/>
          <w:szCs w:val="30"/>
        </w:rPr>
        <w:t xml:space="preserve">7. Password &amp; Credential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tcPr>
          <w:p>
            <w:pPr>
              <w:spacing w:after="20" w:before="0"/>
            </w:pPr>
            <w:r>
              <w:rPr>
                <w:rFonts w:ascii="Arial" w:cs="Arial" w:eastAsia="Arial" w:hAnsi="Arial"/>
                <w:b/>
                <w:bCs/>
                <w:color w:val="FFFFFF"/>
                <w:sz w:val="15"/>
                <w:szCs w:val="15"/>
              </w:rPr>
              <w:t xml:space="preserve">Domain</w:t>
            </w:r>
          </w:p>
          <w:p>
            <w:pPr>
              <w:spacing w:after="0" w:before="0"/>
            </w:pPr>
            <w:r>
              <w:rPr>
                <w:rFonts w:ascii="Arial" w:cs="Arial" w:eastAsia="Arial" w:hAnsi="Arial"/>
                <w:b/>
                <w:bCs/>
                <w:color w:val="D6E4F7"/>
                <w:sz w:val="20"/>
                <w:szCs w:val="20"/>
              </w:rPr>
              <w:t xml:space="preserve">CTL-PWD</w:t>
            </w:r>
          </w:p>
        </w:tc>
        <w:tc>
          <w:tcPr>
            <w:tcW w:type="dxa" w:w="8160"/>
            <w:tcBorders>
              <w:top w:val="single" w:color="1B3A6B" w:sz="6"/>
              <w:left w:val="single" w:color="1B3A6B" w:sz="6"/>
              <w:bottom w:val="single" w:color="1B3A6B" w:sz="6"/>
              <w:right w:val="single" w:color="1B3A6B" w:sz="6"/>
            </w:tcBorders>
            <w:shd w:fill="EEF4FF" w:val="clear"/>
            <w:tcMar>
              <w:top w:type="dxa" w:w="100"/>
              <w:left w:type="dxa" w:w="200"/>
              <w:bottom w:type="dxa" w:w="100"/>
              <w:right w:type="dxa" w:w="160"/>
            </w:tcMar>
          </w:tcPr>
          <w:p>
            <w:pPr>
              <w:spacing w:after="0" w:before="0"/>
            </w:pPr>
            <w:r>
              <w:rPr>
                <w:rFonts w:ascii="Arial" w:cs="Arial" w:eastAsia="Arial" w:hAnsi="Arial"/>
                <w:color w:val="1A1A2E"/>
                <w:sz w:val="19"/>
                <w:szCs w:val="19"/>
              </w:rPr>
              <w:t xml:space="preserve">Password weaknesses in this assessment are concentrated in two areas: shared accounts with ancient static passwords operating outside Okta (R-001), and service account credentials well beyond rotation policy (R-002, R-003, R-012). This domain enforces NIST 800-63B compliant password standards for humans, dynamic credential generation for service accounts, and PAM-vaulted check-out for all privileged credentials.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360"/>
      </w:tblGrid>
      <w:tr>
        <w:tc>
          <w:tcPr>
            <w:tcW w:type="dxa" w:w="1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jc w:val="center"/>
            </w:pPr>
            <w:r>
              <w:rPr>
                <w:rFonts w:ascii="Arial" w:cs="Arial" w:eastAsia="Arial" w:hAnsi="Arial"/>
                <w:b/>
                <w:bCs/>
                <w:color w:val="D6E4F7"/>
                <w:sz w:val="20"/>
                <w:szCs w:val="20"/>
              </w:rPr>
              <w:t xml:space="preserve">PWD-01</w:t>
            </w:r>
          </w:p>
        </w:tc>
        <w:tc>
          <w:tcPr>
            <w:tcW w:type="dxa" w:w="6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Enterprise Password Policy — NIST 800-63B Aligned</w:t>
            </w:r>
          </w:p>
        </w:tc>
        <w:tc>
          <w:tcPr>
            <w:tcW w:type="dxa" w:w="2360"/>
            <w:tcBorders>
              <w:top w:val="single" w:color="1B3A6B" w:sz="8"/>
              <w:left w:val="single" w:color="1B3A6B" w:sz="8"/>
              <w:bottom w:val="single" w:color="1B3A6B" w:sz="8"/>
              <w:right w:val="single" w:color="1B3A6B" w:sz="8"/>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P1 — Immediate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Risks Addressed</w:t>
            </w:r>
          </w:p>
        </w:tc>
        <w:tc>
          <w:tcPr>
            <w:tcW w:type="dxa" w:w="796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pPr>
            <w:r>
              <w:rPr>
                <w:rFonts w:ascii="Arial" w:cs="Arial" w:eastAsia="Arial" w:hAnsi="Arial"/>
                <w:color w:val="1B3A6B"/>
                <w:sz w:val="18"/>
                <w:szCs w:val="18"/>
              </w:rPr>
              <w:t xml:space="preserve">R-001 (Shared account static passwords &gt;400 days), R-007 (Admin password-only auth)</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Description</w:t>
            </w:r>
          </w:p>
        </w:tc>
        <w:tc>
          <w:tcPr>
            <w:tcW w:type="dxa" w:w="79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pPr>
            <w:r>
              <w:rPr>
                <w:rFonts w:ascii="Arial" w:cs="Arial" w:eastAsia="Arial" w:hAnsi="Arial"/>
                <w:color w:val="1A1A2E"/>
                <w:sz w:val="18"/>
                <w:szCs w:val="18"/>
              </w:rPr>
              <w:t xml:space="preserve">Shared accounts (SHR-7001, SHR-7002, SHR-7003) have static passwords of unknown age (estimated 400+ days) shared among multiple staff members. The Finance Manager account (USR-2005) relies on a password as its sole authentication factor. NovaPay's current password policy does not align with NIST SP 800-63B guidance and predates modern threat models. Enforce a compliant enterprise password policy through Okta.</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Standards</w:t>
            </w:r>
          </w:p>
        </w:tc>
        <w:tc>
          <w:tcPr>
            <w:tcW w:type="dxa" w:w="7960"/>
            <w:tcBorders>
              <w:top w:val="single" w:color="D0D5E8" w:sz="4"/>
              <w:left w:val="single" w:color="D0D5E8" w:sz="4"/>
              <w:bottom w:val="single" w:color="D0D5E8" w:sz="4"/>
              <w:right w:val="single" w:color="D0D5E8" w:sz="4"/>
            </w:tcBorders>
            <w:shd w:fill="E8F5EE" w:val="clear"/>
            <w:tcMar>
              <w:top w:type="dxa" w:w="100"/>
              <w:left w:type="dxa" w:w="160"/>
              <w:bottom w:type="dxa" w:w="100"/>
              <w:right w:type="dxa" w:w="160"/>
            </w:tcMar>
          </w:tcPr>
          <w:p>
            <w:pPr>
              <w:spacing w:after="0" w:before="0"/>
            </w:pPr>
            <w:r>
              <w:rPr>
                <w:rFonts w:ascii="Arial" w:cs="Arial" w:eastAsia="Arial" w:hAnsi="Arial"/>
                <w:color w:val="155E38"/>
                <w:sz w:val="18"/>
                <w:szCs w:val="18"/>
              </w:rPr>
              <w:t xml:space="preserve">NIST SP 800-63B Section 5.1, PCI-DSS v4.0 Req 8.3.6, CIS Control 5.2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Implementation Steps</w:t>
            </w:r>
          </w:p>
        </w:tc>
        <w:tc>
          <w:tcPr>
            <w:tcW w:type="dxa" w:w="7960"/>
            <w:tcBorders>
              <w:top w:val="single" w:color="D0D5E8" w:sz="4"/>
              <w:left w:val="single" w:color="D0D5E8" w:sz="4"/>
              <w:bottom w:val="single" w:color="D0D5E8" w:sz="4"/>
              <w:right w:val="single" w:color="D0D5E8" w:sz="4"/>
            </w:tcBorders>
            <w:shd w:fill="F4F6FB" w:val="clear"/>
            <w:tcMar>
              <w:top w:type="dxa" w:w="100"/>
              <w:left w:type="dxa" w:w="160"/>
              <w:bottom w:type="dxa" w:w="140"/>
              <w:right w:type="dxa" w:w="160"/>
            </w:tcMar>
          </w:tcPr>
          <w:p>
            <w:pPr>
              <w:pStyle w:val="ListParagraph"/>
              <w:numPr>
                <w:ilvl w:val="0"/>
                <w:numId w:val="2"/>
              </w:numPr>
              <w:spacing w:after="40" w:before="40"/>
            </w:pPr>
            <w:r>
              <w:rPr>
                <w:rFonts w:ascii="Arial" w:cs="Arial" w:eastAsia="Arial" w:hAnsi="Arial"/>
                <w:color w:val="1A1A2E"/>
                <w:sz w:val="18"/>
                <w:szCs w:val="18"/>
              </w:rPr>
              <w:t xml:space="preserve">Okta Password Policy (for all users): Minimum 15 characters | No mandatory periodic rotation (NIST 800-63B) | Block top-10,000 passwords via Okta's common password detection | Require change on suspected compromise (HIBP API integration) | Block username, company name, keyboard patterns.</w:t>
            </w:r>
          </w:p>
          <w:p>
            <w:pPr>
              <w:pStyle w:val="ListParagraph"/>
              <w:numPr>
                <w:ilvl w:val="0"/>
                <w:numId w:val="2"/>
              </w:numPr>
              <w:spacing w:after="40" w:before="40"/>
            </w:pPr>
            <w:r>
              <w:rPr>
                <w:rFonts w:ascii="Arial" w:cs="Arial" w:eastAsia="Arial" w:hAnsi="Arial"/>
                <w:color w:val="1A1A2E"/>
                <w:sz w:val="18"/>
                <w:szCs w:val="18"/>
              </w:rPr>
              <w:t xml:space="preserve">For privileged accounts (Level 4+): minimum 20 characters; password manager (1Password Teams or equivalent) mandatory.</w:t>
            </w:r>
          </w:p>
          <w:p>
            <w:pPr>
              <w:pStyle w:val="ListParagraph"/>
              <w:numPr>
                <w:ilvl w:val="0"/>
                <w:numId w:val="2"/>
              </w:numPr>
              <w:spacing w:after="40" w:before="40"/>
            </w:pPr>
            <w:r>
              <w:rPr>
                <w:rFonts w:ascii="Arial" w:cs="Arial" w:eastAsia="Arial" w:hAnsi="Arial"/>
                <w:color w:val="1A1A2E"/>
                <w:sz w:val="18"/>
                <w:szCs w:val="18"/>
              </w:rPr>
              <w:t xml:space="preserve">Immediately force password reset on all Admin Dashboard local accounts before disabling them.</w:t>
            </w:r>
          </w:p>
          <w:p>
            <w:pPr>
              <w:pStyle w:val="ListParagraph"/>
              <w:numPr>
                <w:ilvl w:val="0"/>
                <w:numId w:val="2"/>
              </w:numPr>
              <w:spacing w:after="40" w:before="40"/>
            </w:pPr>
            <w:r>
              <w:rPr>
                <w:rFonts w:ascii="Arial" w:cs="Arial" w:eastAsia="Arial" w:hAnsi="Arial"/>
                <w:color w:val="1A1A2E"/>
                <w:sz w:val="18"/>
                <w:szCs w:val="18"/>
              </w:rPr>
              <w:t xml:space="preserve">Enable Okta ThreatInsight: block login attempts from IPs with credential stuffing signatures.</w:t>
            </w:r>
          </w:p>
          <w:p>
            <w:pPr>
              <w:pStyle w:val="ListParagraph"/>
              <w:numPr>
                <w:ilvl w:val="0"/>
                <w:numId w:val="2"/>
              </w:numPr>
              <w:spacing w:after="40" w:before="40"/>
            </w:pPr>
            <w:r>
              <w:rPr>
                <w:rFonts w:ascii="Arial" w:cs="Arial" w:eastAsia="Arial" w:hAnsi="Arial"/>
                <w:color w:val="1A1A2E"/>
                <w:sz w:val="18"/>
                <w:szCs w:val="18"/>
              </w:rPr>
              <w:t xml:space="preserve">Integrate HaveIBeenPwned Enterprise API — check all new passwords and existing passwords on breach list publication; force reset if match found.</w:t>
            </w:r>
          </w:p>
          <w:p>
            <w:pPr>
              <w:pStyle w:val="ListParagraph"/>
              <w:numPr>
                <w:ilvl w:val="0"/>
                <w:numId w:val="2"/>
              </w:numPr>
              <w:spacing w:after="40" w:before="40"/>
            </w:pPr>
            <w:r>
              <w:rPr>
                <w:rFonts w:ascii="Arial" w:cs="Arial" w:eastAsia="Arial" w:hAnsi="Arial"/>
                <w:color w:val="1A1A2E"/>
                <w:sz w:val="18"/>
                <w:szCs w:val="18"/>
              </w:rPr>
              <w:t xml:space="preserve">Disable security questions as a recovery method (phishable) — recovery via Okta Verify push + backup hardware key only.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360"/>
      </w:tblGrid>
      <w:tr>
        <w:tc>
          <w:tcPr>
            <w:tcW w:type="dxa" w:w="1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jc w:val="center"/>
            </w:pPr>
            <w:r>
              <w:rPr>
                <w:rFonts w:ascii="Arial" w:cs="Arial" w:eastAsia="Arial" w:hAnsi="Arial"/>
                <w:b/>
                <w:bCs/>
                <w:color w:val="D6E4F7"/>
                <w:sz w:val="20"/>
                <w:szCs w:val="20"/>
              </w:rPr>
              <w:t xml:space="preserve">PWD-02</w:t>
            </w:r>
          </w:p>
        </w:tc>
        <w:tc>
          <w:tcPr>
            <w:tcW w:type="dxa" w:w="6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Service Account Credential Lifecycle — Vault-Enforced Rotation</w:t>
            </w:r>
          </w:p>
        </w:tc>
        <w:tc>
          <w:tcPr>
            <w:tcW w:type="dxa" w:w="2360"/>
            <w:tcBorders>
              <w:top w:val="single" w:color="1B3A6B" w:sz="8"/>
              <w:left w:val="single" w:color="1B3A6B" w:sz="8"/>
              <w:bottom w:val="single" w:color="1B3A6B" w:sz="8"/>
              <w:right w:val="single" w:color="1B3A6B" w:sz="8"/>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P1 — Immediate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Risks Addressed</w:t>
            </w:r>
          </w:p>
        </w:tc>
        <w:tc>
          <w:tcPr>
            <w:tcW w:type="dxa" w:w="796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pPr>
            <w:r>
              <w:rPr>
                <w:rFonts w:ascii="Arial" w:cs="Arial" w:eastAsia="Arial" w:hAnsi="Arial"/>
                <w:color w:val="1B3A6B"/>
                <w:sz w:val="18"/>
                <w:szCs w:val="18"/>
              </w:rPr>
              <w:t xml:space="preserve">R-002, R-003, R-012</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Description</w:t>
            </w:r>
          </w:p>
        </w:tc>
        <w:tc>
          <w:tcPr>
            <w:tcW w:type="dxa" w:w="79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pPr>
            <w:r>
              <w:rPr>
                <w:rFonts w:ascii="Arial" w:cs="Arial" w:eastAsia="Arial" w:hAnsi="Arial"/>
                <w:color w:val="1A1A2E"/>
                <w:sz w:val="18"/>
                <w:szCs w:val="18"/>
              </w:rPr>
              <w:t xml:space="preserve">Service account credentials (API keys, database passwords, client secrets) must be managed exclusively through HashiCorp Vault with enforced rotation windows. Manual credential management has resulted in 5 credentials exceeding the 90-day policy by up to 222 days. Vault enforces rotation programmatically, eliminating human dependency.</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Standards</w:t>
            </w:r>
          </w:p>
        </w:tc>
        <w:tc>
          <w:tcPr>
            <w:tcW w:type="dxa" w:w="7960"/>
            <w:tcBorders>
              <w:top w:val="single" w:color="D0D5E8" w:sz="4"/>
              <w:left w:val="single" w:color="D0D5E8" w:sz="4"/>
              <w:bottom w:val="single" w:color="D0D5E8" w:sz="4"/>
              <w:right w:val="single" w:color="D0D5E8" w:sz="4"/>
            </w:tcBorders>
            <w:shd w:fill="E8F5EE" w:val="clear"/>
            <w:tcMar>
              <w:top w:type="dxa" w:w="100"/>
              <w:left w:type="dxa" w:w="160"/>
              <w:bottom w:type="dxa" w:w="100"/>
              <w:right w:type="dxa" w:w="160"/>
            </w:tcMar>
          </w:tcPr>
          <w:p>
            <w:pPr>
              <w:spacing w:after="0" w:before="0"/>
            </w:pPr>
            <w:r>
              <w:rPr>
                <w:rFonts w:ascii="Arial" w:cs="Arial" w:eastAsia="Arial" w:hAnsi="Arial"/>
                <w:color w:val="155E38"/>
                <w:sz w:val="18"/>
                <w:szCs w:val="18"/>
              </w:rPr>
              <w:t xml:space="preserve">NIST IA-5(1)(d), PCI-DSS v4.0 Req 8.3.6, CIS Control 4.5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Implementation Steps</w:t>
            </w:r>
          </w:p>
        </w:tc>
        <w:tc>
          <w:tcPr>
            <w:tcW w:type="dxa" w:w="7960"/>
            <w:tcBorders>
              <w:top w:val="single" w:color="D0D5E8" w:sz="4"/>
              <w:left w:val="single" w:color="D0D5E8" w:sz="4"/>
              <w:bottom w:val="single" w:color="D0D5E8" w:sz="4"/>
              <w:right w:val="single" w:color="D0D5E8" w:sz="4"/>
            </w:tcBorders>
            <w:shd w:fill="F4F6FB" w:val="clear"/>
            <w:tcMar>
              <w:top w:type="dxa" w:w="100"/>
              <w:left w:type="dxa" w:w="160"/>
              <w:bottom w:type="dxa" w:w="140"/>
              <w:right w:type="dxa" w:w="160"/>
            </w:tcMar>
          </w:tcPr>
          <w:p>
            <w:pPr>
              <w:pStyle w:val="ListParagraph"/>
              <w:numPr>
                <w:ilvl w:val="0"/>
                <w:numId w:val="2"/>
              </w:numPr>
              <w:spacing w:after="40" w:before="40"/>
            </w:pPr>
            <w:r>
              <w:rPr>
                <w:rFonts w:ascii="Arial" w:cs="Arial" w:eastAsia="Arial" w:hAnsi="Arial"/>
                <w:color w:val="1A1A2E"/>
                <w:sz w:val="18"/>
                <w:szCs w:val="18"/>
              </w:rPr>
              <w:t xml:space="preserve">HashiCorp Vault policy: all service account secrets must be registered in Vault; no secret storage in code, environment variables, config files, or CI/CD stores.</w:t>
            </w:r>
          </w:p>
          <w:p>
            <w:pPr>
              <w:pStyle w:val="ListParagraph"/>
              <w:numPr>
                <w:ilvl w:val="0"/>
                <w:numId w:val="2"/>
              </w:numPr>
              <w:spacing w:after="40" w:before="40"/>
            </w:pPr>
            <w:r>
              <w:rPr>
                <w:rFonts w:ascii="Arial" w:cs="Arial" w:eastAsia="Arial" w:hAnsi="Arial"/>
                <w:color w:val="1A1A2E"/>
                <w:sz w:val="18"/>
                <w:szCs w:val="18"/>
              </w:rPr>
              <w:t xml:space="preserve">Rotation schedules enforced in Vault: API keys max 90 days | DB credentials max 30 days (dynamic) | Signing keys max 180 days | Session tokens max 24 hours.</w:t>
            </w:r>
          </w:p>
          <w:p>
            <w:pPr>
              <w:pStyle w:val="ListParagraph"/>
              <w:numPr>
                <w:ilvl w:val="0"/>
                <w:numId w:val="2"/>
              </w:numPr>
              <w:spacing w:after="40" w:before="40"/>
            </w:pPr>
            <w:r>
              <w:rPr>
                <w:rFonts w:ascii="Arial" w:cs="Arial" w:eastAsia="Arial" w:hAnsi="Arial"/>
                <w:color w:val="1A1A2E"/>
                <w:sz w:val="18"/>
                <w:szCs w:val="18"/>
              </w:rPr>
              <w:t xml:space="preserve">Vault Sentinel policies: block issuance of static secrets where dynamic alternatives exist (DB, cloud credentials).</w:t>
            </w:r>
          </w:p>
          <w:p>
            <w:pPr>
              <w:pStyle w:val="ListParagraph"/>
              <w:numPr>
                <w:ilvl w:val="0"/>
                <w:numId w:val="2"/>
              </w:numPr>
              <w:spacing w:after="40" w:before="40"/>
            </w:pPr>
            <w:r>
              <w:rPr>
                <w:rFonts w:ascii="Arial" w:cs="Arial" w:eastAsia="Arial" w:hAnsi="Arial"/>
                <w:color w:val="1A1A2E"/>
                <w:sz w:val="18"/>
                <w:szCs w:val="18"/>
              </w:rPr>
              <w:t xml:space="preserve">CI/CD integration: GitHub Actions and Buildkite retrieve secrets from Vault via OIDC — no static secrets in repo secrets or env vars.</w:t>
            </w:r>
          </w:p>
          <w:p>
            <w:pPr>
              <w:pStyle w:val="ListParagraph"/>
              <w:numPr>
                <w:ilvl w:val="0"/>
                <w:numId w:val="2"/>
              </w:numPr>
              <w:spacing w:after="40" w:before="40"/>
            </w:pPr>
            <w:r>
              <w:rPr>
                <w:rFonts w:ascii="Arial" w:cs="Arial" w:eastAsia="Arial" w:hAnsi="Arial"/>
                <w:color w:val="1A1A2E"/>
                <w:sz w:val="18"/>
                <w:szCs w:val="18"/>
              </w:rPr>
              <w:t xml:space="preserve">Secret scanning: enable GitHub Advanced Security (or Trufflehog for self-hosted) on all repos — block merge if credential pattern detected.</w:t>
            </w:r>
          </w:p>
          <w:p>
            <w:pPr>
              <w:pStyle w:val="ListParagraph"/>
              <w:numPr>
                <w:ilvl w:val="0"/>
                <w:numId w:val="2"/>
              </w:numPr>
              <w:spacing w:after="40" w:before="40"/>
            </w:pPr>
            <w:r>
              <w:rPr>
                <w:rFonts w:ascii="Arial" w:cs="Arial" w:eastAsia="Arial" w:hAnsi="Arial"/>
                <w:color w:val="1A1A2E"/>
                <w:sz w:val="18"/>
                <w:szCs w:val="18"/>
              </w:rPr>
              <w:t xml:space="preserve">Weekly Vault audit: export lease inventory; flag any non-rotating secret with TTL &gt; policy threshold; auto-open Jira remediation ticket.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360"/>
      </w:tblGrid>
      <w:tr>
        <w:tc>
          <w:tcPr>
            <w:tcW w:type="dxa" w:w="1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jc w:val="center"/>
            </w:pPr>
            <w:r>
              <w:rPr>
                <w:rFonts w:ascii="Arial" w:cs="Arial" w:eastAsia="Arial" w:hAnsi="Arial"/>
                <w:b/>
                <w:bCs/>
                <w:color w:val="D6E4F7"/>
                <w:sz w:val="20"/>
                <w:szCs w:val="20"/>
              </w:rPr>
              <w:t xml:space="preserve">PWD-03</w:t>
            </w:r>
          </w:p>
        </w:tc>
        <w:tc>
          <w:tcPr>
            <w:tcW w:type="dxa" w:w="6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Privileged Credential Vaulting &amp; Check-Out (PAM)</w:t>
            </w:r>
          </w:p>
        </w:tc>
        <w:tc>
          <w:tcPr>
            <w:tcW w:type="dxa" w:w="2360"/>
            <w:tcBorders>
              <w:top w:val="single" w:color="1B3A6B" w:sz="8"/>
              <w:left w:val="single" w:color="1B3A6B" w:sz="8"/>
              <w:bottom w:val="single" w:color="1B3A6B" w:sz="8"/>
              <w:right w:val="single" w:color="1B3A6B" w:sz="8"/>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P2 — 14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Risks Addressed</w:t>
            </w:r>
          </w:p>
        </w:tc>
        <w:tc>
          <w:tcPr>
            <w:tcW w:type="dxa" w:w="796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pPr>
            <w:r>
              <w:rPr>
                <w:rFonts w:ascii="Arial" w:cs="Arial" w:eastAsia="Arial" w:hAnsi="Arial"/>
                <w:color w:val="1B3A6B"/>
                <w:sz w:val="18"/>
                <w:szCs w:val="18"/>
              </w:rPr>
              <w:t xml:space="preserve">R-001, R-015 (Break-glass), R-013 (No session recording)</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Description</w:t>
            </w:r>
          </w:p>
        </w:tc>
        <w:tc>
          <w:tcPr>
            <w:tcW w:type="dxa" w:w="79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pPr>
            <w:r>
              <w:rPr>
                <w:rFonts w:ascii="Arial" w:cs="Arial" w:eastAsia="Arial" w:hAnsi="Arial"/>
                <w:color w:val="1A1A2E"/>
                <w:sz w:val="18"/>
                <w:szCs w:val="18"/>
              </w:rPr>
              <w:t xml:space="preserve">Privileged account passwords (Super-Admin, break-glass, shared accounts) must be stored and accessed exclusively through a PAM vault with check-out/check-in workflows. Direct knowledge of privileged passwords by human users must be eliminated — users authenticate to the PAM system which injects credentials, never revealing them to the user.</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Standards</w:t>
            </w:r>
          </w:p>
        </w:tc>
        <w:tc>
          <w:tcPr>
            <w:tcW w:type="dxa" w:w="7960"/>
            <w:tcBorders>
              <w:top w:val="single" w:color="D0D5E8" w:sz="4"/>
              <w:left w:val="single" w:color="D0D5E8" w:sz="4"/>
              <w:bottom w:val="single" w:color="D0D5E8" w:sz="4"/>
              <w:right w:val="single" w:color="D0D5E8" w:sz="4"/>
            </w:tcBorders>
            <w:shd w:fill="E8F5EE" w:val="clear"/>
            <w:tcMar>
              <w:top w:type="dxa" w:w="100"/>
              <w:left w:type="dxa" w:w="160"/>
              <w:bottom w:type="dxa" w:w="100"/>
              <w:right w:type="dxa" w:w="160"/>
            </w:tcMar>
          </w:tcPr>
          <w:p>
            <w:pPr>
              <w:spacing w:after="0" w:before="0"/>
            </w:pPr>
            <w:r>
              <w:rPr>
                <w:rFonts w:ascii="Arial" w:cs="Arial" w:eastAsia="Arial" w:hAnsi="Arial"/>
                <w:color w:val="155E38"/>
                <w:sz w:val="18"/>
                <w:szCs w:val="18"/>
              </w:rPr>
              <w:t xml:space="preserve">NIST AC-17(9), PCI-DSS v4.0 Req 8.2.2, CIS Control 12.8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Implementation Steps</w:t>
            </w:r>
          </w:p>
        </w:tc>
        <w:tc>
          <w:tcPr>
            <w:tcW w:type="dxa" w:w="7960"/>
            <w:tcBorders>
              <w:top w:val="single" w:color="D0D5E8" w:sz="4"/>
              <w:left w:val="single" w:color="D0D5E8" w:sz="4"/>
              <w:bottom w:val="single" w:color="D0D5E8" w:sz="4"/>
              <w:right w:val="single" w:color="D0D5E8" w:sz="4"/>
            </w:tcBorders>
            <w:shd w:fill="F4F6FB" w:val="clear"/>
            <w:tcMar>
              <w:top w:type="dxa" w:w="100"/>
              <w:left w:type="dxa" w:w="160"/>
              <w:bottom w:type="dxa" w:w="140"/>
              <w:right w:type="dxa" w:w="160"/>
            </w:tcMar>
          </w:tcPr>
          <w:p>
            <w:pPr>
              <w:pStyle w:val="ListParagraph"/>
              <w:numPr>
                <w:ilvl w:val="0"/>
                <w:numId w:val="2"/>
              </w:numPr>
              <w:spacing w:after="40" w:before="40"/>
            </w:pPr>
            <w:r>
              <w:rPr>
                <w:rFonts w:ascii="Arial" w:cs="Arial" w:eastAsia="Arial" w:hAnsi="Arial"/>
                <w:color w:val="1A1A2E"/>
                <w:sz w:val="18"/>
                <w:szCs w:val="18"/>
              </w:rPr>
              <w:t xml:space="preserve">Deploy CyberArk Privileged Access Manager (or BeyondTrust PAM) — configure as proxy for all Admin Dashboard and production system privileged access.</w:t>
            </w:r>
          </w:p>
          <w:p>
            <w:pPr>
              <w:pStyle w:val="ListParagraph"/>
              <w:numPr>
                <w:ilvl w:val="0"/>
                <w:numId w:val="2"/>
              </w:numPr>
              <w:spacing w:after="40" w:before="40"/>
            </w:pPr>
            <w:r>
              <w:rPr>
                <w:rFonts w:ascii="Arial" w:cs="Arial" w:eastAsia="Arial" w:hAnsi="Arial"/>
                <w:color w:val="1A1A2E"/>
                <w:sz w:val="18"/>
                <w:szCs w:val="18"/>
              </w:rPr>
              <w:t xml:space="preserve">Onboard all Level 5–6 accounts to CyberArk vault: Super-Admin, Infra Admin, break-glass accounts, shared accounts (prior to decommissioning).</w:t>
            </w:r>
          </w:p>
          <w:p>
            <w:pPr>
              <w:pStyle w:val="ListParagraph"/>
              <w:numPr>
                <w:ilvl w:val="0"/>
                <w:numId w:val="2"/>
              </w:numPr>
              <w:spacing w:after="40" w:before="40"/>
            </w:pPr>
            <w:r>
              <w:rPr>
                <w:rFonts w:ascii="Arial" w:cs="Arial" w:eastAsia="Arial" w:hAnsi="Arial"/>
                <w:color w:val="1A1A2E"/>
                <w:sz w:val="18"/>
                <w:szCs w:val="18"/>
              </w:rPr>
              <w:t xml:space="preserve">CyberArk auto-rotation: rotate vaulted passwords every 30 days automatically, or immediately after check-in.</w:t>
            </w:r>
          </w:p>
          <w:p>
            <w:pPr>
              <w:pStyle w:val="ListParagraph"/>
              <w:numPr>
                <w:ilvl w:val="0"/>
                <w:numId w:val="2"/>
              </w:numPr>
              <w:spacing w:after="40" w:before="40"/>
            </w:pPr>
            <w:r>
              <w:rPr>
                <w:rFonts w:ascii="Arial" w:cs="Arial" w:eastAsia="Arial" w:hAnsi="Arial"/>
                <w:color w:val="1A1A2E"/>
                <w:sz w:val="18"/>
                <w:szCs w:val="18"/>
              </w:rPr>
              <w:t xml:space="preserve">Privileged session recording: all CyberArk-brokered sessions are recorded (keystroke + screen) with 1-year retention for PCI-DSS compliance.</w:t>
            </w:r>
          </w:p>
          <w:p>
            <w:pPr>
              <w:pStyle w:val="ListParagraph"/>
              <w:numPr>
                <w:ilvl w:val="0"/>
                <w:numId w:val="2"/>
              </w:numPr>
              <w:spacing w:after="40" w:before="40"/>
            </w:pPr>
            <w:r>
              <w:rPr>
                <w:rFonts w:ascii="Arial" w:cs="Arial" w:eastAsia="Arial" w:hAnsi="Arial"/>
                <w:color w:val="1A1A2E"/>
                <w:sz w:val="18"/>
                <w:szCs w:val="18"/>
              </w:rPr>
              <w:t xml:space="preserve">Break-glass access: credentials must be checked out through CyberArk with mandatory Jira change ticket — TTL enforced at CyberArk level.</w:t>
            </w:r>
          </w:p>
          <w:p>
            <w:pPr>
              <w:pStyle w:val="ListParagraph"/>
              <w:numPr>
                <w:ilvl w:val="0"/>
                <w:numId w:val="2"/>
              </w:numPr>
              <w:spacing w:after="40" w:before="40"/>
            </w:pPr>
            <w:r>
              <w:rPr>
                <w:rFonts w:ascii="Arial" w:cs="Arial" w:eastAsia="Arial" w:hAnsi="Arial"/>
                <w:color w:val="1A1A2E"/>
                <w:sz w:val="18"/>
                <w:szCs w:val="18"/>
              </w:rPr>
              <w:t xml:space="preserve">Alert on dual-control violations: any attempt to access Super-Admin or break-glass credentials without approved change ticket generates P1 alert.</w:t>
            </w:r>
          </w:p>
        </w:tc>
      </w:tr>
    </w:tbl>
    <w:p>
      <w:pPr>
        <w:spacing w:after="0" w:before="120"/>
      </w:pPr>
      <w:r>
        <w:t xml:space="preserve"/>
      </w:r>
    </w:p>
    <w:p>
      <w:r>
        <w:br w:type="page"/>
      </w:r>
    </w:p>
    <w:p>
      <w:pPr>
        <w:pStyle w:val="Heading1"/>
        <w:pBdr>
          <w:bottom w:val="single" w:color="2E5FA3" w:sz="10"/>
        </w:pBdr>
        <w:spacing w:after="160" w:before="440"/>
      </w:pPr>
      <w:r>
        <w:rPr>
          <w:rFonts w:ascii="Arial" w:cs="Arial" w:eastAsia="Arial" w:hAnsi="Arial"/>
          <w:b/>
          <w:bCs/>
          <w:color w:val="1B3A6B"/>
          <w:sz w:val="30"/>
          <w:szCs w:val="30"/>
        </w:rPr>
        <w:t xml:space="preserve">8. Monitoring &amp; Detection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tcPr>
          <w:p>
            <w:pPr>
              <w:spacing w:after="20" w:before="0"/>
            </w:pPr>
            <w:r>
              <w:rPr>
                <w:rFonts w:ascii="Arial" w:cs="Arial" w:eastAsia="Arial" w:hAnsi="Arial"/>
                <w:b/>
                <w:bCs/>
                <w:color w:val="FFFFFF"/>
                <w:sz w:val="15"/>
                <w:szCs w:val="15"/>
              </w:rPr>
              <w:t xml:space="preserve">Domain</w:t>
            </w:r>
          </w:p>
          <w:p>
            <w:pPr>
              <w:spacing w:after="0" w:before="0"/>
            </w:pPr>
            <w:r>
              <w:rPr>
                <w:rFonts w:ascii="Arial" w:cs="Arial" w:eastAsia="Arial" w:hAnsi="Arial"/>
                <w:b/>
                <w:bCs/>
                <w:color w:val="D6E4F7"/>
                <w:sz w:val="20"/>
                <w:szCs w:val="20"/>
              </w:rPr>
              <w:t xml:space="preserve">CTL-MON</w:t>
            </w:r>
          </w:p>
        </w:tc>
        <w:tc>
          <w:tcPr>
            <w:tcW w:type="dxa" w:w="8160"/>
            <w:tcBorders>
              <w:top w:val="single" w:color="1B3A6B" w:sz="6"/>
              <w:left w:val="single" w:color="1B3A6B" w:sz="6"/>
              <w:bottom w:val="single" w:color="1B3A6B" w:sz="6"/>
              <w:right w:val="single" w:color="1B3A6B" w:sz="6"/>
            </w:tcBorders>
            <w:shd w:fill="EEF4FF" w:val="clear"/>
            <w:tcMar>
              <w:top w:type="dxa" w:w="100"/>
              <w:left w:type="dxa" w:w="200"/>
              <w:bottom w:type="dxa" w:w="100"/>
              <w:right w:type="dxa" w:w="160"/>
            </w:tcMar>
          </w:tcPr>
          <w:p>
            <w:pPr>
              <w:spacing w:after="0" w:before="0"/>
            </w:pPr>
            <w:r>
              <w:rPr>
                <w:rFonts w:ascii="Arial" w:cs="Arial" w:eastAsia="Arial" w:hAnsi="Arial"/>
                <w:color w:val="1A1A2E"/>
                <w:sz w:val="19"/>
                <w:szCs w:val="19"/>
              </w:rPr>
              <w:t xml:space="preserve">The assessment revealed monitoring gaps at every layer: no correlation between Okta, AWS, and Admin Dashboard logs; no session recording for privileged operations; no DLP visibility for remote workers; and no real-time detection of orphaned account usage. This domain builds a unified monitoring stack that makes IAM anomalies visible and actionable within minutes, not months.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360"/>
      </w:tblGrid>
      <w:tr>
        <w:tc>
          <w:tcPr>
            <w:tcW w:type="dxa" w:w="1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jc w:val="center"/>
            </w:pPr>
            <w:r>
              <w:rPr>
                <w:rFonts w:ascii="Arial" w:cs="Arial" w:eastAsia="Arial" w:hAnsi="Arial"/>
                <w:b/>
                <w:bCs/>
                <w:color w:val="D6E4F7"/>
                <w:sz w:val="20"/>
                <w:szCs w:val="20"/>
              </w:rPr>
              <w:t xml:space="preserve">MON-01</w:t>
            </w:r>
          </w:p>
        </w:tc>
        <w:tc>
          <w:tcPr>
            <w:tcW w:type="dxa" w:w="6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Centralised IAM Event Logging — Unified SIEM Pipeline</w:t>
            </w:r>
          </w:p>
        </w:tc>
        <w:tc>
          <w:tcPr>
            <w:tcW w:type="dxa" w:w="2360"/>
            <w:tcBorders>
              <w:top w:val="single" w:color="1B3A6B" w:sz="8"/>
              <w:left w:val="single" w:color="1B3A6B" w:sz="8"/>
              <w:bottom w:val="single" w:color="1B3A6B" w:sz="8"/>
              <w:right w:val="single" w:color="1B3A6B" w:sz="8"/>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P1 — Immediate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Risks Addressed</w:t>
            </w:r>
          </w:p>
        </w:tc>
        <w:tc>
          <w:tcPr>
            <w:tcW w:type="dxa" w:w="796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pPr>
            <w:r>
              <w:rPr>
                <w:rFonts w:ascii="Arial" w:cs="Arial" w:eastAsia="Arial" w:hAnsi="Arial"/>
                <w:color w:val="1B3A6B"/>
                <w:sz w:val="18"/>
                <w:szCs w:val="18"/>
              </w:rPr>
              <w:t xml:space="preserve">R-001, R-004, R-006, R-011, R-013</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Description</w:t>
            </w:r>
          </w:p>
        </w:tc>
        <w:tc>
          <w:tcPr>
            <w:tcW w:type="dxa" w:w="79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pPr>
            <w:r>
              <w:rPr>
                <w:rFonts w:ascii="Arial" w:cs="Arial" w:eastAsia="Arial" w:hAnsi="Arial"/>
                <w:color w:val="1A1A2E"/>
                <w:sz w:val="18"/>
                <w:szCs w:val="18"/>
              </w:rPr>
              <w:t xml:space="preserve">Current logging is fragmented: Okta System Log, AWS CloudTrail, and Admin Dashboard application logs exist independently with no correlation layer. The orphaned account (USR-8001) and shared account usage (SHR-7001–7003) could not be correlated across systems. All IAM-relevant events must flow into a unified SIEM (Splunk Enterprise) with normalised schemas for cross-system correlation.</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Standards</w:t>
            </w:r>
          </w:p>
        </w:tc>
        <w:tc>
          <w:tcPr>
            <w:tcW w:type="dxa" w:w="7960"/>
            <w:tcBorders>
              <w:top w:val="single" w:color="D0D5E8" w:sz="4"/>
              <w:left w:val="single" w:color="D0D5E8" w:sz="4"/>
              <w:bottom w:val="single" w:color="D0D5E8" w:sz="4"/>
              <w:right w:val="single" w:color="D0D5E8" w:sz="4"/>
            </w:tcBorders>
            <w:shd w:fill="E8F5EE" w:val="clear"/>
            <w:tcMar>
              <w:top w:type="dxa" w:w="100"/>
              <w:left w:type="dxa" w:w="160"/>
              <w:bottom w:type="dxa" w:w="100"/>
              <w:right w:type="dxa" w:w="160"/>
            </w:tcMar>
          </w:tcPr>
          <w:p>
            <w:pPr>
              <w:spacing w:after="0" w:before="0"/>
            </w:pPr>
            <w:r>
              <w:rPr>
                <w:rFonts w:ascii="Arial" w:cs="Arial" w:eastAsia="Arial" w:hAnsi="Arial"/>
                <w:color w:val="155E38"/>
                <w:sz w:val="18"/>
                <w:szCs w:val="18"/>
              </w:rPr>
              <w:t xml:space="preserve">NIST AU-2, AU-3, AU-9, PCI-DSS v4.0 Req 10.2, 10.3, 10.7, CIS Control 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Implementation Steps</w:t>
            </w:r>
          </w:p>
        </w:tc>
        <w:tc>
          <w:tcPr>
            <w:tcW w:type="dxa" w:w="7960"/>
            <w:tcBorders>
              <w:top w:val="single" w:color="D0D5E8" w:sz="4"/>
              <w:left w:val="single" w:color="D0D5E8" w:sz="4"/>
              <w:bottom w:val="single" w:color="D0D5E8" w:sz="4"/>
              <w:right w:val="single" w:color="D0D5E8" w:sz="4"/>
            </w:tcBorders>
            <w:shd w:fill="F4F6FB" w:val="clear"/>
            <w:tcMar>
              <w:top w:type="dxa" w:w="100"/>
              <w:left w:type="dxa" w:w="160"/>
              <w:bottom w:type="dxa" w:w="140"/>
              <w:right w:type="dxa" w:w="160"/>
            </w:tcMar>
          </w:tcPr>
          <w:p>
            <w:pPr>
              <w:pStyle w:val="ListParagraph"/>
              <w:numPr>
                <w:ilvl w:val="0"/>
                <w:numId w:val="2"/>
              </w:numPr>
              <w:spacing w:after="40" w:before="40"/>
            </w:pPr>
            <w:r>
              <w:rPr>
                <w:rFonts w:ascii="Arial" w:cs="Arial" w:eastAsia="Arial" w:hAnsi="Arial"/>
                <w:color w:val="1A1A2E"/>
                <w:sz w:val="18"/>
                <w:szCs w:val="18"/>
              </w:rPr>
              <w:t xml:space="preserve">Configure Okta System Log → Splunk via Okta's Splunk Add-on (HEC endpoint); index as 'okta_events'.</w:t>
            </w:r>
          </w:p>
          <w:p>
            <w:pPr>
              <w:pStyle w:val="ListParagraph"/>
              <w:numPr>
                <w:ilvl w:val="0"/>
                <w:numId w:val="2"/>
              </w:numPr>
              <w:spacing w:after="40" w:before="40"/>
            </w:pPr>
            <w:r>
              <w:rPr>
                <w:rFonts w:ascii="Arial" w:cs="Arial" w:eastAsia="Arial" w:hAnsi="Arial"/>
                <w:color w:val="1A1A2E"/>
                <w:sz w:val="18"/>
                <w:szCs w:val="18"/>
              </w:rPr>
              <w:t xml:space="preserve">Configure AWS CloudTrail (all 6 accounts) → S3 → Splunk S3 input; index as 'aws_cloudtrail'.</w:t>
            </w:r>
          </w:p>
          <w:p>
            <w:pPr>
              <w:pStyle w:val="ListParagraph"/>
              <w:numPr>
                <w:ilvl w:val="0"/>
                <w:numId w:val="2"/>
              </w:numPr>
              <w:spacing w:after="40" w:before="40"/>
            </w:pPr>
            <w:r>
              <w:rPr>
                <w:rFonts w:ascii="Arial" w:cs="Arial" w:eastAsia="Arial" w:hAnsi="Arial"/>
                <w:color w:val="1A1A2E"/>
                <w:sz w:val="18"/>
                <w:szCs w:val="18"/>
              </w:rPr>
              <w:t xml:space="preserve">Configure Admin Dashboard application audit log → Splunk syslog forwarder; index as 'admindash_audit'.</w:t>
            </w:r>
          </w:p>
          <w:p>
            <w:pPr>
              <w:pStyle w:val="ListParagraph"/>
              <w:numPr>
                <w:ilvl w:val="0"/>
                <w:numId w:val="2"/>
              </w:numPr>
              <w:spacing w:after="40" w:before="40"/>
            </w:pPr>
            <w:r>
              <w:rPr>
                <w:rFonts w:ascii="Arial" w:cs="Arial" w:eastAsia="Arial" w:hAnsi="Arial"/>
                <w:color w:val="1A1A2E"/>
                <w:sz w:val="18"/>
                <w:szCs w:val="18"/>
              </w:rPr>
              <w:t xml:space="preserve">Configure VPN (GlobalProtect) authentication logs → Splunk syslog; index as 'vpn_auth'.</w:t>
            </w:r>
          </w:p>
          <w:p>
            <w:pPr>
              <w:pStyle w:val="ListParagraph"/>
              <w:numPr>
                <w:ilvl w:val="0"/>
                <w:numId w:val="2"/>
              </w:numPr>
              <w:spacing w:after="40" w:before="40"/>
            </w:pPr>
            <w:r>
              <w:rPr>
                <w:rFonts w:ascii="Arial" w:cs="Arial" w:eastAsia="Arial" w:hAnsi="Arial"/>
                <w:color w:val="1A1A2E"/>
                <w:sz w:val="18"/>
                <w:szCs w:val="18"/>
              </w:rPr>
              <w:t xml:space="preserve">Build Splunk correlation searches: match Okta user_id to AWS principal ARN to Admin Dashboard user to VPN session — unified identity timeline per user.</w:t>
            </w:r>
          </w:p>
          <w:p>
            <w:pPr>
              <w:pStyle w:val="ListParagraph"/>
              <w:numPr>
                <w:ilvl w:val="0"/>
                <w:numId w:val="2"/>
              </w:numPr>
              <w:spacing w:after="40" w:before="40"/>
            </w:pPr>
            <w:r>
              <w:rPr>
                <w:rFonts w:ascii="Arial" w:cs="Arial" w:eastAsia="Arial" w:hAnsi="Arial"/>
                <w:color w:val="1A1A2E"/>
                <w:sz w:val="18"/>
                <w:szCs w:val="18"/>
              </w:rPr>
              <w:t xml:space="preserve">Retention policy: hot tier 90 days (fast search), warm tier 1 year (PCI-DSS requirement 10.7), cold tier 3 years (compliance archive).</w:t>
            </w:r>
          </w:p>
          <w:p>
            <w:pPr>
              <w:pStyle w:val="ListParagraph"/>
              <w:numPr>
                <w:ilvl w:val="0"/>
                <w:numId w:val="2"/>
              </w:numPr>
              <w:spacing w:after="40" w:before="40"/>
            </w:pPr>
            <w:r>
              <w:rPr>
                <w:rFonts w:ascii="Arial" w:cs="Arial" w:eastAsia="Arial" w:hAnsi="Arial"/>
                <w:color w:val="1A1A2E"/>
                <w:sz w:val="18"/>
                <w:szCs w:val="18"/>
              </w:rPr>
              <w:t xml:space="preserve">Alert: any successful authentication to Admin Dashboard not correlated with prior Okta SSO event within 5 minutes → P1 (indicates local auth bypass).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360"/>
      </w:tblGrid>
      <w:tr>
        <w:tc>
          <w:tcPr>
            <w:tcW w:type="dxa" w:w="1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jc w:val="center"/>
            </w:pPr>
            <w:r>
              <w:rPr>
                <w:rFonts w:ascii="Arial" w:cs="Arial" w:eastAsia="Arial" w:hAnsi="Arial"/>
                <w:b/>
                <w:bCs/>
                <w:color w:val="D6E4F7"/>
                <w:sz w:val="20"/>
                <w:szCs w:val="20"/>
              </w:rPr>
              <w:t xml:space="preserve">MON-02</w:t>
            </w:r>
          </w:p>
        </w:tc>
        <w:tc>
          <w:tcPr>
            <w:tcW w:type="dxa" w:w="6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Privileged Access Monitoring — PAM Session Recording &amp; Alerting</w:t>
            </w:r>
          </w:p>
        </w:tc>
        <w:tc>
          <w:tcPr>
            <w:tcW w:type="dxa" w:w="2360"/>
            <w:tcBorders>
              <w:top w:val="single" w:color="1B3A6B" w:sz="8"/>
              <w:left w:val="single" w:color="1B3A6B" w:sz="8"/>
              <w:bottom w:val="single" w:color="1B3A6B" w:sz="8"/>
              <w:right w:val="single" w:color="1B3A6B" w:sz="8"/>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P1 — Immediate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Risks Addressed</w:t>
            </w:r>
          </w:p>
        </w:tc>
        <w:tc>
          <w:tcPr>
            <w:tcW w:type="dxa" w:w="796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pPr>
            <w:r>
              <w:rPr>
                <w:rFonts w:ascii="Arial" w:cs="Arial" w:eastAsia="Arial" w:hAnsi="Arial"/>
                <w:color w:val="1B3A6B"/>
                <w:sz w:val="18"/>
                <w:szCs w:val="18"/>
              </w:rPr>
              <w:t xml:space="preserve">R-001, R-013, R-015</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Description</w:t>
            </w:r>
          </w:p>
        </w:tc>
        <w:tc>
          <w:tcPr>
            <w:tcW w:type="dxa" w:w="79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pPr>
            <w:r>
              <w:rPr>
                <w:rFonts w:ascii="Arial" w:cs="Arial" w:eastAsia="Arial" w:hAnsi="Arial"/>
                <w:color w:val="1A1A2E"/>
                <w:sz w:val="18"/>
                <w:szCs w:val="18"/>
              </w:rPr>
              <w:t xml:space="preserve">No session recording exists for privileged Admin Dashboard actions, and break-glass account usage is not monitored in real time. Transaction overrides, fee waivers, and account freeze operations are performed without full forensic accountability. CyberArk PAM session recording combined with real-time SIEM alerting closes this gap.</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Standards</w:t>
            </w:r>
          </w:p>
        </w:tc>
        <w:tc>
          <w:tcPr>
            <w:tcW w:type="dxa" w:w="7960"/>
            <w:tcBorders>
              <w:top w:val="single" w:color="D0D5E8" w:sz="4"/>
              <w:left w:val="single" w:color="D0D5E8" w:sz="4"/>
              <w:bottom w:val="single" w:color="D0D5E8" w:sz="4"/>
              <w:right w:val="single" w:color="D0D5E8" w:sz="4"/>
            </w:tcBorders>
            <w:shd w:fill="E8F5EE" w:val="clear"/>
            <w:tcMar>
              <w:top w:type="dxa" w:w="100"/>
              <w:left w:type="dxa" w:w="160"/>
              <w:bottom w:type="dxa" w:w="100"/>
              <w:right w:type="dxa" w:w="160"/>
            </w:tcMar>
          </w:tcPr>
          <w:p>
            <w:pPr>
              <w:spacing w:after="0" w:before="0"/>
            </w:pPr>
            <w:r>
              <w:rPr>
                <w:rFonts w:ascii="Arial" w:cs="Arial" w:eastAsia="Arial" w:hAnsi="Arial"/>
                <w:color w:val="155E38"/>
                <w:sz w:val="18"/>
                <w:szCs w:val="18"/>
              </w:rPr>
              <w:t xml:space="preserve">NIST AU-14, AC-17(1), PCI-DSS v4.0 Req 10.2.1, CIS Control 8.5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Implementation Steps</w:t>
            </w:r>
          </w:p>
        </w:tc>
        <w:tc>
          <w:tcPr>
            <w:tcW w:type="dxa" w:w="7960"/>
            <w:tcBorders>
              <w:top w:val="single" w:color="D0D5E8" w:sz="4"/>
              <w:left w:val="single" w:color="D0D5E8" w:sz="4"/>
              <w:bottom w:val="single" w:color="D0D5E8" w:sz="4"/>
              <w:right w:val="single" w:color="D0D5E8" w:sz="4"/>
            </w:tcBorders>
            <w:shd w:fill="F4F6FB" w:val="clear"/>
            <w:tcMar>
              <w:top w:type="dxa" w:w="100"/>
              <w:left w:type="dxa" w:w="160"/>
              <w:bottom w:type="dxa" w:w="140"/>
              <w:right w:type="dxa" w:w="160"/>
            </w:tcMar>
          </w:tcPr>
          <w:p>
            <w:pPr>
              <w:pStyle w:val="ListParagraph"/>
              <w:numPr>
                <w:ilvl w:val="0"/>
                <w:numId w:val="2"/>
              </w:numPr>
              <w:spacing w:after="40" w:before="40"/>
            </w:pPr>
            <w:r>
              <w:rPr>
                <w:rFonts w:ascii="Arial" w:cs="Arial" w:eastAsia="Arial" w:hAnsi="Arial"/>
                <w:color w:val="1A1A2E"/>
                <w:sz w:val="18"/>
                <w:szCs w:val="18"/>
              </w:rPr>
              <w:t xml:space="preserve">CyberArk session recording enabled for all Admin Dashboard connections — keystroke logging + screen recording; feed session metadata to Splunk.</w:t>
            </w:r>
          </w:p>
          <w:p>
            <w:pPr>
              <w:pStyle w:val="ListParagraph"/>
              <w:numPr>
                <w:ilvl w:val="0"/>
                <w:numId w:val="2"/>
              </w:numPr>
              <w:spacing w:after="40" w:before="40"/>
            </w:pPr>
            <w:r>
              <w:rPr>
                <w:rFonts w:ascii="Arial" w:cs="Arial" w:eastAsia="Arial" w:hAnsi="Arial"/>
                <w:color w:val="1A1A2E"/>
                <w:sz w:val="18"/>
                <w:szCs w:val="18"/>
              </w:rPr>
              <w:t xml:space="preserve">SIEM alert (P1): break-glass account (BRK-9001, BRK-9002) activation without active Jira incident ticket.</w:t>
            </w:r>
          </w:p>
          <w:p>
            <w:pPr>
              <w:pStyle w:val="ListParagraph"/>
              <w:numPr>
                <w:ilvl w:val="0"/>
                <w:numId w:val="2"/>
              </w:numPr>
              <w:spacing w:after="40" w:before="40"/>
            </w:pPr>
            <w:r>
              <w:rPr>
                <w:rFonts w:ascii="Arial" w:cs="Arial" w:eastAsia="Arial" w:hAnsi="Arial"/>
                <w:color w:val="1A1A2E"/>
                <w:sz w:val="18"/>
                <w:szCs w:val="18"/>
              </w:rPr>
              <w:t xml:space="preserve">SIEM alert (P1): break-glass session still active 5 minutes past approved TTL.</w:t>
            </w:r>
          </w:p>
          <w:p>
            <w:pPr>
              <w:pStyle w:val="ListParagraph"/>
              <w:numPr>
                <w:ilvl w:val="0"/>
                <w:numId w:val="2"/>
              </w:numPr>
              <w:spacing w:after="40" w:before="40"/>
            </w:pPr>
            <w:r>
              <w:rPr>
                <w:rFonts w:ascii="Arial" w:cs="Arial" w:eastAsia="Arial" w:hAnsi="Arial"/>
                <w:color w:val="1A1A2E"/>
                <w:sz w:val="18"/>
                <w:szCs w:val="18"/>
              </w:rPr>
              <w:t xml:space="preserve">SIEM alert (P2): Super-Admin (USR-5003) performing actions outside documented maintenance window.</w:t>
            </w:r>
          </w:p>
          <w:p>
            <w:pPr>
              <w:pStyle w:val="ListParagraph"/>
              <w:numPr>
                <w:ilvl w:val="0"/>
                <w:numId w:val="2"/>
              </w:numPr>
              <w:spacing w:after="40" w:before="40"/>
            </w:pPr>
            <w:r>
              <w:rPr>
                <w:rFonts w:ascii="Arial" w:cs="Arial" w:eastAsia="Arial" w:hAnsi="Arial"/>
                <w:color w:val="1A1A2E"/>
                <w:sz w:val="18"/>
                <w:szCs w:val="18"/>
              </w:rPr>
              <w:t xml:space="preserve">SIEM alert (P2): Admin Dashboard session performing &gt;10 transaction overrides within 60 minutes (bulk manipulation indicator).</w:t>
            </w:r>
          </w:p>
          <w:p>
            <w:pPr>
              <w:pStyle w:val="ListParagraph"/>
              <w:numPr>
                <w:ilvl w:val="0"/>
                <w:numId w:val="2"/>
              </w:numPr>
              <w:spacing w:after="40" w:before="40"/>
            </w:pPr>
            <w:r>
              <w:rPr>
                <w:rFonts w:ascii="Arial" w:cs="Arial" w:eastAsia="Arial" w:hAnsi="Arial"/>
                <w:color w:val="1A1A2E"/>
                <w:sz w:val="18"/>
                <w:szCs w:val="18"/>
              </w:rPr>
              <w:t xml:space="preserve">Weekly privileged access report: all PAM sessions by account, duration, actions performed — reviewed by Security Analyst and filed in GRC system.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360"/>
      </w:tblGrid>
      <w:tr>
        <w:tc>
          <w:tcPr>
            <w:tcW w:type="dxa" w:w="1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jc w:val="center"/>
            </w:pPr>
            <w:r>
              <w:rPr>
                <w:rFonts w:ascii="Arial" w:cs="Arial" w:eastAsia="Arial" w:hAnsi="Arial"/>
                <w:b/>
                <w:bCs/>
                <w:color w:val="D6E4F7"/>
                <w:sz w:val="20"/>
                <w:szCs w:val="20"/>
              </w:rPr>
              <w:t xml:space="preserve">MON-03</w:t>
            </w:r>
          </w:p>
        </w:tc>
        <w:tc>
          <w:tcPr>
            <w:tcW w:type="dxa" w:w="6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Anomalous Authentication Detection — Behavioural Baselines</w:t>
            </w:r>
          </w:p>
        </w:tc>
        <w:tc>
          <w:tcPr>
            <w:tcW w:type="dxa" w:w="2360"/>
            <w:tcBorders>
              <w:top w:val="single" w:color="1B3A6B" w:sz="8"/>
              <w:left w:val="single" w:color="1B3A6B" w:sz="8"/>
              <w:bottom w:val="single" w:color="1B3A6B" w:sz="8"/>
              <w:right w:val="single" w:color="1B3A6B" w:sz="8"/>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P2 — 14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Risks Addressed</w:t>
            </w:r>
          </w:p>
        </w:tc>
        <w:tc>
          <w:tcPr>
            <w:tcW w:type="dxa" w:w="796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pPr>
            <w:r>
              <w:rPr>
                <w:rFonts w:ascii="Arial" w:cs="Arial" w:eastAsia="Arial" w:hAnsi="Arial"/>
                <w:color w:val="1B3A6B"/>
                <w:sz w:val="18"/>
                <w:szCs w:val="18"/>
              </w:rPr>
              <w:t xml:space="preserve">R-004 (Orphaned account), R-011 (Inactive accounts), R-007 (Admin no MFA)</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Description</w:t>
            </w:r>
          </w:p>
        </w:tc>
        <w:tc>
          <w:tcPr>
            <w:tcW w:type="dxa" w:w="79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pPr>
            <w:r>
              <w:rPr>
                <w:rFonts w:ascii="Arial" w:cs="Arial" w:eastAsia="Arial" w:hAnsi="Arial"/>
                <w:color w:val="1A1A2E"/>
                <w:sz w:val="18"/>
                <w:szCs w:val="18"/>
              </w:rPr>
              <w:t xml:space="preserve">Orphaned accounts and inactive accounts are dangerous precisely because compromised access can be disguised as normal usage. Splunk UEBA (User Entity and Behaviour Analytics) or Okta Identity Threat Protection should establish behavioural baselines per user and trigger alerts when authentication or access patterns deviate from baseline.</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Standards</w:t>
            </w:r>
          </w:p>
        </w:tc>
        <w:tc>
          <w:tcPr>
            <w:tcW w:type="dxa" w:w="7960"/>
            <w:tcBorders>
              <w:top w:val="single" w:color="D0D5E8" w:sz="4"/>
              <w:left w:val="single" w:color="D0D5E8" w:sz="4"/>
              <w:bottom w:val="single" w:color="D0D5E8" w:sz="4"/>
              <w:right w:val="single" w:color="D0D5E8" w:sz="4"/>
            </w:tcBorders>
            <w:shd w:fill="E8F5EE" w:val="clear"/>
            <w:tcMar>
              <w:top w:type="dxa" w:w="100"/>
              <w:left w:type="dxa" w:w="160"/>
              <w:bottom w:type="dxa" w:w="100"/>
              <w:right w:type="dxa" w:w="160"/>
            </w:tcMar>
          </w:tcPr>
          <w:p>
            <w:pPr>
              <w:spacing w:after="0" w:before="0"/>
            </w:pPr>
            <w:r>
              <w:rPr>
                <w:rFonts w:ascii="Arial" w:cs="Arial" w:eastAsia="Arial" w:hAnsi="Arial"/>
                <w:color w:val="155E38"/>
                <w:sz w:val="18"/>
                <w:szCs w:val="18"/>
              </w:rPr>
              <w:t xml:space="preserve">NIST SI-4, AC-2(12), PCI-DSS v4.0 Req 10.4.1, CIS Control 8.11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Implementation Steps</w:t>
            </w:r>
          </w:p>
        </w:tc>
        <w:tc>
          <w:tcPr>
            <w:tcW w:type="dxa" w:w="7960"/>
            <w:tcBorders>
              <w:top w:val="single" w:color="D0D5E8" w:sz="4"/>
              <w:left w:val="single" w:color="D0D5E8" w:sz="4"/>
              <w:bottom w:val="single" w:color="D0D5E8" w:sz="4"/>
              <w:right w:val="single" w:color="D0D5E8" w:sz="4"/>
            </w:tcBorders>
            <w:shd w:fill="F4F6FB" w:val="clear"/>
            <w:tcMar>
              <w:top w:type="dxa" w:w="100"/>
              <w:left w:type="dxa" w:w="160"/>
              <w:bottom w:type="dxa" w:w="140"/>
              <w:right w:type="dxa" w:w="160"/>
            </w:tcMar>
          </w:tcPr>
          <w:p>
            <w:pPr>
              <w:pStyle w:val="ListParagraph"/>
              <w:numPr>
                <w:ilvl w:val="0"/>
                <w:numId w:val="2"/>
              </w:numPr>
              <w:spacing w:after="40" w:before="40"/>
            </w:pPr>
            <w:r>
              <w:rPr>
                <w:rFonts w:ascii="Arial" w:cs="Arial" w:eastAsia="Arial" w:hAnsi="Arial"/>
                <w:color w:val="1A1A2E"/>
                <w:sz w:val="18"/>
                <w:szCs w:val="18"/>
              </w:rPr>
              <w:t xml:space="preserve">Enable Okta Identity Threat Protection (or integrate Splunk UEBA) — build per-user access baselines from 90-day history.</w:t>
            </w:r>
          </w:p>
          <w:p>
            <w:pPr>
              <w:pStyle w:val="ListParagraph"/>
              <w:numPr>
                <w:ilvl w:val="0"/>
                <w:numId w:val="2"/>
              </w:numPr>
              <w:spacing w:after="40" w:before="40"/>
            </w:pPr>
            <w:r>
              <w:rPr>
                <w:rFonts w:ascii="Arial" w:cs="Arial" w:eastAsia="Arial" w:hAnsi="Arial"/>
                <w:color w:val="1A1A2E"/>
                <w:sz w:val="18"/>
                <w:szCs w:val="18"/>
              </w:rPr>
              <w:t xml:space="preserve">Alert triggers: login from new country/ASN | login at unusual hour (2σ from user norm) | sudden privilege escalation | accessing system not in user's historical pattern.</w:t>
            </w:r>
          </w:p>
          <w:p>
            <w:pPr>
              <w:pStyle w:val="ListParagraph"/>
              <w:numPr>
                <w:ilvl w:val="0"/>
                <w:numId w:val="2"/>
              </w:numPr>
              <w:spacing w:after="40" w:before="40"/>
            </w:pPr>
            <w:r>
              <w:rPr>
                <w:rFonts w:ascii="Arial" w:cs="Arial" w:eastAsia="Arial" w:hAnsi="Arial"/>
                <w:color w:val="1A1A2E"/>
                <w:sz w:val="18"/>
                <w:szCs w:val="18"/>
              </w:rPr>
              <w:t xml:space="preserve">For inactive accounts (USR-1007, USR-4006, USR-3003): any authentication on an account inactive &gt;60 days generates P1 alert — potential indicator of compromise.</w:t>
            </w:r>
          </w:p>
          <w:p>
            <w:pPr>
              <w:pStyle w:val="ListParagraph"/>
              <w:numPr>
                <w:ilvl w:val="0"/>
                <w:numId w:val="2"/>
              </w:numPr>
              <w:spacing w:after="40" w:before="40"/>
            </w:pPr>
            <w:r>
              <w:rPr>
                <w:rFonts w:ascii="Arial" w:cs="Arial" w:eastAsia="Arial" w:hAnsi="Arial"/>
                <w:color w:val="1A1A2E"/>
                <w:sz w:val="18"/>
                <w:szCs w:val="18"/>
              </w:rPr>
              <w:t xml:space="preserve">Implement Okta ThreatInsight risk scoring: block or MFA-step-up logins from high-risk IPs automatically.</w:t>
            </w:r>
          </w:p>
          <w:p>
            <w:pPr>
              <w:pStyle w:val="ListParagraph"/>
              <w:numPr>
                <w:ilvl w:val="0"/>
                <w:numId w:val="2"/>
              </w:numPr>
              <w:spacing w:after="40" w:before="40"/>
            </w:pPr>
            <w:r>
              <w:rPr>
                <w:rFonts w:ascii="Arial" w:cs="Arial" w:eastAsia="Arial" w:hAnsi="Arial"/>
                <w:color w:val="1A1A2E"/>
                <w:sz w:val="18"/>
                <w:szCs w:val="18"/>
              </w:rPr>
              <w:t xml:space="preserve">SIEM correlation: flag any account performing authentication within 1 hour of an Okta admin action on that account (potential admin-assisted compromise).</w:t>
            </w:r>
          </w:p>
          <w:p>
            <w:pPr>
              <w:pStyle w:val="ListParagraph"/>
              <w:numPr>
                <w:ilvl w:val="0"/>
                <w:numId w:val="2"/>
              </w:numPr>
              <w:spacing w:after="40" w:before="40"/>
            </w:pPr>
            <w:r>
              <w:rPr>
                <w:rFonts w:ascii="Arial" w:cs="Arial" w:eastAsia="Arial" w:hAnsi="Arial"/>
                <w:color w:val="1A1A2E"/>
                <w:sz w:val="18"/>
                <w:szCs w:val="18"/>
              </w:rPr>
              <w:t xml:space="preserve">Monthly UEBA tuning review: Security Analyst reviews false positive rate; adjust baseline thresholds; document changes.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360"/>
      </w:tblGrid>
      <w:tr>
        <w:tc>
          <w:tcPr>
            <w:tcW w:type="dxa" w:w="1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jc w:val="center"/>
            </w:pPr>
            <w:r>
              <w:rPr>
                <w:rFonts w:ascii="Arial" w:cs="Arial" w:eastAsia="Arial" w:hAnsi="Arial"/>
                <w:b/>
                <w:bCs/>
                <w:color w:val="D6E4F7"/>
                <w:sz w:val="20"/>
                <w:szCs w:val="20"/>
              </w:rPr>
              <w:t xml:space="preserve">MON-04</w:t>
            </w:r>
          </w:p>
        </w:tc>
        <w:tc>
          <w:tcPr>
            <w:tcW w:type="dxa" w:w="6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Data Loss Prevention — Full-Tunnel VPN + CASB Integration</w:t>
            </w:r>
          </w:p>
        </w:tc>
        <w:tc>
          <w:tcPr>
            <w:tcW w:type="dxa" w:w="2360"/>
            <w:tcBorders>
              <w:top w:val="single" w:color="1B3A6B" w:sz="8"/>
              <w:left w:val="single" w:color="1B3A6B" w:sz="8"/>
              <w:bottom w:val="single" w:color="1B3A6B" w:sz="8"/>
              <w:right w:val="single" w:color="1B3A6B" w:sz="8"/>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P2 — 14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Risks Addressed</w:t>
            </w:r>
          </w:p>
        </w:tc>
        <w:tc>
          <w:tcPr>
            <w:tcW w:type="dxa" w:w="796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pPr>
            <w:r>
              <w:rPr>
                <w:rFonts w:ascii="Arial" w:cs="Arial" w:eastAsia="Arial" w:hAnsi="Arial"/>
                <w:color w:val="1B3A6B"/>
                <w:sz w:val="18"/>
                <w:szCs w:val="18"/>
              </w:rPr>
              <w:t xml:space="preserve">R-014 (VPN split-tunnel bypassing DLP)</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Description</w:t>
            </w:r>
          </w:p>
        </w:tc>
        <w:tc>
          <w:tcPr>
            <w:tcW w:type="dxa" w:w="79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pPr>
            <w:r>
              <w:rPr>
                <w:rFonts w:ascii="Arial" w:cs="Arial" w:eastAsia="Arial" w:hAnsi="Arial"/>
                <w:color w:val="1A1A2E"/>
                <w:sz w:val="18"/>
                <w:szCs w:val="18"/>
              </w:rPr>
              <w:t xml:space="preserve">GlobalProtect split-tunneling allows Engineering and Finance remote workers (95 users with access to PAN data, source code, and financial records) to route internet traffic without DLP inspection. This is a complete blind spot for data exfiltration. Full-tunnel VPN forces all traffic through corporate inspection; CASB provides cloud storage visibility as a complementary control.</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Standards</w:t>
            </w:r>
          </w:p>
        </w:tc>
        <w:tc>
          <w:tcPr>
            <w:tcW w:type="dxa" w:w="7960"/>
            <w:tcBorders>
              <w:top w:val="single" w:color="D0D5E8" w:sz="4"/>
              <w:left w:val="single" w:color="D0D5E8" w:sz="4"/>
              <w:bottom w:val="single" w:color="D0D5E8" w:sz="4"/>
              <w:right w:val="single" w:color="D0D5E8" w:sz="4"/>
            </w:tcBorders>
            <w:shd w:fill="E8F5EE" w:val="clear"/>
            <w:tcMar>
              <w:top w:type="dxa" w:w="100"/>
              <w:left w:type="dxa" w:w="160"/>
              <w:bottom w:type="dxa" w:w="100"/>
              <w:right w:type="dxa" w:w="160"/>
            </w:tcMar>
          </w:tcPr>
          <w:p>
            <w:pPr>
              <w:spacing w:after="0" w:before="0"/>
            </w:pPr>
            <w:r>
              <w:rPr>
                <w:rFonts w:ascii="Arial" w:cs="Arial" w:eastAsia="Arial" w:hAnsi="Arial"/>
                <w:color w:val="155E38"/>
                <w:sz w:val="18"/>
                <w:szCs w:val="18"/>
              </w:rPr>
              <w:t xml:space="preserve">NIST SC-7, SI-3, PCI-DSS v4.0 Req 4.2.1, CIS Control 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Implementation Steps</w:t>
            </w:r>
          </w:p>
        </w:tc>
        <w:tc>
          <w:tcPr>
            <w:tcW w:type="dxa" w:w="7960"/>
            <w:tcBorders>
              <w:top w:val="single" w:color="D0D5E8" w:sz="4"/>
              <w:left w:val="single" w:color="D0D5E8" w:sz="4"/>
              <w:bottom w:val="single" w:color="D0D5E8" w:sz="4"/>
              <w:right w:val="single" w:color="D0D5E8" w:sz="4"/>
            </w:tcBorders>
            <w:shd w:fill="F4F6FB" w:val="clear"/>
            <w:tcMar>
              <w:top w:type="dxa" w:w="100"/>
              <w:left w:type="dxa" w:w="160"/>
              <w:bottom w:type="dxa" w:w="140"/>
              <w:right w:type="dxa" w:w="160"/>
            </w:tcMar>
          </w:tcPr>
          <w:p>
            <w:pPr>
              <w:pStyle w:val="ListParagraph"/>
              <w:numPr>
                <w:ilvl w:val="0"/>
                <w:numId w:val="2"/>
              </w:numPr>
              <w:spacing w:after="40" w:before="40"/>
            </w:pPr>
            <w:r>
              <w:rPr>
                <w:rFonts w:ascii="Arial" w:cs="Arial" w:eastAsia="Arial" w:hAnsi="Arial"/>
                <w:color w:val="1A1A2E"/>
                <w:sz w:val="18"/>
                <w:szCs w:val="18"/>
              </w:rPr>
              <w:t xml:space="preserve">GlobalProtect policy change: create a new 'Restricted-Access' VPN profile with full-tunnel mode.</w:t>
            </w:r>
          </w:p>
          <w:p>
            <w:pPr>
              <w:pStyle w:val="ListParagraph"/>
              <w:numPr>
                <w:ilvl w:val="0"/>
                <w:numId w:val="2"/>
              </w:numPr>
              <w:spacing w:after="40" w:before="40"/>
            </w:pPr>
            <w:r>
              <w:rPr>
                <w:rFonts w:ascii="Arial" w:cs="Arial" w:eastAsia="Arial" w:hAnsi="Arial"/>
                <w:color w:val="1A1A2E"/>
                <w:sz w:val="18"/>
                <w:szCs w:val="18"/>
              </w:rPr>
              <w:t xml:space="preserve">Apply Restricted-Access profile to all users in Okta groups: engineering-all, finance-all.</w:t>
            </w:r>
          </w:p>
          <w:p>
            <w:pPr>
              <w:pStyle w:val="ListParagraph"/>
              <w:numPr>
                <w:ilvl w:val="0"/>
                <w:numId w:val="2"/>
              </w:numPr>
              <w:spacing w:after="40" w:before="40"/>
            </w:pPr>
            <w:r>
              <w:rPr>
                <w:rFonts w:ascii="Arial" w:cs="Arial" w:eastAsia="Arial" w:hAnsi="Arial"/>
                <w:color w:val="1A1A2E"/>
                <w:sz w:val="18"/>
                <w:szCs w:val="18"/>
              </w:rPr>
              <w:t xml:space="preserve">Deploy Netskope or Microsoft Defender for Cloud Apps as CASB — inspect all cloud storage uploads (Dropbox, Google Drive, Box, OneDrive) for DLP policy violations.</w:t>
            </w:r>
          </w:p>
          <w:p>
            <w:pPr>
              <w:pStyle w:val="ListParagraph"/>
              <w:numPr>
                <w:ilvl w:val="0"/>
                <w:numId w:val="2"/>
              </w:numPr>
              <w:spacing w:after="40" w:before="40"/>
            </w:pPr>
            <w:r>
              <w:rPr>
                <w:rFonts w:ascii="Arial" w:cs="Arial" w:eastAsia="Arial" w:hAnsi="Arial"/>
                <w:color w:val="1A1A2E"/>
                <w:sz w:val="18"/>
                <w:szCs w:val="18"/>
              </w:rPr>
              <w:t xml:space="preserve">DLP policy: alert on uploads of files matching PAN regex (\d{16}), PII patterns (SSN, DOB), or source code classifiers from corporate endpoints.</w:t>
            </w:r>
          </w:p>
          <w:p>
            <w:pPr>
              <w:pStyle w:val="ListParagraph"/>
              <w:numPr>
                <w:ilvl w:val="0"/>
                <w:numId w:val="2"/>
              </w:numPr>
              <w:spacing w:after="40" w:before="40"/>
            </w:pPr>
            <w:r>
              <w:rPr>
                <w:rFonts w:ascii="Arial" w:cs="Arial" w:eastAsia="Arial" w:hAnsi="Arial"/>
                <w:color w:val="1A1A2E"/>
                <w:sz w:val="18"/>
                <w:szCs w:val="18"/>
              </w:rPr>
              <w:t xml:space="preserve">Block uploads to personal cloud storage from corporate devices — allow only NovaPay-sanctioned destinations.</w:t>
            </w:r>
          </w:p>
          <w:p>
            <w:pPr>
              <w:pStyle w:val="ListParagraph"/>
              <w:numPr>
                <w:ilvl w:val="0"/>
                <w:numId w:val="2"/>
              </w:numPr>
              <w:spacing w:after="40" w:before="40"/>
            </w:pPr>
            <w:r>
              <w:rPr>
                <w:rFonts w:ascii="Arial" w:cs="Arial" w:eastAsia="Arial" w:hAnsi="Arial"/>
                <w:color w:val="1A1A2E"/>
                <w:sz w:val="18"/>
                <w:szCs w:val="18"/>
              </w:rPr>
              <w:t xml:space="preserve">Endpoint DLP agent (Zscaler or Forcepoint) deployed to all Engineering/Finance endpoints as compensating control for occasional legitimate split-tunnel needs.</w:t>
            </w:r>
          </w:p>
          <w:p>
            <w:pPr>
              <w:pStyle w:val="ListParagraph"/>
              <w:numPr>
                <w:ilvl w:val="0"/>
                <w:numId w:val="2"/>
              </w:numPr>
              <w:spacing w:after="40" w:before="40"/>
            </w:pPr>
            <w:r>
              <w:rPr>
                <w:rFonts w:ascii="Arial" w:cs="Arial" w:eastAsia="Arial" w:hAnsi="Arial"/>
                <w:color w:val="1A1A2E"/>
                <w:sz w:val="18"/>
                <w:szCs w:val="18"/>
              </w:rPr>
              <w:t xml:space="preserve">Measure: track DLP event volume 30 days post-implementation; tune policies to reduce false positives below 5%.</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360"/>
      </w:tblGrid>
      <w:tr>
        <w:tc>
          <w:tcPr>
            <w:tcW w:type="dxa" w:w="1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jc w:val="center"/>
            </w:pPr>
            <w:r>
              <w:rPr>
                <w:rFonts w:ascii="Arial" w:cs="Arial" w:eastAsia="Arial" w:hAnsi="Arial"/>
                <w:b/>
                <w:bCs/>
                <w:color w:val="D6E4F7"/>
                <w:sz w:val="20"/>
                <w:szCs w:val="20"/>
              </w:rPr>
              <w:t xml:space="preserve">MON-05</w:t>
            </w:r>
          </w:p>
        </w:tc>
        <w:tc>
          <w:tcPr>
            <w:tcW w:type="dxa" w:w="6000"/>
            <w:tcBorders>
              <w:top w:val="single" w:color="1B3A6B" w:sz="8"/>
              <w:left w:val="single" w:color="1B3A6B" w:sz="8"/>
              <w:bottom w:val="single" w:color="1B3A6B" w:sz="8"/>
              <w:right w:val="single" w:color="1B3A6B" w:sz="8"/>
            </w:tcBorders>
            <w:shd w:fill="1B3A6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IAM Posture Scorecard — Executive KPI Dashboard</w:t>
            </w:r>
          </w:p>
        </w:tc>
        <w:tc>
          <w:tcPr>
            <w:tcW w:type="dxa" w:w="2360"/>
            <w:tcBorders>
              <w:top w:val="single" w:color="1B3A6B" w:sz="8"/>
              <w:left w:val="single" w:color="1B3A6B" w:sz="8"/>
              <w:bottom w:val="single" w:color="1B3A6B" w:sz="8"/>
              <w:right w:val="single" w:color="1B3A6B" w:sz="8"/>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P3 — 30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Risks Addressed</w:t>
            </w:r>
          </w:p>
        </w:tc>
        <w:tc>
          <w:tcPr>
            <w:tcW w:type="dxa" w:w="796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pPr>
            <w:r>
              <w:rPr>
                <w:rFonts w:ascii="Arial" w:cs="Arial" w:eastAsia="Arial" w:hAnsi="Arial"/>
                <w:color w:val="1B3A6B"/>
                <w:sz w:val="18"/>
                <w:szCs w:val="18"/>
              </w:rPr>
              <w:t xml:space="preserve">All risks (R-001 – R-015)</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Description</w:t>
            </w:r>
          </w:p>
        </w:tc>
        <w:tc>
          <w:tcPr>
            <w:tcW w:type="dxa" w:w="79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pPr>
            <w:r>
              <w:rPr>
                <w:rFonts w:ascii="Arial" w:cs="Arial" w:eastAsia="Arial" w:hAnsi="Arial"/>
                <w:color w:val="1A1A2E"/>
                <w:sz w:val="18"/>
                <w:szCs w:val="18"/>
              </w:rPr>
              <w:t xml:space="preserve">IAM security posture currently has no real-time executive visibility. The CISO and C-Suite should have a live dashboard tracking key IAM health metrics, enabling proactive governance rather than reactive incident response. Build a weekly automated scorecard and a live Splunk dashboard.</w:t>
            </w:r>
          </w:p>
        </w:tc>
      </w:tr>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Standards</w:t>
            </w:r>
          </w:p>
        </w:tc>
        <w:tc>
          <w:tcPr>
            <w:tcW w:type="dxa" w:w="7960"/>
            <w:tcBorders>
              <w:top w:val="single" w:color="D0D5E8" w:sz="4"/>
              <w:left w:val="single" w:color="D0D5E8" w:sz="4"/>
              <w:bottom w:val="single" w:color="D0D5E8" w:sz="4"/>
              <w:right w:val="single" w:color="D0D5E8" w:sz="4"/>
            </w:tcBorders>
            <w:shd w:fill="E8F5EE" w:val="clear"/>
            <w:tcMar>
              <w:top w:type="dxa" w:w="100"/>
              <w:left w:type="dxa" w:w="160"/>
              <w:bottom w:type="dxa" w:w="100"/>
              <w:right w:type="dxa" w:w="160"/>
            </w:tcMar>
          </w:tcPr>
          <w:p>
            <w:pPr>
              <w:spacing w:after="0" w:before="0"/>
            </w:pPr>
            <w:r>
              <w:rPr>
                <w:rFonts w:ascii="Arial" w:cs="Arial" w:eastAsia="Arial" w:hAnsi="Arial"/>
                <w:color w:val="155E38"/>
                <w:sz w:val="18"/>
                <w:szCs w:val="18"/>
              </w:rPr>
              <w:t xml:space="preserve">NIST PM-9, PCI-DSS v4.0 Req 12.4, ISO 27001 A.6.1.1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5E8" w:sz="4"/>
              <w:left w:val="single" w:color="D0D5E8" w:sz="4"/>
              <w:bottom w:val="single" w:color="D0D5E8" w:sz="4"/>
              <w:right w:val="single" w:color="D0D5E8" w:sz="4"/>
            </w:tcBorders>
            <w:shd w:fill="E8EBF2" w:val="clear"/>
            <w:tcMar>
              <w:top w:type="dxa" w:w="100"/>
              <w:left w:type="dxa" w:w="160"/>
              <w:bottom w:type="dxa" w:w="100"/>
              <w:right w:type="dxa" w:w="160"/>
            </w:tcMar>
          </w:tcPr>
          <w:p>
            <w:pPr>
              <w:spacing w:after="0" w:before="0"/>
              <w:jc w:val="left"/>
            </w:pPr>
            <w:r>
              <w:rPr>
                <w:rFonts w:ascii="Arial" w:cs="Arial" w:eastAsia="Arial" w:hAnsi="Arial"/>
                <w:b/>
                <w:bCs/>
                <w:color w:val="1B3A6B"/>
                <w:sz w:val="18"/>
                <w:szCs w:val="18"/>
              </w:rPr>
              <w:t xml:space="preserve">Implementation Steps</w:t>
            </w:r>
          </w:p>
        </w:tc>
        <w:tc>
          <w:tcPr>
            <w:tcW w:type="dxa" w:w="7960"/>
            <w:tcBorders>
              <w:top w:val="single" w:color="D0D5E8" w:sz="4"/>
              <w:left w:val="single" w:color="D0D5E8" w:sz="4"/>
              <w:bottom w:val="single" w:color="D0D5E8" w:sz="4"/>
              <w:right w:val="single" w:color="D0D5E8" w:sz="4"/>
            </w:tcBorders>
            <w:shd w:fill="F4F6FB" w:val="clear"/>
            <w:tcMar>
              <w:top w:type="dxa" w:w="100"/>
              <w:left w:type="dxa" w:w="160"/>
              <w:bottom w:type="dxa" w:w="140"/>
              <w:right w:type="dxa" w:w="160"/>
            </w:tcMar>
          </w:tcPr>
          <w:p>
            <w:pPr>
              <w:pStyle w:val="ListParagraph"/>
              <w:numPr>
                <w:ilvl w:val="0"/>
                <w:numId w:val="2"/>
              </w:numPr>
              <w:spacing w:after="40" w:before="40"/>
            </w:pPr>
            <w:r>
              <w:rPr>
                <w:rFonts w:ascii="Arial" w:cs="Arial" w:eastAsia="Arial" w:hAnsi="Arial"/>
                <w:color w:val="1A1A2E"/>
                <w:sz w:val="18"/>
                <w:szCs w:val="18"/>
              </w:rPr>
              <w:t xml:space="preserve">Splunk IAM Posture Dashboard (live): MFA coverage % by dept | Open risk findings by severity | Orphaned account count | Stale credential count | RBAC violations | Inactive account count | Privileged session count (last 7 days) | Failed MFA attempts (last 24h).</w:t>
            </w:r>
          </w:p>
          <w:p>
            <w:pPr>
              <w:pStyle w:val="ListParagraph"/>
              <w:numPr>
                <w:ilvl w:val="0"/>
                <w:numId w:val="2"/>
              </w:numPr>
              <w:spacing w:after="40" w:before="40"/>
            </w:pPr>
            <w:r>
              <w:rPr>
                <w:rFonts w:ascii="Arial" w:cs="Arial" w:eastAsia="Arial" w:hAnsi="Arial"/>
                <w:color w:val="1A1A2E"/>
                <w:sz w:val="18"/>
                <w:szCs w:val="18"/>
              </w:rPr>
              <w:t xml:space="preserve">Weekly automated email scorecard to CISO, Head of Engineering, Head of Finance: RAG status for each KPI with trend vs prior week.</w:t>
            </w:r>
          </w:p>
          <w:p>
            <w:pPr>
              <w:pStyle w:val="ListParagraph"/>
              <w:numPr>
                <w:ilvl w:val="0"/>
                <w:numId w:val="2"/>
              </w:numPr>
              <w:spacing w:after="40" w:before="40"/>
            </w:pPr>
            <w:r>
              <w:rPr>
                <w:rFonts w:ascii="Arial" w:cs="Arial" w:eastAsia="Arial" w:hAnsi="Arial"/>
                <w:color w:val="1A1A2E"/>
                <w:sz w:val="18"/>
                <w:szCs w:val="18"/>
              </w:rPr>
              <w:t xml:space="preserve">Monthly IAM Board Report: 1-page executive summary — open findings, remediation velocity, compliance posture (PCI-DSS, SOC2 control status).</w:t>
            </w:r>
          </w:p>
          <w:p>
            <w:pPr>
              <w:pStyle w:val="ListParagraph"/>
              <w:numPr>
                <w:ilvl w:val="0"/>
                <w:numId w:val="2"/>
              </w:numPr>
              <w:spacing w:after="40" w:before="40"/>
            </w:pPr>
            <w:r>
              <w:rPr>
                <w:rFonts w:ascii="Arial" w:cs="Arial" w:eastAsia="Arial" w:hAnsi="Arial"/>
                <w:color w:val="1A1A2E"/>
                <w:sz w:val="18"/>
                <w:szCs w:val="18"/>
              </w:rPr>
              <w:t xml:space="preserve">SLA tracking: mean time to remediate P1 findings (target &lt; 7 days), P2 (target &lt; 14 days). Report SLA breaches to CISO.</w:t>
            </w:r>
          </w:p>
          <w:p>
            <w:pPr>
              <w:pStyle w:val="ListParagraph"/>
              <w:numPr>
                <w:ilvl w:val="0"/>
                <w:numId w:val="2"/>
              </w:numPr>
              <w:spacing w:after="40" w:before="40"/>
            </w:pPr>
            <w:r>
              <w:rPr>
                <w:rFonts w:ascii="Arial" w:cs="Arial" w:eastAsia="Arial" w:hAnsi="Arial"/>
                <w:color w:val="1A1A2E"/>
                <w:sz w:val="18"/>
                <w:szCs w:val="18"/>
              </w:rPr>
              <w:t xml:space="preserve">Quarterly IAM risk review meeting: CISO, Security Lead, IAM Team, department heads — review scorecard, close completed findings, reprioritise backlog.</w:t>
            </w:r>
          </w:p>
        </w:tc>
      </w:tr>
    </w:tbl>
    <w:p>
      <w:pPr>
        <w:spacing w:after="0" w:before="120"/>
      </w:pPr>
      <w:r>
        <w:t xml:space="preserve"/>
      </w:r>
    </w:p>
    <w:p>
      <w:r>
        <w:br w:type="page"/>
      </w:r>
    </w:p>
    <w:p>
      <w:pPr>
        <w:pStyle w:val="Heading1"/>
        <w:pBdr>
          <w:bottom w:val="single" w:color="2E5FA3" w:sz="10"/>
        </w:pBdr>
        <w:spacing w:after="160" w:before="440"/>
      </w:pPr>
      <w:r>
        <w:rPr>
          <w:rFonts w:ascii="Arial" w:cs="Arial" w:eastAsia="Arial" w:hAnsi="Arial"/>
          <w:b/>
          <w:bCs/>
          <w:color w:val="1B3A6B"/>
          <w:sz w:val="30"/>
          <w:szCs w:val="30"/>
        </w:rPr>
        <w:t xml:space="preserve">9. Master Control-to-Risk Mapping</w:t>
      </w:r>
    </w:p>
    <w:p>
      <w:pPr>
        <w:spacing w:after="80" w:before="60"/>
      </w:pPr>
      <w:r>
        <w:rPr>
          <w:rFonts w:ascii="Arial" w:cs="Arial" w:eastAsia="Arial" w:hAnsi="Arial"/>
          <w:color w:val="1A1A2E"/>
          <w:sz w:val="20"/>
          <w:szCs w:val="20"/>
        </w:rPr>
        <w:t xml:space="preserve">The table below provides the complete cross-reference of all 24 controls defined in this document, mapped to their corresponding risks (R-001 – R-015), CIA impact, and remediation priority. Use this table to track implementation progress.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500"/>
        <w:gridCol w:w="900"/>
        <w:gridCol w:w="700"/>
        <w:gridCol w:w="900"/>
        <w:gridCol w:w="1360"/>
      </w:tblGrid>
      <w:tr>
        <w:tc>
          <w:tcPr>
            <w:tcW w:type="dxa" w:w="1000"/>
            <w:tcBorders>
              <w:top w:val="single" w:color="1B3A6B" w:sz="6"/>
              <w:left w:val="single" w:color="1B3A6B" w:sz="6"/>
              <w:bottom w:val="single" w:color="1B3A6B" w:sz="6"/>
              <w:right w:val="single" w:color="1B3A6B" w:sz="6"/>
            </w:tcBorders>
            <w:shd w:fill="1B3A6B" w:val="clear"/>
            <w:tcMar>
              <w:top w:type="dxa" w:w="110"/>
              <w:left w:type="dxa" w:w="160"/>
              <w:bottom w:type="dxa" w:w="110"/>
              <w:right w:type="dxa" w:w="160"/>
            </w:tcMar>
          </w:tcPr>
          <w:p>
            <w:pPr>
              <w:spacing w:after="0" w:before="0"/>
              <w:jc w:val="center"/>
            </w:pPr>
            <w:r>
              <w:rPr>
                <w:rFonts w:ascii="Arial" w:cs="Arial" w:eastAsia="Arial" w:hAnsi="Arial"/>
                <w:b/>
                <w:bCs/>
                <w:color w:val="FFFFFF"/>
                <w:sz w:val="18"/>
                <w:szCs w:val="18"/>
              </w:rPr>
              <w:t xml:space="preserve">Control ID</w:t>
            </w:r>
          </w:p>
        </w:tc>
        <w:tc>
          <w:tcPr>
            <w:tcW w:type="dxa" w:w="3000"/>
            <w:tcBorders>
              <w:top w:val="single" w:color="1B3A6B" w:sz="6"/>
              <w:left w:val="single" w:color="1B3A6B" w:sz="6"/>
              <w:bottom w:val="single" w:color="1B3A6B" w:sz="6"/>
              <w:right w:val="single" w:color="1B3A6B" w:sz="6"/>
            </w:tcBorders>
            <w:shd w:fill="1B3A6B" w:val="clear"/>
            <w:tcMar>
              <w:top w:type="dxa" w:w="110"/>
              <w:left w:type="dxa" w:w="160"/>
              <w:bottom w:type="dxa" w:w="110"/>
              <w:right w:type="dxa" w:w="160"/>
            </w:tcMar>
          </w:tcPr>
          <w:p>
            <w:pPr>
              <w:spacing w:after="0" w:before="0"/>
              <w:jc w:val="center"/>
            </w:pPr>
            <w:r>
              <w:rPr>
                <w:rFonts w:ascii="Arial" w:cs="Arial" w:eastAsia="Arial" w:hAnsi="Arial"/>
                <w:b/>
                <w:bCs/>
                <w:color w:val="FFFFFF"/>
                <w:sz w:val="18"/>
                <w:szCs w:val="18"/>
              </w:rPr>
              <w:t xml:space="preserve">Control Name</w:t>
            </w:r>
          </w:p>
        </w:tc>
        <w:tc>
          <w:tcPr>
            <w:tcW w:type="dxa" w:w="1500"/>
            <w:tcBorders>
              <w:top w:val="single" w:color="1B3A6B" w:sz="6"/>
              <w:left w:val="single" w:color="1B3A6B" w:sz="6"/>
              <w:bottom w:val="single" w:color="1B3A6B" w:sz="6"/>
              <w:right w:val="single" w:color="1B3A6B" w:sz="6"/>
            </w:tcBorders>
            <w:shd w:fill="1B3A6B" w:val="clear"/>
            <w:tcMar>
              <w:top w:type="dxa" w:w="110"/>
              <w:left w:type="dxa" w:w="160"/>
              <w:bottom w:type="dxa" w:w="110"/>
              <w:right w:type="dxa" w:w="160"/>
            </w:tcMar>
          </w:tcPr>
          <w:p>
            <w:pPr>
              <w:spacing w:after="0" w:before="0"/>
              <w:jc w:val="center"/>
            </w:pPr>
            <w:r>
              <w:rPr>
                <w:rFonts w:ascii="Arial" w:cs="Arial" w:eastAsia="Arial" w:hAnsi="Arial"/>
                <w:b/>
                <w:bCs/>
                <w:color w:val="FFFFFF"/>
                <w:sz w:val="18"/>
                <w:szCs w:val="18"/>
              </w:rPr>
              <w:t xml:space="preserve">Risks Fixed</w:t>
            </w:r>
          </w:p>
        </w:tc>
        <w:tc>
          <w:tcPr>
            <w:tcW w:type="dxa" w:w="900"/>
            <w:tcBorders>
              <w:top w:val="single" w:color="1B3A6B" w:sz="6"/>
              <w:left w:val="single" w:color="1B3A6B" w:sz="6"/>
              <w:bottom w:val="single" w:color="1B3A6B" w:sz="6"/>
              <w:right w:val="single" w:color="1B3A6B" w:sz="6"/>
            </w:tcBorders>
            <w:shd w:fill="1B3A6B" w:val="clear"/>
            <w:tcMar>
              <w:top w:type="dxa" w:w="110"/>
              <w:left w:type="dxa" w:w="160"/>
              <w:bottom w:type="dxa" w:w="110"/>
              <w:right w:type="dxa" w:w="160"/>
            </w:tcMar>
          </w:tcPr>
          <w:p>
            <w:pPr>
              <w:spacing w:after="0" w:before="0"/>
              <w:jc w:val="center"/>
            </w:pPr>
            <w:r>
              <w:rPr>
                <w:rFonts w:ascii="Arial" w:cs="Arial" w:eastAsia="Arial" w:hAnsi="Arial"/>
                <w:b/>
                <w:bCs/>
                <w:color w:val="FFFFFF"/>
                <w:sz w:val="18"/>
                <w:szCs w:val="18"/>
              </w:rPr>
              <w:t xml:space="preserve">CIA</w:t>
            </w:r>
          </w:p>
        </w:tc>
        <w:tc>
          <w:tcPr>
            <w:tcW w:type="dxa" w:w="700"/>
            <w:tcBorders>
              <w:top w:val="single" w:color="1B3A6B" w:sz="6"/>
              <w:left w:val="single" w:color="1B3A6B" w:sz="6"/>
              <w:bottom w:val="single" w:color="1B3A6B" w:sz="6"/>
              <w:right w:val="single" w:color="1B3A6B" w:sz="6"/>
            </w:tcBorders>
            <w:shd w:fill="1B3A6B" w:val="clear"/>
            <w:tcMar>
              <w:top w:type="dxa" w:w="110"/>
              <w:left w:type="dxa" w:w="160"/>
              <w:bottom w:type="dxa" w:w="110"/>
              <w:right w:type="dxa" w:w="160"/>
            </w:tcMar>
          </w:tcPr>
          <w:p>
            <w:pPr>
              <w:spacing w:after="0" w:before="0"/>
              <w:jc w:val="center"/>
            </w:pPr>
            <w:r>
              <w:rPr>
                <w:rFonts w:ascii="Arial" w:cs="Arial" w:eastAsia="Arial" w:hAnsi="Arial"/>
                <w:b/>
                <w:bCs/>
                <w:color w:val="FFFFFF"/>
                <w:sz w:val="18"/>
                <w:szCs w:val="18"/>
              </w:rPr>
              <w:t xml:space="preserve">Priority</w:t>
            </w:r>
          </w:p>
        </w:tc>
        <w:tc>
          <w:tcPr>
            <w:tcW w:type="dxa" w:w="900"/>
            <w:tcBorders>
              <w:top w:val="single" w:color="1B3A6B" w:sz="6"/>
              <w:left w:val="single" w:color="1B3A6B" w:sz="6"/>
              <w:bottom w:val="single" w:color="1B3A6B" w:sz="6"/>
              <w:right w:val="single" w:color="1B3A6B" w:sz="6"/>
            </w:tcBorders>
            <w:shd w:fill="1B3A6B" w:val="clear"/>
            <w:tcMar>
              <w:top w:type="dxa" w:w="110"/>
              <w:left w:type="dxa" w:w="160"/>
              <w:bottom w:type="dxa" w:w="110"/>
              <w:right w:type="dxa" w:w="160"/>
            </w:tcMar>
          </w:tcPr>
          <w:p>
            <w:pPr>
              <w:spacing w:after="0" w:before="0"/>
              <w:jc w:val="center"/>
            </w:pPr>
            <w:r>
              <w:rPr>
                <w:rFonts w:ascii="Arial" w:cs="Arial" w:eastAsia="Arial" w:hAnsi="Arial"/>
                <w:b/>
                <w:bCs/>
                <w:color w:val="FFFFFF"/>
                <w:sz w:val="18"/>
                <w:szCs w:val="18"/>
              </w:rPr>
              <w:t xml:space="preserve">Domain</w:t>
            </w:r>
          </w:p>
        </w:tc>
        <w:tc>
          <w:tcPr>
            <w:tcW w:type="dxa" w:w="1360"/>
            <w:tcBorders>
              <w:top w:val="single" w:color="1B3A6B" w:sz="6"/>
              <w:left w:val="single" w:color="1B3A6B" w:sz="6"/>
              <w:bottom w:val="single" w:color="1B3A6B" w:sz="6"/>
              <w:right w:val="single" w:color="1B3A6B" w:sz="6"/>
            </w:tcBorders>
            <w:shd w:fill="1B3A6B" w:val="clear"/>
            <w:tcMar>
              <w:top w:type="dxa" w:w="110"/>
              <w:left w:type="dxa" w:w="160"/>
              <w:bottom w:type="dxa" w:w="110"/>
              <w:right w:type="dxa" w:w="160"/>
            </w:tcMar>
          </w:tcPr>
          <w:p>
            <w:pPr>
              <w:spacing w:after="0" w:before="0"/>
              <w:jc w:val="center"/>
            </w:pPr>
            <w:r>
              <w:rPr>
                <w:rFonts w:ascii="Arial" w:cs="Arial" w:eastAsia="Arial" w:hAnsi="Arial"/>
                <w:b/>
                <w:bCs/>
                <w:color w:val="FFFFFF"/>
                <w:sz w:val="18"/>
                <w:szCs w:val="18"/>
              </w:rPr>
              <w:t xml:space="preserve">Status</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MFA-01</w:t>
            </w:r>
          </w:p>
        </w:tc>
        <w:tc>
          <w:tcPr>
            <w:tcW w:type="dxa" w:w="30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Universal MFA Enforcement</w:t>
            </w:r>
          </w:p>
        </w:tc>
        <w:tc>
          <w:tcPr>
            <w:tcW w:type="dxa" w:w="15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R-007, R-010</w:t>
            </w:r>
          </w:p>
        </w:tc>
        <w:tc>
          <w:tcPr>
            <w:tcW w:type="dxa" w:w="900"/>
            <w:tcBorders>
              <w:top w:val="single" w:color="D0D5E8" w:sz="4"/>
              <w:left w:val="single" w:color="D0D5E8" w:sz="4"/>
              <w:bottom w:val="single" w:color="D0D5E8" w:sz="4"/>
              <w:right w:val="single" w:color="D0D5E8" w:sz="4"/>
            </w:tcBorders>
            <w:shd w:fill="F0EBF8" w:val="clear"/>
            <w:tcMar>
              <w:top w:type="dxa" w:w="100"/>
              <w:left w:type="dxa" w:w="160"/>
              <w:bottom w:type="dxa" w:w="100"/>
              <w:right w:type="dxa" w:w="160"/>
            </w:tcMar>
          </w:tcPr>
          <w:p>
            <w:pPr>
              <w:spacing w:after="0" w:before="0"/>
              <w:jc w:val="center"/>
            </w:pPr>
            <w:r>
              <w:rPr>
                <w:rFonts w:ascii="Arial" w:cs="Arial" w:eastAsia="Arial" w:hAnsi="Arial"/>
                <w:b/>
                <w:bCs/>
                <w:color w:val="5B2D8E"/>
                <w:sz w:val="18"/>
                <w:szCs w:val="18"/>
              </w:rPr>
              <w:t xml:space="preserve">C</w:t>
            </w:r>
          </w:p>
        </w:tc>
        <w:tc>
          <w:tcPr>
            <w:tcW w:type="dxa" w:w="700"/>
            <w:tcBorders>
              <w:top w:val="single" w:color="D0D5E8" w:sz="4"/>
              <w:left w:val="single" w:color="D0D5E8" w:sz="4"/>
              <w:bottom w:val="single" w:color="D0D5E8" w:sz="4"/>
              <w:right w:val="single" w:color="D0D5E8" w:sz="4"/>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P1</w:t>
            </w:r>
          </w:p>
        </w:tc>
        <w:tc>
          <w:tcPr>
            <w:tcW w:type="dxa" w:w="9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B3A6B"/>
                <w:sz w:val="18"/>
                <w:szCs w:val="18"/>
              </w:rPr>
              <w:t xml:space="preserve">CTL-MFA</w:t>
            </w:r>
          </w:p>
        </w:tc>
        <w:tc>
          <w:tcPr>
            <w:tcW w:type="dxa" w:w="136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Open</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MFA-02</w:t>
            </w:r>
          </w:p>
        </w:tc>
        <w:tc>
          <w:tcPr>
            <w:tcW w:type="dxa" w:w="30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FIDO2 Hardware Keys for Privileged Roles</w:t>
            </w:r>
          </w:p>
        </w:tc>
        <w:tc>
          <w:tcPr>
            <w:tcW w:type="dxa" w:w="15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R-007, R-001, R-013</w:t>
            </w:r>
          </w:p>
        </w:tc>
        <w:tc>
          <w:tcPr>
            <w:tcW w:type="dxa" w:w="900"/>
            <w:tcBorders>
              <w:top w:val="single" w:color="D0D5E8" w:sz="4"/>
              <w:left w:val="single" w:color="D0D5E8" w:sz="4"/>
              <w:bottom w:val="single" w:color="D0D5E8" w:sz="4"/>
              <w:right w:val="single" w:color="D0D5E8" w:sz="4"/>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C,I</w:t>
            </w:r>
          </w:p>
        </w:tc>
        <w:tc>
          <w:tcPr>
            <w:tcW w:type="dxa" w:w="700"/>
            <w:tcBorders>
              <w:top w:val="single" w:color="D0D5E8" w:sz="4"/>
              <w:left w:val="single" w:color="D0D5E8" w:sz="4"/>
              <w:bottom w:val="single" w:color="D0D5E8" w:sz="4"/>
              <w:right w:val="single" w:color="D0D5E8" w:sz="4"/>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P1</w:t>
            </w:r>
          </w:p>
        </w:tc>
        <w:tc>
          <w:tcPr>
            <w:tcW w:type="dxa" w:w="9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B3A6B"/>
                <w:sz w:val="18"/>
                <w:szCs w:val="18"/>
              </w:rPr>
              <w:t xml:space="preserve">CTL-MFA</w:t>
            </w:r>
          </w:p>
        </w:tc>
        <w:tc>
          <w:tcPr>
            <w:tcW w:type="dxa" w:w="136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Open</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MFA-03</w:t>
            </w:r>
          </w:p>
        </w:tc>
        <w:tc>
          <w:tcPr>
            <w:tcW w:type="dxa" w:w="30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Step-Up Auth for Sensitive Transactions</w:t>
            </w:r>
          </w:p>
        </w:tc>
        <w:tc>
          <w:tcPr>
            <w:tcW w:type="dxa" w:w="15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R-007, R-010</w:t>
            </w:r>
          </w:p>
        </w:tc>
        <w:tc>
          <w:tcPr>
            <w:tcW w:type="dxa" w:w="900"/>
            <w:tcBorders>
              <w:top w:val="single" w:color="D0D5E8" w:sz="4"/>
              <w:left w:val="single" w:color="D0D5E8" w:sz="4"/>
              <w:bottom w:val="single" w:color="D0D5E8" w:sz="4"/>
              <w:right w:val="single" w:color="D0D5E8" w:sz="4"/>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C,I</w:t>
            </w:r>
          </w:p>
        </w:tc>
        <w:tc>
          <w:tcPr>
            <w:tcW w:type="dxa" w:w="70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P2</w:t>
            </w:r>
          </w:p>
        </w:tc>
        <w:tc>
          <w:tcPr>
            <w:tcW w:type="dxa" w:w="9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B3A6B"/>
                <w:sz w:val="18"/>
                <w:szCs w:val="18"/>
              </w:rPr>
              <w:t xml:space="preserve">CTL-MFA</w:t>
            </w:r>
          </w:p>
        </w:tc>
        <w:tc>
          <w:tcPr>
            <w:tcW w:type="dxa" w:w="136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Open</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MFA-04</w:t>
            </w:r>
          </w:p>
        </w:tc>
        <w:tc>
          <w:tcPr>
            <w:tcW w:type="dxa" w:w="30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MFA Coverage Reporting Dashboard</w:t>
            </w:r>
          </w:p>
        </w:tc>
        <w:tc>
          <w:tcPr>
            <w:tcW w:type="dxa" w:w="15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R-007, R-010</w:t>
            </w:r>
          </w:p>
        </w:tc>
        <w:tc>
          <w:tcPr>
            <w:tcW w:type="dxa" w:w="900"/>
            <w:tcBorders>
              <w:top w:val="single" w:color="D0D5E8" w:sz="4"/>
              <w:left w:val="single" w:color="D0D5E8" w:sz="4"/>
              <w:bottom w:val="single" w:color="D0D5E8" w:sz="4"/>
              <w:right w:val="single" w:color="D0D5E8" w:sz="4"/>
            </w:tcBorders>
            <w:shd w:fill="F0EBF8" w:val="clear"/>
            <w:tcMar>
              <w:top w:type="dxa" w:w="100"/>
              <w:left w:type="dxa" w:w="160"/>
              <w:bottom w:type="dxa" w:w="100"/>
              <w:right w:type="dxa" w:w="160"/>
            </w:tcMar>
          </w:tcPr>
          <w:p>
            <w:pPr>
              <w:spacing w:after="0" w:before="0"/>
              <w:jc w:val="center"/>
            </w:pPr>
            <w:r>
              <w:rPr>
                <w:rFonts w:ascii="Arial" w:cs="Arial" w:eastAsia="Arial" w:hAnsi="Arial"/>
                <w:b/>
                <w:bCs/>
                <w:color w:val="5B2D8E"/>
                <w:sz w:val="18"/>
                <w:szCs w:val="18"/>
              </w:rPr>
              <w:t xml:space="preserve">C</w:t>
            </w:r>
          </w:p>
        </w:tc>
        <w:tc>
          <w:tcPr>
            <w:tcW w:type="dxa" w:w="70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P2</w:t>
            </w:r>
          </w:p>
        </w:tc>
        <w:tc>
          <w:tcPr>
            <w:tcW w:type="dxa" w:w="9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B3A6B"/>
                <w:sz w:val="18"/>
                <w:szCs w:val="18"/>
              </w:rPr>
              <w:t xml:space="preserve">CTL-MFA</w:t>
            </w:r>
          </w:p>
        </w:tc>
        <w:tc>
          <w:tcPr>
            <w:tcW w:type="dxa" w:w="136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Open</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SSO-01</w:t>
            </w:r>
          </w:p>
        </w:tc>
        <w:tc>
          <w:tcPr>
            <w:tcW w:type="dxa" w:w="30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Enforce Okta SSO — Disable Local Auth</w:t>
            </w:r>
          </w:p>
        </w:tc>
        <w:tc>
          <w:tcPr>
            <w:tcW w:type="dxa" w:w="15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R-001</w:t>
            </w:r>
          </w:p>
        </w:tc>
        <w:tc>
          <w:tcPr>
            <w:tcW w:type="dxa" w:w="900"/>
            <w:tcBorders>
              <w:top w:val="single" w:color="D0D5E8" w:sz="4"/>
              <w:left w:val="single" w:color="D0D5E8" w:sz="4"/>
              <w:bottom w:val="single" w:color="D0D5E8" w:sz="4"/>
              <w:right w:val="single" w:color="D0D5E8" w:sz="4"/>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C,I</w:t>
            </w:r>
          </w:p>
        </w:tc>
        <w:tc>
          <w:tcPr>
            <w:tcW w:type="dxa" w:w="700"/>
            <w:tcBorders>
              <w:top w:val="single" w:color="D0D5E8" w:sz="4"/>
              <w:left w:val="single" w:color="D0D5E8" w:sz="4"/>
              <w:bottom w:val="single" w:color="D0D5E8" w:sz="4"/>
              <w:right w:val="single" w:color="D0D5E8" w:sz="4"/>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P1</w:t>
            </w:r>
          </w:p>
        </w:tc>
        <w:tc>
          <w:tcPr>
            <w:tcW w:type="dxa" w:w="9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B3A6B"/>
                <w:sz w:val="18"/>
                <w:szCs w:val="18"/>
              </w:rPr>
              <w:t xml:space="preserve">CTL-SSO</w:t>
            </w:r>
          </w:p>
        </w:tc>
        <w:tc>
          <w:tcPr>
            <w:tcW w:type="dxa" w:w="136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Open</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SSO-02</w:t>
            </w:r>
          </w:p>
        </w:tc>
        <w:tc>
          <w:tcPr>
            <w:tcW w:type="dxa" w:w="30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Application Registry &amp; SSO Assurance</w:t>
            </w:r>
          </w:p>
        </w:tc>
        <w:tc>
          <w:tcPr>
            <w:tcW w:type="dxa" w:w="15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R-001, R-013</w:t>
            </w:r>
          </w:p>
        </w:tc>
        <w:tc>
          <w:tcPr>
            <w:tcW w:type="dxa" w:w="900"/>
            <w:tcBorders>
              <w:top w:val="single" w:color="D0D5E8" w:sz="4"/>
              <w:left w:val="single" w:color="D0D5E8" w:sz="4"/>
              <w:bottom w:val="single" w:color="D0D5E8" w:sz="4"/>
              <w:right w:val="single" w:color="D0D5E8" w:sz="4"/>
            </w:tcBorders>
            <w:shd w:fill="F0EBF8" w:val="clear"/>
            <w:tcMar>
              <w:top w:type="dxa" w:w="100"/>
              <w:left w:type="dxa" w:w="160"/>
              <w:bottom w:type="dxa" w:w="100"/>
              <w:right w:type="dxa" w:w="160"/>
            </w:tcMar>
          </w:tcPr>
          <w:p>
            <w:pPr>
              <w:spacing w:after="0" w:before="0"/>
              <w:jc w:val="center"/>
            </w:pPr>
            <w:r>
              <w:rPr>
                <w:rFonts w:ascii="Arial" w:cs="Arial" w:eastAsia="Arial" w:hAnsi="Arial"/>
                <w:b/>
                <w:bCs/>
                <w:color w:val="5B2D8E"/>
                <w:sz w:val="18"/>
                <w:szCs w:val="18"/>
              </w:rPr>
              <w:t xml:space="preserve">C</w:t>
            </w:r>
          </w:p>
        </w:tc>
        <w:tc>
          <w:tcPr>
            <w:tcW w:type="dxa" w:w="70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P2</w:t>
            </w:r>
          </w:p>
        </w:tc>
        <w:tc>
          <w:tcPr>
            <w:tcW w:type="dxa" w:w="9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B3A6B"/>
                <w:sz w:val="18"/>
                <w:szCs w:val="18"/>
              </w:rPr>
              <w:t xml:space="preserve">CTL-SSO</w:t>
            </w:r>
          </w:p>
        </w:tc>
        <w:tc>
          <w:tcPr>
            <w:tcW w:type="dxa" w:w="136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Open</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SSO-03</w:t>
            </w:r>
          </w:p>
        </w:tc>
        <w:tc>
          <w:tcPr>
            <w:tcW w:type="dxa" w:w="30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Federated Identity for External Users</w:t>
            </w:r>
          </w:p>
        </w:tc>
        <w:tc>
          <w:tcPr>
            <w:tcW w:type="dxa" w:w="15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R-005, R-006</w:t>
            </w:r>
          </w:p>
        </w:tc>
        <w:tc>
          <w:tcPr>
            <w:tcW w:type="dxa" w:w="900"/>
            <w:tcBorders>
              <w:top w:val="single" w:color="D0D5E8" w:sz="4"/>
              <w:left w:val="single" w:color="D0D5E8" w:sz="4"/>
              <w:bottom w:val="single" w:color="D0D5E8" w:sz="4"/>
              <w:right w:val="single" w:color="D0D5E8" w:sz="4"/>
            </w:tcBorders>
            <w:shd w:fill="F0EBF8" w:val="clear"/>
            <w:tcMar>
              <w:top w:type="dxa" w:w="100"/>
              <w:left w:type="dxa" w:w="160"/>
              <w:bottom w:type="dxa" w:w="100"/>
              <w:right w:type="dxa" w:w="160"/>
            </w:tcMar>
          </w:tcPr>
          <w:p>
            <w:pPr>
              <w:spacing w:after="0" w:before="0"/>
              <w:jc w:val="center"/>
            </w:pPr>
            <w:r>
              <w:rPr>
                <w:rFonts w:ascii="Arial" w:cs="Arial" w:eastAsia="Arial" w:hAnsi="Arial"/>
                <w:b/>
                <w:bCs/>
                <w:color w:val="5B2D8E"/>
                <w:sz w:val="18"/>
                <w:szCs w:val="18"/>
              </w:rPr>
              <w:t xml:space="preserve">C</w:t>
            </w:r>
          </w:p>
        </w:tc>
        <w:tc>
          <w:tcPr>
            <w:tcW w:type="dxa" w:w="70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P2</w:t>
            </w:r>
          </w:p>
        </w:tc>
        <w:tc>
          <w:tcPr>
            <w:tcW w:type="dxa" w:w="9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B3A6B"/>
                <w:sz w:val="18"/>
                <w:szCs w:val="18"/>
              </w:rPr>
              <w:t xml:space="preserve">CTL-SSO</w:t>
            </w:r>
          </w:p>
        </w:tc>
        <w:tc>
          <w:tcPr>
            <w:tcW w:type="dxa" w:w="136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Open</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RBAC-01</w:t>
            </w:r>
          </w:p>
        </w:tc>
        <w:tc>
          <w:tcPr>
            <w:tcW w:type="dxa" w:w="30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Engineering Lead Group Cleanup</w:t>
            </w:r>
          </w:p>
        </w:tc>
        <w:tc>
          <w:tcPr>
            <w:tcW w:type="dxa" w:w="15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R-008</w:t>
            </w:r>
          </w:p>
        </w:tc>
        <w:tc>
          <w:tcPr>
            <w:tcW w:type="dxa" w:w="90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I,A</w:t>
            </w:r>
          </w:p>
        </w:tc>
        <w:tc>
          <w:tcPr>
            <w:tcW w:type="dxa" w:w="700"/>
            <w:tcBorders>
              <w:top w:val="single" w:color="D0D5E8" w:sz="4"/>
              <w:left w:val="single" w:color="D0D5E8" w:sz="4"/>
              <w:bottom w:val="single" w:color="D0D5E8" w:sz="4"/>
              <w:right w:val="single" w:color="D0D5E8" w:sz="4"/>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P1</w:t>
            </w:r>
          </w:p>
        </w:tc>
        <w:tc>
          <w:tcPr>
            <w:tcW w:type="dxa" w:w="9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B3A6B"/>
                <w:sz w:val="18"/>
                <w:szCs w:val="18"/>
              </w:rPr>
              <w:t xml:space="preserve">CTL-RBAC</w:t>
            </w:r>
          </w:p>
        </w:tc>
        <w:tc>
          <w:tcPr>
            <w:tcW w:type="dxa" w:w="136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Open</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RBAC-02</w:t>
            </w:r>
          </w:p>
        </w:tc>
        <w:tc>
          <w:tcPr>
            <w:tcW w:type="dxa" w:w="30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Finance Analyst Privilege Correction</w:t>
            </w:r>
          </w:p>
        </w:tc>
        <w:tc>
          <w:tcPr>
            <w:tcW w:type="dxa" w:w="15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R-009</w:t>
            </w:r>
          </w:p>
        </w:tc>
        <w:tc>
          <w:tcPr>
            <w:tcW w:type="dxa" w:w="90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I</w:t>
            </w:r>
          </w:p>
        </w:tc>
        <w:tc>
          <w:tcPr>
            <w:tcW w:type="dxa" w:w="70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P2</w:t>
            </w:r>
          </w:p>
        </w:tc>
        <w:tc>
          <w:tcPr>
            <w:tcW w:type="dxa" w:w="9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B3A6B"/>
                <w:sz w:val="18"/>
                <w:szCs w:val="18"/>
              </w:rPr>
              <w:t xml:space="preserve">CTL-RBAC</w:t>
            </w:r>
          </w:p>
        </w:tc>
        <w:tc>
          <w:tcPr>
            <w:tcW w:type="dxa" w:w="136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Open</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RBAC-03</w:t>
            </w:r>
          </w:p>
        </w:tc>
        <w:tc>
          <w:tcPr>
            <w:tcW w:type="dxa" w:w="30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Automated Role Conflict Detection (IGA)</w:t>
            </w:r>
          </w:p>
        </w:tc>
        <w:tc>
          <w:tcPr>
            <w:tcW w:type="dxa" w:w="15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R-008, R-009</w:t>
            </w:r>
          </w:p>
        </w:tc>
        <w:tc>
          <w:tcPr>
            <w:tcW w:type="dxa" w:w="90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I</w:t>
            </w:r>
          </w:p>
        </w:tc>
        <w:tc>
          <w:tcPr>
            <w:tcW w:type="dxa" w:w="70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P2</w:t>
            </w:r>
          </w:p>
        </w:tc>
        <w:tc>
          <w:tcPr>
            <w:tcW w:type="dxa" w:w="9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B3A6B"/>
                <w:sz w:val="18"/>
                <w:szCs w:val="18"/>
              </w:rPr>
              <w:t xml:space="preserve">CTL-RBAC</w:t>
            </w:r>
          </w:p>
        </w:tc>
        <w:tc>
          <w:tcPr>
            <w:tcW w:type="dxa" w:w="136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Open</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RBAC-04</w:t>
            </w:r>
          </w:p>
        </w:tc>
        <w:tc>
          <w:tcPr>
            <w:tcW w:type="dxa" w:w="30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Certified Access Review w/ IGA Validation</w:t>
            </w:r>
          </w:p>
        </w:tc>
        <w:tc>
          <w:tcPr>
            <w:tcW w:type="dxa" w:w="15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R-008, R-009</w:t>
            </w:r>
          </w:p>
        </w:tc>
        <w:tc>
          <w:tcPr>
            <w:tcW w:type="dxa" w:w="90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I</w:t>
            </w:r>
          </w:p>
        </w:tc>
        <w:tc>
          <w:tcPr>
            <w:tcW w:type="dxa" w:w="70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P2</w:t>
            </w:r>
          </w:p>
        </w:tc>
        <w:tc>
          <w:tcPr>
            <w:tcW w:type="dxa" w:w="9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B3A6B"/>
                <w:sz w:val="18"/>
                <w:szCs w:val="18"/>
              </w:rPr>
              <w:t xml:space="preserve">CTL-RBAC</w:t>
            </w:r>
          </w:p>
        </w:tc>
        <w:tc>
          <w:tcPr>
            <w:tcW w:type="dxa" w:w="136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Open</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RBAC-05</w:t>
            </w:r>
          </w:p>
        </w:tc>
        <w:tc>
          <w:tcPr>
            <w:tcW w:type="dxa" w:w="30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RBAC Matrix — Version Controlled as Code</w:t>
            </w:r>
          </w:p>
        </w:tc>
        <w:tc>
          <w:tcPr>
            <w:tcW w:type="dxa" w:w="15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R-008, R-009</w:t>
            </w:r>
          </w:p>
        </w:tc>
        <w:tc>
          <w:tcPr>
            <w:tcW w:type="dxa" w:w="90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I</w:t>
            </w:r>
          </w:p>
        </w:tc>
        <w:tc>
          <w:tcPr>
            <w:tcW w:type="dxa" w:w="7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P3</w:t>
            </w:r>
          </w:p>
        </w:tc>
        <w:tc>
          <w:tcPr>
            <w:tcW w:type="dxa" w:w="9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B3A6B"/>
                <w:sz w:val="18"/>
                <w:szCs w:val="18"/>
              </w:rPr>
              <w:t xml:space="preserve">CTL-RBAC</w:t>
            </w:r>
          </w:p>
        </w:tc>
        <w:tc>
          <w:tcPr>
            <w:tcW w:type="dxa" w:w="136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Open</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LPE-01</w:t>
            </w:r>
          </w:p>
        </w:tc>
        <w:tc>
          <w:tcPr>
            <w:tcW w:type="dxa" w:w="30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Dynamic Secrets via HashiCorp Vault</w:t>
            </w:r>
          </w:p>
        </w:tc>
        <w:tc>
          <w:tcPr>
            <w:tcW w:type="dxa" w:w="15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R-002, R-003, R-012</w:t>
            </w:r>
          </w:p>
        </w:tc>
        <w:tc>
          <w:tcPr>
            <w:tcW w:type="dxa" w:w="900"/>
            <w:tcBorders>
              <w:top w:val="single" w:color="D0D5E8" w:sz="4"/>
              <w:left w:val="single" w:color="D0D5E8" w:sz="4"/>
              <w:bottom w:val="single" w:color="D0D5E8" w:sz="4"/>
              <w:right w:val="single" w:color="D0D5E8" w:sz="4"/>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C,I</w:t>
            </w:r>
          </w:p>
        </w:tc>
        <w:tc>
          <w:tcPr>
            <w:tcW w:type="dxa" w:w="700"/>
            <w:tcBorders>
              <w:top w:val="single" w:color="D0D5E8" w:sz="4"/>
              <w:left w:val="single" w:color="D0D5E8" w:sz="4"/>
              <w:bottom w:val="single" w:color="D0D5E8" w:sz="4"/>
              <w:right w:val="single" w:color="D0D5E8" w:sz="4"/>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P1</w:t>
            </w:r>
          </w:p>
        </w:tc>
        <w:tc>
          <w:tcPr>
            <w:tcW w:type="dxa" w:w="9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B3A6B"/>
                <w:sz w:val="18"/>
                <w:szCs w:val="18"/>
              </w:rPr>
              <w:t xml:space="preserve">CTL-LPE</w:t>
            </w:r>
          </w:p>
        </w:tc>
        <w:tc>
          <w:tcPr>
            <w:tcW w:type="dxa" w:w="136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Open</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LPE-02</w:t>
            </w:r>
          </w:p>
        </w:tc>
        <w:tc>
          <w:tcPr>
            <w:tcW w:type="dxa" w:w="30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AWS IAM Permission Boundaries</w:t>
            </w:r>
          </w:p>
        </w:tc>
        <w:tc>
          <w:tcPr>
            <w:tcW w:type="dxa" w:w="15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R-004, R-008</w:t>
            </w:r>
          </w:p>
        </w:tc>
        <w:tc>
          <w:tcPr>
            <w:tcW w:type="dxa" w:w="900"/>
            <w:tcBorders>
              <w:top w:val="single" w:color="D0D5E8" w:sz="4"/>
              <w:left w:val="single" w:color="D0D5E8" w:sz="4"/>
              <w:bottom w:val="single" w:color="D0D5E8" w:sz="4"/>
              <w:right w:val="single" w:color="D0D5E8" w:sz="4"/>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C,I</w:t>
            </w:r>
          </w:p>
        </w:tc>
        <w:tc>
          <w:tcPr>
            <w:tcW w:type="dxa" w:w="700"/>
            <w:tcBorders>
              <w:top w:val="single" w:color="D0D5E8" w:sz="4"/>
              <w:left w:val="single" w:color="D0D5E8" w:sz="4"/>
              <w:bottom w:val="single" w:color="D0D5E8" w:sz="4"/>
              <w:right w:val="single" w:color="D0D5E8" w:sz="4"/>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P1</w:t>
            </w:r>
          </w:p>
        </w:tc>
        <w:tc>
          <w:tcPr>
            <w:tcW w:type="dxa" w:w="9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B3A6B"/>
                <w:sz w:val="18"/>
                <w:szCs w:val="18"/>
              </w:rPr>
              <w:t xml:space="preserve">CTL-LPE</w:t>
            </w:r>
          </w:p>
        </w:tc>
        <w:tc>
          <w:tcPr>
            <w:tcW w:type="dxa" w:w="136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Open</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LPE-03</w:t>
            </w:r>
          </w:p>
        </w:tc>
        <w:tc>
          <w:tcPr>
            <w:tcW w:type="dxa" w:w="30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JIT Access for Privileged Operations</w:t>
            </w:r>
          </w:p>
        </w:tc>
        <w:tc>
          <w:tcPr>
            <w:tcW w:type="dxa" w:w="15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R-015, R-008</w:t>
            </w:r>
          </w:p>
        </w:tc>
        <w:tc>
          <w:tcPr>
            <w:tcW w:type="dxa" w:w="900"/>
            <w:tcBorders>
              <w:top w:val="single" w:color="D0D5E8" w:sz="4"/>
              <w:left w:val="single" w:color="D0D5E8" w:sz="4"/>
              <w:bottom w:val="single" w:color="D0D5E8" w:sz="4"/>
              <w:right w:val="single" w:color="D0D5E8" w:sz="4"/>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C,I,A</w:t>
            </w:r>
          </w:p>
        </w:tc>
        <w:tc>
          <w:tcPr>
            <w:tcW w:type="dxa" w:w="70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P2</w:t>
            </w:r>
          </w:p>
        </w:tc>
        <w:tc>
          <w:tcPr>
            <w:tcW w:type="dxa" w:w="9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B3A6B"/>
                <w:sz w:val="18"/>
                <w:szCs w:val="18"/>
              </w:rPr>
              <w:t xml:space="preserve">CTL-LPE</w:t>
            </w:r>
          </w:p>
        </w:tc>
        <w:tc>
          <w:tcPr>
            <w:tcW w:type="dxa" w:w="136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Open</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LPE-04</w:t>
            </w:r>
          </w:p>
        </w:tc>
        <w:tc>
          <w:tcPr>
            <w:tcW w:type="dxa" w:w="30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Deprovisioning Automation (SCIM)</w:t>
            </w:r>
          </w:p>
        </w:tc>
        <w:tc>
          <w:tcPr>
            <w:tcW w:type="dxa" w:w="15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R-004, R-005, R-006</w:t>
            </w:r>
          </w:p>
        </w:tc>
        <w:tc>
          <w:tcPr>
            <w:tcW w:type="dxa" w:w="900"/>
            <w:tcBorders>
              <w:top w:val="single" w:color="D0D5E8" w:sz="4"/>
              <w:left w:val="single" w:color="D0D5E8" w:sz="4"/>
              <w:bottom w:val="single" w:color="D0D5E8" w:sz="4"/>
              <w:right w:val="single" w:color="D0D5E8" w:sz="4"/>
            </w:tcBorders>
            <w:shd w:fill="F0EBF8" w:val="clear"/>
            <w:tcMar>
              <w:top w:type="dxa" w:w="100"/>
              <w:left w:type="dxa" w:w="160"/>
              <w:bottom w:type="dxa" w:w="100"/>
              <w:right w:type="dxa" w:w="160"/>
            </w:tcMar>
          </w:tcPr>
          <w:p>
            <w:pPr>
              <w:spacing w:after="0" w:before="0"/>
              <w:jc w:val="center"/>
            </w:pPr>
            <w:r>
              <w:rPr>
                <w:rFonts w:ascii="Arial" w:cs="Arial" w:eastAsia="Arial" w:hAnsi="Arial"/>
                <w:b/>
                <w:bCs/>
                <w:color w:val="5B2D8E"/>
                <w:sz w:val="18"/>
                <w:szCs w:val="18"/>
              </w:rPr>
              <w:t xml:space="preserve">C</w:t>
            </w:r>
          </w:p>
        </w:tc>
        <w:tc>
          <w:tcPr>
            <w:tcW w:type="dxa" w:w="700"/>
            <w:tcBorders>
              <w:top w:val="single" w:color="D0D5E8" w:sz="4"/>
              <w:left w:val="single" w:color="D0D5E8" w:sz="4"/>
              <w:bottom w:val="single" w:color="D0D5E8" w:sz="4"/>
              <w:right w:val="single" w:color="D0D5E8" w:sz="4"/>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P1</w:t>
            </w:r>
          </w:p>
        </w:tc>
        <w:tc>
          <w:tcPr>
            <w:tcW w:type="dxa" w:w="9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B3A6B"/>
                <w:sz w:val="18"/>
                <w:szCs w:val="18"/>
              </w:rPr>
              <w:t xml:space="preserve">CTL-LPE</w:t>
            </w:r>
          </w:p>
        </w:tc>
        <w:tc>
          <w:tcPr>
            <w:tcW w:type="dxa" w:w="136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Open</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PWD-01</w:t>
            </w:r>
          </w:p>
        </w:tc>
        <w:tc>
          <w:tcPr>
            <w:tcW w:type="dxa" w:w="30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NIST 800-63B Password Policy</w:t>
            </w:r>
          </w:p>
        </w:tc>
        <w:tc>
          <w:tcPr>
            <w:tcW w:type="dxa" w:w="15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R-001, R-007</w:t>
            </w:r>
          </w:p>
        </w:tc>
        <w:tc>
          <w:tcPr>
            <w:tcW w:type="dxa" w:w="900"/>
            <w:tcBorders>
              <w:top w:val="single" w:color="D0D5E8" w:sz="4"/>
              <w:left w:val="single" w:color="D0D5E8" w:sz="4"/>
              <w:bottom w:val="single" w:color="D0D5E8" w:sz="4"/>
              <w:right w:val="single" w:color="D0D5E8" w:sz="4"/>
            </w:tcBorders>
            <w:shd w:fill="F0EBF8" w:val="clear"/>
            <w:tcMar>
              <w:top w:type="dxa" w:w="100"/>
              <w:left w:type="dxa" w:w="160"/>
              <w:bottom w:type="dxa" w:w="100"/>
              <w:right w:type="dxa" w:w="160"/>
            </w:tcMar>
          </w:tcPr>
          <w:p>
            <w:pPr>
              <w:spacing w:after="0" w:before="0"/>
              <w:jc w:val="center"/>
            </w:pPr>
            <w:r>
              <w:rPr>
                <w:rFonts w:ascii="Arial" w:cs="Arial" w:eastAsia="Arial" w:hAnsi="Arial"/>
                <w:b/>
                <w:bCs/>
                <w:color w:val="5B2D8E"/>
                <w:sz w:val="18"/>
                <w:szCs w:val="18"/>
              </w:rPr>
              <w:t xml:space="preserve">C</w:t>
            </w:r>
          </w:p>
        </w:tc>
        <w:tc>
          <w:tcPr>
            <w:tcW w:type="dxa" w:w="700"/>
            <w:tcBorders>
              <w:top w:val="single" w:color="D0D5E8" w:sz="4"/>
              <w:left w:val="single" w:color="D0D5E8" w:sz="4"/>
              <w:bottom w:val="single" w:color="D0D5E8" w:sz="4"/>
              <w:right w:val="single" w:color="D0D5E8" w:sz="4"/>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P1</w:t>
            </w:r>
          </w:p>
        </w:tc>
        <w:tc>
          <w:tcPr>
            <w:tcW w:type="dxa" w:w="9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B3A6B"/>
                <w:sz w:val="18"/>
                <w:szCs w:val="18"/>
              </w:rPr>
              <w:t xml:space="preserve">CTL-PWD</w:t>
            </w:r>
          </w:p>
        </w:tc>
        <w:tc>
          <w:tcPr>
            <w:tcW w:type="dxa" w:w="136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Open</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PWD-02</w:t>
            </w:r>
          </w:p>
        </w:tc>
        <w:tc>
          <w:tcPr>
            <w:tcW w:type="dxa" w:w="30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Service Account Credential Lifecycle</w:t>
            </w:r>
          </w:p>
        </w:tc>
        <w:tc>
          <w:tcPr>
            <w:tcW w:type="dxa" w:w="15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R-002, R-003, R-012</w:t>
            </w:r>
          </w:p>
        </w:tc>
        <w:tc>
          <w:tcPr>
            <w:tcW w:type="dxa" w:w="900"/>
            <w:tcBorders>
              <w:top w:val="single" w:color="D0D5E8" w:sz="4"/>
              <w:left w:val="single" w:color="D0D5E8" w:sz="4"/>
              <w:bottom w:val="single" w:color="D0D5E8" w:sz="4"/>
              <w:right w:val="single" w:color="D0D5E8" w:sz="4"/>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C,I</w:t>
            </w:r>
          </w:p>
        </w:tc>
        <w:tc>
          <w:tcPr>
            <w:tcW w:type="dxa" w:w="700"/>
            <w:tcBorders>
              <w:top w:val="single" w:color="D0D5E8" w:sz="4"/>
              <w:left w:val="single" w:color="D0D5E8" w:sz="4"/>
              <w:bottom w:val="single" w:color="D0D5E8" w:sz="4"/>
              <w:right w:val="single" w:color="D0D5E8" w:sz="4"/>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P1</w:t>
            </w:r>
          </w:p>
        </w:tc>
        <w:tc>
          <w:tcPr>
            <w:tcW w:type="dxa" w:w="9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B3A6B"/>
                <w:sz w:val="18"/>
                <w:szCs w:val="18"/>
              </w:rPr>
              <w:t xml:space="preserve">CTL-PWD</w:t>
            </w:r>
          </w:p>
        </w:tc>
        <w:tc>
          <w:tcPr>
            <w:tcW w:type="dxa" w:w="136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Open</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PWD-03</w:t>
            </w:r>
          </w:p>
        </w:tc>
        <w:tc>
          <w:tcPr>
            <w:tcW w:type="dxa" w:w="30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PAM Credential Vaulting &amp; Check-Out</w:t>
            </w:r>
          </w:p>
        </w:tc>
        <w:tc>
          <w:tcPr>
            <w:tcW w:type="dxa" w:w="15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R-001, R-015, R-013</w:t>
            </w:r>
          </w:p>
        </w:tc>
        <w:tc>
          <w:tcPr>
            <w:tcW w:type="dxa" w:w="900"/>
            <w:tcBorders>
              <w:top w:val="single" w:color="D0D5E8" w:sz="4"/>
              <w:left w:val="single" w:color="D0D5E8" w:sz="4"/>
              <w:bottom w:val="single" w:color="D0D5E8" w:sz="4"/>
              <w:right w:val="single" w:color="D0D5E8" w:sz="4"/>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C,I</w:t>
            </w:r>
          </w:p>
        </w:tc>
        <w:tc>
          <w:tcPr>
            <w:tcW w:type="dxa" w:w="70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P2</w:t>
            </w:r>
          </w:p>
        </w:tc>
        <w:tc>
          <w:tcPr>
            <w:tcW w:type="dxa" w:w="9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B3A6B"/>
                <w:sz w:val="18"/>
                <w:szCs w:val="18"/>
              </w:rPr>
              <w:t xml:space="preserve">CTL-PWD</w:t>
            </w:r>
          </w:p>
        </w:tc>
        <w:tc>
          <w:tcPr>
            <w:tcW w:type="dxa" w:w="136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Open</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MON-01</w:t>
            </w:r>
          </w:p>
        </w:tc>
        <w:tc>
          <w:tcPr>
            <w:tcW w:type="dxa" w:w="30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Centralised IAM Event Logging (SIEM)</w:t>
            </w:r>
          </w:p>
        </w:tc>
        <w:tc>
          <w:tcPr>
            <w:tcW w:type="dxa" w:w="15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R-001, R-004–R-011</w:t>
            </w:r>
          </w:p>
        </w:tc>
        <w:tc>
          <w:tcPr>
            <w:tcW w:type="dxa" w:w="900"/>
            <w:tcBorders>
              <w:top w:val="single" w:color="D0D5E8" w:sz="4"/>
              <w:left w:val="single" w:color="D0D5E8" w:sz="4"/>
              <w:bottom w:val="single" w:color="D0D5E8" w:sz="4"/>
              <w:right w:val="single" w:color="D0D5E8" w:sz="4"/>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C,I</w:t>
            </w:r>
          </w:p>
        </w:tc>
        <w:tc>
          <w:tcPr>
            <w:tcW w:type="dxa" w:w="700"/>
            <w:tcBorders>
              <w:top w:val="single" w:color="D0D5E8" w:sz="4"/>
              <w:left w:val="single" w:color="D0D5E8" w:sz="4"/>
              <w:bottom w:val="single" w:color="D0D5E8" w:sz="4"/>
              <w:right w:val="single" w:color="D0D5E8" w:sz="4"/>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P1</w:t>
            </w:r>
          </w:p>
        </w:tc>
        <w:tc>
          <w:tcPr>
            <w:tcW w:type="dxa" w:w="9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B3A6B"/>
                <w:sz w:val="18"/>
                <w:szCs w:val="18"/>
              </w:rPr>
              <w:t xml:space="preserve">CTL-MON</w:t>
            </w:r>
          </w:p>
        </w:tc>
        <w:tc>
          <w:tcPr>
            <w:tcW w:type="dxa" w:w="136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Open</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MON-02</w:t>
            </w:r>
          </w:p>
        </w:tc>
        <w:tc>
          <w:tcPr>
            <w:tcW w:type="dxa" w:w="30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PAM Session Recording &amp; Alerting</w:t>
            </w:r>
          </w:p>
        </w:tc>
        <w:tc>
          <w:tcPr>
            <w:tcW w:type="dxa" w:w="15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R-001, R-013, R-015</w:t>
            </w:r>
          </w:p>
        </w:tc>
        <w:tc>
          <w:tcPr>
            <w:tcW w:type="dxa" w:w="90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I</w:t>
            </w:r>
          </w:p>
        </w:tc>
        <w:tc>
          <w:tcPr>
            <w:tcW w:type="dxa" w:w="700"/>
            <w:tcBorders>
              <w:top w:val="single" w:color="D0D5E8" w:sz="4"/>
              <w:left w:val="single" w:color="D0D5E8" w:sz="4"/>
              <w:bottom w:val="single" w:color="D0D5E8" w:sz="4"/>
              <w:right w:val="single" w:color="D0D5E8" w:sz="4"/>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P1</w:t>
            </w:r>
          </w:p>
        </w:tc>
        <w:tc>
          <w:tcPr>
            <w:tcW w:type="dxa" w:w="9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B3A6B"/>
                <w:sz w:val="18"/>
                <w:szCs w:val="18"/>
              </w:rPr>
              <w:t xml:space="preserve">CTL-MON</w:t>
            </w:r>
          </w:p>
        </w:tc>
        <w:tc>
          <w:tcPr>
            <w:tcW w:type="dxa" w:w="136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Open</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MON-03</w:t>
            </w:r>
          </w:p>
        </w:tc>
        <w:tc>
          <w:tcPr>
            <w:tcW w:type="dxa" w:w="30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Behavioural Anomaly Detection (UEBA)</w:t>
            </w:r>
          </w:p>
        </w:tc>
        <w:tc>
          <w:tcPr>
            <w:tcW w:type="dxa" w:w="15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R-004, R-011, R-007</w:t>
            </w:r>
          </w:p>
        </w:tc>
        <w:tc>
          <w:tcPr>
            <w:tcW w:type="dxa" w:w="900"/>
            <w:tcBorders>
              <w:top w:val="single" w:color="D0D5E8" w:sz="4"/>
              <w:left w:val="single" w:color="D0D5E8" w:sz="4"/>
              <w:bottom w:val="single" w:color="D0D5E8" w:sz="4"/>
              <w:right w:val="single" w:color="D0D5E8" w:sz="4"/>
            </w:tcBorders>
            <w:shd w:fill="F0EBF8" w:val="clear"/>
            <w:tcMar>
              <w:top w:type="dxa" w:w="100"/>
              <w:left w:type="dxa" w:w="160"/>
              <w:bottom w:type="dxa" w:w="100"/>
              <w:right w:type="dxa" w:w="160"/>
            </w:tcMar>
          </w:tcPr>
          <w:p>
            <w:pPr>
              <w:spacing w:after="0" w:before="0"/>
              <w:jc w:val="center"/>
            </w:pPr>
            <w:r>
              <w:rPr>
                <w:rFonts w:ascii="Arial" w:cs="Arial" w:eastAsia="Arial" w:hAnsi="Arial"/>
                <w:b/>
                <w:bCs/>
                <w:color w:val="5B2D8E"/>
                <w:sz w:val="18"/>
                <w:szCs w:val="18"/>
              </w:rPr>
              <w:t xml:space="preserve">C</w:t>
            </w:r>
          </w:p>
        </w:tc>
        <w:tc>
          <w:tcPr>
            <w:tcW w:type="dxa" w:w="70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P2</w:t>
            </w:r>
          </w:p>
        </w:tc>
        <w:tc>
          <w:tcPr>
            <w:tcW w:type="dxa" w:w="9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B3A6B"/>
                <w:sz w:val="18"/>
                <w:szCs w:val="18"/>
              </w:rPr>
              <w:t xml:space="preserve">CTL-MON</w:t>
            </w:r>
          </w:p>
        </w:tc>
        <w:tc>
          <w:tcPr>
            <w:tcW w:type="dxa" w:w="136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Open</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MON-04</w:t>
            </w:r>
          </w:p>
        </w:tc>
        <w:tc>
          <w:tcPr>
            <w:tcW w:type="dxa" w:w="30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Full-Tunnel VPN + CASB DLP</w:t>
            </w:r>
          </w:p>
        </w:tc>
        <w:tc>
          <w:tcPr>
            <w:tcW w:type="dxa" w:w="15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R-014</w:t>
            </w:r>
          </w:p>
        </w:tc>
        <w:tc>
          <w:tcPr>
            <w:tcW w:type="dxa" w:w="900"/>
            <w:tcBorders>
              <w:top w:val="single" w:color="D0D5E8" w:sz="4"/>
              <w:left w:val="single" w:color="D0D5E8" w:sz="4"/>
              <w:bottom w:val="single" w:color="D0D5E8" w:sz="4"/>
              <w:right w:val="single" w:color="D0D5E8" w:sz="4"/>
            </w:tcBorders>
            <w:shd w:fill="F0EBF8" w:val="clear"/>
            <w:tcMar>
              <w:top w:type="dxa" w:w="100"/>
              <w:left w:type="dxa" w:w="160"/>
              <w:bottom w:type="dxa" w:w="100"/>
              <w:right w:type="dxa" w:w="160"/>
            </w:tcMar>
          </w:tcPr>
          <w:p>
            <w:pPr>
              <w:spacing w:after="0" w:before="0"/>
              <w:jc w:val="center"/>
            </w:pPr>
            <w:r>
              <w:rPr>
                <w:rFonts w:ascii="Arial" w:cs="Arial" w:eastAsia="Arial" w:hAnsi="Arial"/>
                <w:b/>
                <w:bCs/>
                <w:color w:val="5B2D8E"/>
                <w:sz w:val="18"/>
                <w:szCs w:val="18"/>
              </w:rPr>
              <w:t xml:space="preserve">C</w:t>
            </w:r>
          </w:p>
        </w:tc>
        <w:tc>
          <w:tcPr>
            <w:tcW w:type="dxa" w:w="70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P2</w:t>
            </w:r>
          </w:p>
        </w:tc>
        <w:tc>
          <w:tcPr>
            <w:tcW w:type="dxa" w:w="9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B3A6B"/>
                <w:sz w:val="18"/>
                <w:szCs w:val="18"/>
              </w:rPr>
              <w:t xml:space="preserve">CTL-MON</w:t>
            </w:r>
          </w:p>
        </w:tc>
        <w:tc>
          <w:tcPr>
            <w:tcW w:type="dxa" w:w="136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Open</w:t>
            </w:r>
          </w:p>
        </w:tc>
      </w:tr>
      <w:tr>
        <w:tc>
          <w:tcPr>
            <w:tcW w:type="dxa" w:w="10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MON-05</w:t>
            </w:r>
          </w:p>
        </w:tc>
        <w:tc>
          <w:tcPr>
            <w:tcW w:type="dxa" w:w="30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IAM Posture KPI Dashboard</w:t>
            </w:r>
          </w:p>
        </w:tc>
        <w:tc>
          <w:tcPr>
            <w:tcW w:type="dxa" w:w="15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R-001 – R-015</w:t>
            </w:r>
          </w:p>
        </w:tc>
        <w:tc>
          <w:tcPr>
            <w:tcW w:type="dxa" w:w="900"/>
            <w:tcBorders>
              <w:top w:val="single" w:color="D0D5E8" w:sz="4"/>
              <w:left w:val="single" w:color="D0D5E8" w:sz="4"/>
              <w:bottom w:val="single" w:color="D0D5E8" w:sz="4"/>
              <w:right w:val="single" w:color="D0D5E8" w:sz="4"/>
            </w:tcBorders>
            <w:shd w:fill="FDECEA" w:val="clear"/>
            <w:tcMar>
              <w:top w:type="dxa" w:w="100"/>
              <w:left w:type="dxa" w:w="160"/>
              <w:bottom w:type="dxa" w:w="100"/>
              <w:right w:type="dxa" w:w="160"/>
            </w:tcMar>
          </w:tcPr>
          <w:p>
            <w:pPr>
              <w:spacing w:after="0" w:before="0"/>
              <w:jc w:val="center"/>
            </w:pPr>
            <w:r>
              <w:rPr>
                <w:rFonts w:ascii="Arial" w:cs="Arial" w:eastAsia="Arial" w:hAnsi="Arial"/>
                <w:b/>
                <w:bCs/>
                <w:color w:val="922B21"/>
                <w:sz w:val="18"/>
                <w:szCs w:val="18"/>
              </w:rPr>
              <w:t xml:space="preserve">C,I,A</w:t>
            </w:r>
          </w:p>
        </w:tc>
        <w:tc>
          <w:tcPr>
            <w:tcW w:type="dxa" w:w="7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P3</w:t>
            </w:r>
          </w:p>
        </w:tc>
        <w:tc>
          <w:tcPr>
            <w:tcW w:type="dxa" w:w="9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B3A6B"/>
                <w:sz w:val="18"/>
                <w:szCs w:val="18"/>
              </w:rPr>
              <w:t xml:space="preserve">CTL-MON</w:t>
            </w:r>
          </w:p>
        </w:tc>
        <w:tc>
          <w:tcPr>
            <w:tcW w:type="dxa" w:w="1360"/>
            <w:tcBorders>
              <w:top w:val="single" w:color="D0D5E8" w:sz="4"/>
              <w:left w:val="single" w:color="D0D5E8" w:sz="4"/>
              <w:bottom w:val="single" w:color="D0D5E8" w:sz="4"/>
              <w:right w:val="single" w:color="D0D5E8" w:sz="4"/>
            </w:tcBorders>
            <w:shd w:fill="FEF3DC" w:val="clear"/>
            <w:tcMar>
              <w:top w:type="dxa" w:w="100"/>
              <w:left w:type="dxa" w:w="160"/>
              <w:bottom w:type="dxa" w:w="100"/>
              <w:right w:type="dxa" w:w="160"/>
            </w:tcMar>
          </w:tcPr>
          <w:p>
            <w:pPr>
              <w:spacing w:after="0" w:before="0"/>
              <w:jc w:val="center"/>
            </w:pPr>
            <w:r>
              <w:rPr>
                <w:rFonts w:ascii="Arial" w:cs="Arial" w:eastAsia="Arial" w:hAnsi="Arial"/>
                <w:b/>
                <w:bCs/>
                <w:color w:val="7D5A0B"/>
                <w:sz w:val="18"/>
                <w:szCs w:val="18"/>
              </w:rPr>
              <w:t xml:space="preserve">Open</w:t>
            </w:r>
          </w:p>
        </w:tc>
      </w:tr>
    </w:tbl>
    <w:p>
      <w:r>
        <w:br w:type="page"/>
      </w:r>
    </w:p>
    <w:p>
      <w:pPr>
        <w:pStyle w:val="Heading1"/>
        <w:pBdr>
          <w:bottom w:val="single" w:color="2E5FA3" w:sz="10"/>
        </w:pBdr>
        <w:spacing w:after="160" w:before="440"/>
      </w:pPr>
      <w:r>
        <w:rPr>
          <w:rFonts w:ascii="Arial" w:cs="Arial" w:eastAsia="Arial" w:hAnsi="Arial"/>
          <w:b/>
          <w:bCs/>
          <w:color w:val="1B3A6B"/>
          <w:sz w:val="30"/>
          <w:szCs w:val="30"/>
        </w:rPr>
        <w:t xml:space="preserve">10. Implementation Roadmap</w:t>
      </w:r>
    </w:p>
    <w:p>
      <w:pPr>
        <w:spacing w:after="80" w:before="60"/>
      </w:pPr>
      <w:r>
        <w:rPr>
          <w:rFonts w:ascii="Arial" w:cs="Arial" w:eastAsia="Arial" w:hAnsi="Arial"/>
          <w:color w:val="1A1A2E"/>
          <w:sz w:val="20"/>
          <w:szCs w:val="20"/>
        </w:rPr>
        <w:t xml:space="preserve">The 24 controls are sequenced into four implementation phases. Phase 1 addresses the most critical exposure — active terminated accounts, shared accounts with admin access, and an admin with no MFA — targeting direct financial fraud and data breach vectors within the first week. Later phases build the sustainable governance infrastructure.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2B21" w:sz="6"/>
              <w:left w:val="single" w:color="922B21" w:sz="6"/>
              <w:bottom w:val="single" w:color="922B21" w:sz="6"/>
              <w:right w:val="single" w:color="922B21" w:sz="6"/>
            </w:tcBorders>
            <w:shd w:fill="922B21"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Phase 1 — Immediate (Days 1–7)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922B21" w:sz="0"/>
              <w:left w:val="single" w:color="922B21" w:sz="16"/>
              <w:bottom w:val="single" w:color="922B21" w:sz="6"/>
              <w:right w:val="single" w:color="922B21" w:sz="4"/>
            </w:tcBorders>
            <w:shd w:fill="FDECEA" w:val="clear"/>
            <w:tcMar>
              <w:top w:type="dxa" w:w="120"/>
              <w:left w:type="dxa" w:w="200"/>
              <w:bottom w:type="dxa" w:w="140"/>
              <w:right w:type="dxa" w:w="160"/>
            </w:tcMar>
          </w:tcPr>
          <w:p>
            <w:pPr>
              <w:pStyle w:val="ListParagraph"/>
              <w:numPr>
                <w:ilvl w:val="0"/>
                <w:numId w:val="3"/>
              </w:numPr>
              <w:spacing w:after="50" w:before="50"/>
            </w:pPr>
            <w:r>
              <w:rPr>
                <w:rFonts w:ascii="Arial" w:cs="Arial" w:eastAsia="Arial" w:hAnsi="Arial"/>
                <w:color w:val="1A1A2E"/>
                <w:sz w:val="18"/>
                <w:szCs w:val="18"/>
              </w:rPr>
              <w:t xml:space="preserve">DAY 1: Disable SHR-7001, SHR-7002, SHR-7003 shared accounts. Disable USR-8001 (terminated employee). Disable USR-8003 (transferred employee).</w:t>
            </w:r>
          </w:p>
          <w:p>
            <w:pPr>
              <w:pStyle w:val="ListParagraph"/>
              <w:numPr>
                <w:ilvl w:val="0"/>
                <w:numId w:val="3"/>
              </w:numPr>
              <w:spacing w:after="50" w:before="50"/>
            </w:pPr>
            <w:r>
              <w:rPr>
                <w:rFonts w:ascii="Arial" w:cs="Arial" w:eastAsia="Arial" w:hAnsi="Arial"/>
                <w:color w:val="1A1A2E"/>
                <w:sz w:val="18"/>
                <w:szCs w:val="18"/>
              </w:rPr>
              <w:t xml:space="preserve">DAY 1: Suspend USR-2005 (Finance Manager) access until FIDO2 MFA enrolled.</w:t>
            </w:r>
          </w:p>
          <w:p>
            <w:pPr>
              <w:pStyle w:val="ListParagraph"/>
              <w:numPr>
                <w:ilvl w:val="0"/>
                <w:numId w:val="3"/>
              </w:numPr>
              <w:spacing w:after="50" w:before="50"/>
            </w:pPr>
            <w:r>
              <w:rPr>
                <w:rFonts w:ascii="Arial" w:cs="Arial" w:eastAsia="Arial" w:hAnsi="Arial"/>
                <w:color w:val="1A1A2E"/>
                <w:sz w:val="18"/>
                <w:szCs w:val="18"/>
              </w:rPr>
              <w:t xml:space="preserve">DAY 1–2: Rotate all 5 stale service account credentials (SVC-6001 through SVC-6005). Remove static DB credentials from developer machines.</w:t>
            </w:r>
          </w:p>
          <w:p>
            <w:pPr>
              <w:pStyle w:val="ListParagraph"/>
              <w:numPr>
                <w:ilvl w:val="0"/>
                <w:numId w:val="3"/>
              </w:numPr>
              <w:spacing w:after="50" w:before="50"/>
            </w:pPr>
            <w:r>
              <w:rPr>
                <w:rFonts w:ascii="Arial" w:cs="Arial" w:eastAsia="Arial" w:hAnsi="Arial"/>
                <w:color w:val="1A1A2E"/>
                <w:sz w:val="18"/>
                <w:szCs w:val="18"/>
              </w:rPr>
              <w:t xml:space="preserve">DAY 2–3: Remove Engineering Lead Okta group from USR-1001, USR-1004, USR-1008.</w:t>
            </w:r>
          </w:p>
          <w:p>
            <w:pPr>
              <w:pStyle w:val="ListParagraph"/>
              <w:numPr>
                <w:ilvl w:val="0"/>
                <w:numId w:val="3"/>
              </w:numPr>
              <w:spacing w:after="50" w:before="50"/>
            </w:pPr>
            <w:r>
              <w:rPr>
                <w:rFonts w:ascii="Arial" w:cs="Arial" w:eastAsia="Arial" w:hAnsi="Arial"/>
                <w:color w:val="1A1A2E"/>
                <w:sz w:val="18"/>
                <w:szCs w:val="18"/>
              </w:rPr>
              <w:t xml:space="preserve">DAY 2–3: Integrate Admin Dashboard with Okta SAML 2.0 — disable local auth endpoint.</w:t>
            </w:r>
          </w:p>
          <w:p>
            <w:pPr>
              <w:pStyle w:val="ListParagraph"/>
              <w:numPr>
                <w:ilvl w:val="0"/>
                <w:numId w:val="3"/>
              </w:numPr>
              <w:spacing w:after="50" w:before="50"/>
            </w:pPr>
            <w:r>
              <w:rPr>
                <w:rFonts w:ascii="Arial" w:cs="Arial" w:eastAsia="Arial" w:hAnsi="Arial"/>
                <w:color w:val="1A1A2E"/>
                <w:sz w:val="18"/>
                <w:szCs w:val="18"/>
              </w:rPr>
              <w:t xml:space="preserve">DAY 3–5: Deploy FIDO2 hardware keys to all Level 4+ accounts (37 users). Enforce via Okta policy.</w:t>
            </w:r>
          </w:p>
          <w:p>
            <w:pPr>
              <w:pStyle w:val="ListParagraph"/>
              <w:numPr>
                <w:ilvl w:val="0"/>
                <w:numId w:val="3"/>
              </w:numPr>
              <w:spacing w:after="50" w:before="50"/>
            </w:pPr>
            <w:r>
              <w:rPr>
                <w:rFonts w:ascii="Arial" w:cs="Arial" w:eastAsia="Arial" w:hAnsi="Arial"/>
                <w:color w:val="1A1A2E"/>
                <w:sz w:val="18"/>
                <w:szCs w:val="18"/>
              </w:rPr>
              <w:t xml:space="preserve">DAY 5–7: Revoke all 10 expired MFA exemptions — force re-enrolment with 48hr deadline.</w:t>
            </w:r>
          </w:p>
          <w:p>
            <w:pPr>
              <w:pStyle w:val="ListParagraph"/>
              <w:numPr>
                <w:ilvl w:val="0"/>
                <w:numId w:val="3"/>
              </w:numPr>
              <w:spacing w:after="50" w:before="50"/>
            </w:pPr>
            <w:r>
              <w:rPr>
                <w:rFonts w:ascii="Arial" w:cs="Arial" w:eastAsia="Arial" w:hAnsi="Arial"/>
                <w:color w:val="1A1A2E"/>
                <w:sz w:val="18"/>
                <w:szCs w:val="18"/>
              </w:rPr>
              <w:t xml:space="preserve">DAY 5–7: Complete USR-8002 AWS IAM cleanup (residual role attachments).</w:t>
            </w:r>
          </w:p>
          <w:p>
            <w:pPr>
              <w:pStyle w:val="ListParagraph"/>
              <w:numPr>
                <w:ilvl w:val="0"/>
                <w:numId w:val="3"/>
              </w:numPr>
              <w:spacing w:after="50" w:before="50"/>
            </w:pPr>
            <w:r>
              <w:rPr>
                <w:rFonts w:ascii="Arial" w:cs="Arial" w:eastAsia="Arial" w:hAnsi="Arial"/>
                <w:color w:val="1A1A2E"/>
                <w:sz w:val="18"/>
                <w:szCs w:val="18"/>
              </w:rPr>
              <w:t xml:space="preserve">DAY 7: CISO review: confirm all P1 controls have initial remediation in place.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5A0B" w:sz="6"/>
              <w:left w:val="single" w:color="7D5A0B" w:sz="6"/>
              <w:bottom w:val="single" w:color="7D5A0B" w:sz="6"/>
              <w:right w:val="single" w:color="7D5A0B" w:sz="6"/>
            </w:tcBorders>
            <w:shd w:fill="7D5A0B"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Phase 2 — Short-Term (Days 8–14)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7D5A0B" w:sz="0"/>
              <w:left w:val="single" w:color="7D5A0B" w:sz="16"/>
              <w:bottom w:val="single" w:color="7D5A0B" w:sz="6"/>
              <w:right w:val="single" w:color="7D5A0B" w:sz="4"/>
            </w:tcBorders>
            <w:shd w:fill="FEF3DC" w:val="clear"/>
            <w:tcMar>
              <w:top w:type="dxa" w:w="120"/>
              <w:left w:type="dxa" w:w="200"/>
              <w:bottom w:type="dxa" w:w="140"/>
              <w:right w:type="dxa" w:w="160"/>
            </w:tcMar>
          </w:tcPr>
          <w:p>
            <w:pPr>
              <w:pStyle w:val="ListParagraph"/>
              <w:numPr>
                <w:ilvl w:val="0"/>
                <w:numId w:val="3"/>
              </w:numPr>
              <w:spacing w:after="50" w:before="50"/>
            </w:pPr>
            <w:r>
              <w:rPr>
                <w:rFonts w:ascii="Arial" w:cs="Arial" w:eastAsia="Arial" w:hAnsi="Arial"/>
                <w:color w:val="1A1A2E"/>
                <w:sz w:val="18"/>
                <w:szCs w:val="18"/>
              </w:rPr>
              <w:t xml:space="preserve">Deploy HashiCorp Vault dynamic secrets for all database service accounts (15min TTL).</w:t>
            </w:r>
          </w:p>
          <w:p>
            <w:pPr>
              <w:pStyle w:val="ListParagraph"/>
              <w:numPr>
                <w:ilvl w:val="0"/>
                <w:numId w:val="3"/>
              </w:numPr>
              <w:spacing w:after="50" w:before="50"/>
            </w:pPr>
            <w:r>
              <w:rPr>
                <w:rFonts w:ascii="Arial" w:cs="Arial" w:eastAsia="Arial" w:hAnsi="Arial"/>
                <w:color w:val="1A1A2E"/>
                <w:sz w:val="18"/>
                <w:szCs w:val="18"/>
              </w:rPr>
              <w:t xml:space="preserve">Configure Okta → Splunk SIEM pipeline (all 5 event sources: Okta, CloudTrail, Admin Dashboard, VPN, DB).</w:t>
            </w:r>
          </w:p>
          <w:p>
            <w:pPr>
              <w:pStyle w:val="ListParagraph"/>
              <w:numPr>
                <w:ilvl w:val="0"/>
                <w:numId w:val="3"/>
              </w:numPr>
              <w:spacing w:after="50" w:before="50"/>
            </w:pPr>
            <w:r>
              <w:rPr>
                <w:rFonts w:ascii="Arial" w:cs="Arial" w:eastAsia="Arial" w:hAnsi="Arial"/>
                <w:color w:val="1A1A2E"/>
                <w:sz w:val="18"/>
                <w:szCs w:val="18"/>
              </w:rPr>
              <w:t xml:space="preserve">Deploy CyberArk PAM as proxy for Admin Dashboard — enable session recording.</w:t>
            </w:r>
          </w:p>
          <w:p>
            <w:pPr>
              <w:pStyle w:val="ListParagraph"/>
              <w:numPr>
                <w:ilvl w:val="0"/>
                <w:numId w:val="3"/>
              </w:numPr>
              <w:spacing w:after="50" w:before="50"/>
            </w:pPr>
            <w:r>
              <w:rPr>
                <w:rFonts w:ascii="Arial" w:cs="Arial" w:eastAsia="Arial" w:hAnsi="Arial"/>
                <w:color w:val="1A1A2E"/>
                <w:sz w:val="18"/>
                <w:szCs w:val="18"/>
              </w:rPr>
              <w:t xml:space="preserve">Fix USR-2003 Admin Dashboard edit rights → read-only. Audit all Finance Analyst accounts.</w:t>
            </w:r>
          </w:p>
          <w:p>
            <w:pPr>
              <w:pStyle w:val="ListParagraph"/>
              <w:numPr>
                <w:ilvl w:val="0"/>
                <w:numId w:val="3"/>
              </w:numPr>
              <w:spacing w:after="50" w:before="50"/>
            </w:pPr>
            <w:r>
              <w:rPr>
                <w:rFonts w:ascii="Arial" w:cs="Arial" w:eastAsia="Arial" w:hAnsi="Arial"/>
                <w:color w:val="1A1A2E"/>
                <w:sz w:val="18"/>
                <w:szCs w:val="18"/>
              </w:rPr>
              <w:t xml:space="preserve">Implement Okta Workflows: automated deprovisioning on HR termination event (SCIM integration).</w:t>
            </w:r>
          </w:p>
          <w:p>
            <w:pPr>
              <w:pStyle w:val="ListParagraph"/>
              <w:numPr>
                <w:ilvl w:val="0"/>
                <w:numId w:val="3"/>
              </w:numPr>
              <w:spacing w:after="50" w:before="50"/>
            </w:pPr>
            <w:r>
              <w:rPr>
                <w:rFonts w:ascii="Arial" w:cs="Arial" w:eastAsia="Arial" w:hAnsi="Arial"/>
                <w:color w:val="1A1A2E"/>
                <w:sz w:val="18"/>
                <w:szCs w:val="18"/>
              </w:rPr>
              <w:t xml:space="preserve">Enable AWS IAM Access Analyzer in all 6 accounts — configure weekly findings report.</w:t>
            </w:r>
          </w:p>
          <w:p>
            <w:pPr>
              <w:pStyle w:val="ListParagraph"/>
              <w:numPr>
                <w:ilvl w:val="0"/>
                <w:numId w:val="3"/>
              </w:numPr>
              <w:spacing w:after="50" w:before="50"/>
            </w:pPr>
            <w:r>
              <w:rPr>
                <w:rFonts w:ascii="Arial" w:cs="Arial" w:eastAsia="Arial" w:hAnsi="Arial"/>
                <w:color w:val="1A1A2E"/>
                <w:sz w:val="18"/>
                <w:szCs w:val="18"/>
              </w:rPr>
              <w:t xml:space="preserve">Implement GlobalProtect full-tunnel VPN profile for Engineering and Finance user groups.</w:t>
            </w:r>
          </w:p>
          <w:p>
            <w:pPr>
              <w:pStyle w:val="ListParagraph"/>
              <w:numPr>
                <w:ilvl w:val="0"/>
                <w:numId w:val="3"/>
              </w:numPr>
              <w:spacing w:after="50" w:before="50"/>
            </w:pPr>
            <w:r>
              <w:rPr>
                <w:rFonts w:ascii="Arial" w:cs="Arial" w:eastAsia="Arial" w:hAnsi="Arial"/>
                <w:color w:val="1A1A2E"/>
                <w:sz w:val="18"/>
                <w:szCs w:val="18"/>
              </w:rPr>
              <w:t xml:space="preserve">SailPoint: define all 14 role policies; run initial conflict detection scan against all 44 identities.</w:t>
            </w:r>
          </w:p>
          <w:p>
            <w:pPr>
              <w:pStyle w:val="ListParagraph"/>
              <w:numPr>
                <w:ilvl w:val="0"/>
                <w:numId w:val="3"/>
              </w:numPr>
              <w:spacing w:after="50" w:before="50"/>
            </w:pPr>
            <w:r>
              <w:rPr>
                <w:rFonts w:ascii="Arial" w:cs="Arial" w:eastAsia="Arial" w:hAnsi="Arial"/>
                <w:color w:val="1A1A2E"/>
                <w:sz w:val="18"/>
                <w:szCs w:val="18"/>
              </w:rPr>
              <w:t xml:space="preserve">Build MFA coverage dashboard in Splunk; configure CISO weekly automated report.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2E5FA3" w:sz="6"/>
              <w:right w:val="single" w:color="2E5FA3" w:sz="6"/>
            </w:tcBorders>
            <w:shd w:fill="2E5FA3"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Phase 3 — Standard (Days 15–30)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2E5FA3" w:sz="0"/>
              <w:left w:val="single" w:color="2E5FA3" w:sz="16"/>
              <w:bottom w:val="single" w:color="2E5FA3" w:sz="6"/>
              <w:right w:val="single" w:color="2E5FA3" w:sz="4"/>
            </w:tcBorders>
            <w:shd w:fill="D6E4F7" w:val="clear"/>
            <w:tcMar>
              <w:top w:type="dxa" w:w="120"/>
              <w:left w:type="dxa" w:w="200"/>
              <w:bottom w:type="dxa" w:w="140"/>
              <w:right w:type="dxa" w:w="160"/>
            </w:tcMar>
          </w:tcPr>
          <w:p>
            <w:pPr>
              <w:pStyle w:val="ListParagraph"/>
              <w:numPr>
                <w:ilvl w:val="0"/>
                <w:numId w:val="3"/>
              </w:numPr>
              <w:spacing w:after="50" w:before="50"/>
            </w:pPr>
            <w:r>
              <w:rPr>
                <w:rFonts w:ascii="Arial" w:cs="Arial" w:eastAsia="Arial" w:hAnsi="Arial"/>
                <w:color w:val="1A1A2E"/>
                <w:sz w:val="18"/>
                <w:szCs w:val="18"/>
              </w:rPr>
              <w:t xml:space="preserve">Deploy Okta step-up (MFA-03) for sensitive Admin Dashboard transactions.</w:t>
            </w:r>
          </w:p>
          <w:p>
            <w:pPr>
              <w:pStyle w:val="ListParagraph"/>
              <w:numPr>
                <w:ilvl w:val="0"/>
                <w:numId w:val="3"/>
              </w:numPr>
              <w:spacing w:after="50" w:before="50"/>
            </w:pPr>
            <w:r>
              <w:rPr>
                <w:rFonts w:ascii="Arial" w:cs="Arial" w:eastAsia="Arial" w:hAnsi="Arial"/>
                <w:color w:val="1A1A2E"/>
                <w:sz w:val="18"/>
                <w:szCs w:val="18"/>
              </w:rPr>
              <w:t xml:space="preserve">Implement JIT access via CyberArk for all Level 4+ privileged operations.</w:t>
            </w:r>
          </w:p>
          <w:p>
            <w:pPr>
              <w:pStyle w:val="ListParagraph"/>
              <w:numPr>
                <w:ilvl w:val="0"/>
                <w:numId w:val="3"/>
              </w:numPr>
              <w:spacing w:after="50" w:before="50"/>
            </w:pPr>
            <w:r>
              <w:rPr>
                <w:rFonts w:ascii="Arial" w:cs="Arial" w:eastAsia="Arial" w:hAnsi="Arial"/>
                <w:color w:val="1A1A2E"/>
                <w:sz w:val="18"/>
                <w:szCs w:val="18"/>
              </w:rPr>
              <w:t xml:space="preserve">Deploy CASB (Netskope) for cloud storage DLP — enforce policy for Engineering/Finance.</w:t>
            </w:r>
          </w:p>
          <w:p>
            <w:pPr>
              <w:pStyle w:val="ListParagraph"/>
              <w:numPr>
                <w:ilvl w:val="0"/>
                <w:numId w:val="3"/>
              </w:numPr>
              <w:spacing w:after="50" w:before="50"/>
            </w:pPr>
            <w:r>
              <w:rPr>
                <w:rFonts w:ascii="Arial" w:cs="Arial" w:eastAsia="Arial" w:hAnsi="Arial"/>
                <w:color w:val="1A1A2E"/>
                <w:sz w:val="18"/>
                <w:szCs w:val="18"/>
              </w:rPr>
              <w:t xml:space="preserve">Configure UEBA baselines in Splunk or Okta ITP — enable anomaly detection for inactive accounts.</w:t>
            </w:r>
          </w:p>
          <w:p>
            <w:pPr>
              <w:pStyle w:val="ListParagraph"/>
              <w:numPr>
                <w:ilvl w:val="0"/>
                <w:numId w:val="3"/>
              </w:numPr>
              <w:spacing w:after="50" w:before="50"/>
            </w:pPr>
            <w:r>
              <w:rPr>
                <w:rFonts w:ascii="Arial" w:cs="Arial" w:eastAsia="Arial" w:hAnsi="Arial"/>
                <w:color w:val="1A1A2E"/>
                <w:sz w:val="18"/>
                <w:szCs w:val="18"/>
              </w:rPr>
              <w:t xml:space="preserve">Create federated identity tier (SSO-03) for contractors and partner-org users with automated expiry.</w:t>
            </w:r>
          </w:p>
          <w:p>
            <w:pPr>
              <w:pStyle w:val="ListParagraph"/>
              <w:numPr>
                <w:ilvl w:val="0"/>
                <w:numId w:val="3"/>
              </w:numPr>
              <w:spacing w:after="50" w:before="50"/>
            </w:pPr>
            <w:r>
              <w:rPr>
                <w:rFonts w:ascii="Arial" w:cs="Arial" w:eastAsia="Arial" w:hAnsi="Arial"/>
                <w:color w:val="1A1A2E"/>
                <w:sz w:val="18"/>
                <w:szCs w:val="18"/>
              </w:rPr>
              <w:t xml:space="preserve">RBAC matrix to Git repo; configure SailPoint sync from Git (RBAC-05).</w:t>
            </w:r>
          </w:p>
          <w:p>
            <w:pPr>
              <w:pStyle w:val="ListParagraph"/>
              <w:numPr>
                <w:ilvl w:val="0"/>
                <w:numId w:val="3"/>
              </w:numPr>
              <w:spacing w:after="50" w:before="50"/>
            </w:pPr>
            <w:r>
              <w:rPr>
                <w:rFonts w:ascii="Arial" w:cs="Arial" w:eastAsia="Arial" w:hAnsi="Arial"/>
                <w:color w:val="1A1A2E"/>
                <w:sz w:val="18"/>
                <w:szCs w:val="18"/>
              </w:rPr>
              <w:t xml:space="preserve">Configure automated break-glass TTL enforcement: AWS IAM session policy + Okta time-bounded group.</w:t>
            </w:r>
          </w:p>
          <w:p>
            <w:pPr>
              <w:pStyle w:val="ListParagraph"/>
              <w:numPr>
                <w:ilvl w:val="0"/>
                <w:numId w:val="3"/>
              </w:numPr>
              <w:spacing w:after="50" w:before="50"/>
            </w:pPr>
            <w:r>
              <w:rPr>
                <w:rFonts w:ascii="Arial" w:cs="Arial" w:eastAsia="Arial" w:hAnsi="Arial"/>
                <w:color w:val="1A1A2E"/>
                <w:sz w:val="18"/>
                <w:szCs w:val="18"/>
              </w:rPr>
              <w:t xml:space="preserve">Publish IAM Posture KPI dashboard (MON-05) — present to CISO in monthly security review.</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5E38" w:sz="6"/>
              <w:left w:val="single" w:color="155E38" w:sz="6"/>
              <w:bottom w:val="single" w:color="155E38" w:sz="6"/>
              <w:right w:val="single" w:color="155E38" w:sz="6"/>
            </w:tcBorders>
            <w:shd w:fill="155E38"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Phase 4 — Ongoing (Monthly / Quarterly)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155E38" w:sz="0"/>
              <w:left w:val="single" w:color="155E38" w:sz="16"/>
              <w:bottom w:val="single" w:color="155E38" w:sz="6"/>
              <w:right w:val="single" w:color="155E38" w:sz="4"/>
            </w:tcBorders>
            <w:shd w:fill="E8F5EE" w:val="clear"/>
            <w:tcMar>
              <w:top w:type="dxa" w:w="120"/>
              <w:left w:type="dxa" w:w="200"/>
              <w:bottom w:type="dxa" w:w="140"/>
              <w:right w:type="dxa" w:w="160"/>
            </w:tcMar>
          </w:tcPr>
          <w:p>
            <w:pPr>
              <w:pStyle w:val="ListParagraph"/>
              <w:numPr>
                <w:ilvl w:val="0"/>
                <w:numId w:val="3"/>
              </w:numPr>
              <w:spacing w:after="50" w:before="50"/>
            </w:pPr>
            <w:r>
              <w:rPr>
                <w:rFonts w:ascii="Arial" w:cs="Arial" w:eastAsia="Arial" w:hAnsi="Arial"/>
                <w:color w:val="1A1A2E"/>
                <w:sz w:val="18"/>
                <w:szCs w:val="18"/>
              </w:rPr>
              <w:t xml:space="preserve">Monthly: privileged access certification (Level 4+ accounts) via SailPoint.</w:t>
            </w:r>
          </w:p>
          <w:p>
            <w:pPr>
              <w:pStyle w:val="ListParagraph"/>
              <w:numPr>
                <w:ilvl w:val="0"/>
                <w:numId w:val="3"/>
              </w:numPr>
              <w:spacing w:after="50" w:before="50"/>
            </w:pPr>
            <w:r>
              <w:rPr>
                <w:rFonts w:ascii="Arial" w:cs="Arial" w:eastAsia="Arial" w:hAnsi="Arial"/>
                <w:color w:val="1A1A2E"/>
                <w:sz w:val="18"/>
                <w:szCs w:val="18"/>
              </w:rPr>
              <w:t xml:space="preserve">Quarterly: full access certification for all 200 users — SailPoint campaign with manager attestation + IGA enforcement.</w:t>
            </w:r>
          </w:p>
          <w:p>
            <w:pPr>
              <w:pStyle w:val="ListParagraph"/>
              <w:numPr>
                <w:ilvl w:val="0"/>
                <w:numId w:val="3"/>
              </w:numPr>
              <w:spacing w:after="50" w:before="50"/>
            </w:pPr>
            <w:r>
              <w:rPr>
                <w:rFonts w:ascii="Arial" w:cs="Arial" w:eastAsia="Arial" w:hAnsi="Arial"/>
                <w:color w:val="1A1A2E"/>
                <w:sz w:val="18"/>
                <w:szCs w:val="18"/>
              </w:rPr>
              <w:t xml:space="preserve">Quarterly: Vault credential inventory audit — verify zero static secrets beyond policy TTL.</w:t>
            </w:r>
          </w:p>
          <w:p>
            <w:pPr>
              <w:pStyle w:val="ListParagraph"/>
              <w:numPr>
                <w:ilvl w:val="0"/>
                <w:numId w:val="3"/>
              </w:numPr>
              <w:spacing w:after="50" w:before="50"/>
            </w:pPr>
            <w:r>
              <w:rPr>
                <w:rFonts w:ascii="Arial" w:cs="Arial" w:eastAsia="Arial" w:hAnsi="Arial"/>
                <w:color w:val="1A1A2E"/>
                <w:sz w:val="18"/>
                <w:szCs w:val="18"/>
              </w:rPr>
              <w:t xml:space="preserve">Quarterly: RBAC matrix review with department heads — validate roles reflect current job functions.</w:t>
            </w:r>
          </w:p>
          <w:p>
            <w:pPr>
              <w:pStyle w:val="ListParagraph"/>
              <w:numPr>
                <w:ilvl w:val="0"/>
                <w:numId w:val="3"/>
              </w:numPr>
              <w:spacing w:after="50" w:before="50"/>
            </w:pPr>
            <w:r>
              <w:rPr>
                <w:rFonts w:ascii="Arial" w:cs="Arial" w:eastAsia="Arial" w:hAnsi="Arial"/>
                <w:color w:val="1A1A2E"/>
                <w:sz w:val="18"/>
                <w:szCs w:val="18"/>
              </w:rPr>
              <w:t xml:space="preserve">Quarterly: deprovisioning audit — verify zero accounts with status mismatch between HR system and Okta.</w:t>
            </w:r>
          </w:p>
          <w:p>
            <w:pPr>
              <w:pStyle w:val="ListParagraph"/>
              <w:numPr>
                <w:ilvl w:val="0"/>
                <w:numId w:val="3"/>
              </w:numPr>
              <w:spacing w:after="50" w:before="50"/>
            </w:pPr>
            <w:r>
              <w:rPr>
                <w:rFonts w:ascii="Arial" w:cs="Arial" w:eastAsia="Arial" w:hAnsi="Arial"/>
                <w:color w:val="1A1A2E"/>
                <w:sz w:val="18"/>
                <w:szCs w:val="18"/>
              </w:rPr>
              <w:t xml:space="preserve">Quarterly: MFA exemption sweep — zero tolerance policy; all exemptions must have active CISO approval.</w:t>
            </w:r>
          </w:p>
          <w:p>
            <w:pPr>
              <w:pStyle w:val="ListParagraph"/>
              <w:numPr>
                <w:ilvl w:val="0"/>
                <w:numId w:val="3"/>
              </w:numPr>
              <w:spacing w:after="50" w:before="50"/>
            </w:pPr>
            <w:r>
              <w:rPr>
                <w:rFonts w:ascii="Arial" w:cs="Arial" w:eastAsia="Arial" w:hAnsi="Arial"/>
                <w:color w:val="1A1A2E"/>
                <w:sz w:val="18"/>
                <w:szCs w:val="18"/>
              </w:rPr>
              <w:t xml:space="preserve">Annual: red team exercise targeting IAM weaknesses — test MFA bypass, privilege escalation, credential theft.</w:t>
            </w:r>
          </w:p>
          <w:p>
            <w:pPr>
              <w:pStyle w:val="ListParagraph"/>
              <w:numPr>
                <w:ilvl w:val="0"/>
                <w:numId w:val="3"/>
              </w:numPr>
              <w:spacing w:after="50" w:before="50"/>
            </w:pPr>
            <w:r>
              <w:rPr>
                <w:rFonts w:ascii="Arial" w:cs="Arial" w:eastAsia="Arial" w:hAnsi="Arial"/>
                <w:color w:val="1A1A2E"/>
                <w:sz w:val="18"/>
                <w:szCs w:val="18"/>
              </w:rPr>
              <w:t xml:space="preserve">Annual: PCI-DSS QSA assessment — demonstrate compliance with Req 7, 8, 10, 12 via control evidence.</w:t>
            </w:r>
          </w:p>
        </w:tc>
      </w:tr>
    </w:tbl>
    <w:p>
      <w:pPr>
        <w:spacing w:after="0" w:before="100"/>
      </w:pPr>
      <w:r>
        <w:t xml:space="preserve"/>
      </w:r>
    </w:p>
    <w:p>
      <w:r>
        <w:br w:type="page"/>
      </w:r>
    </w:p>
    <w:p>
      <w:pPr>
        <w:pStyle w:val="Heading1"/>
        <w:pBdr>
          <w:bottom w:val="single" w:color="2E5FA3" w:sz="10"/>
        </w:pBdr>
        <w:spacing w:after="160" w:before="440"/>
      </w:pPr>
      <w:r>
        <w:rPr>
          <w:rFonts w:ascii="Arial" w:cs="Arial" w:eastAsia="Arial" w:hAnsi="Arial"/>
          <w:b/>
          <w:bCs/>
          <w:color w:val="1B3A6B"/>
          <w:sz w:val="30"/>
          <w:szCs w:val="30"/>
        </w:rPr>
        <w:t xml:space="preserve">Appendix A — Risk-to-Control Cross-Reference</w:t>
      </w:r>
    </w:p>
    <w:p>
      <w:pPr>
        <w:spacing w:after="80" w:before="60"/>
      </w:pPr>
      <w:r>
        <w:rPr>
          <w:rFonts w:ascii="Arial" w:cs="Arial" w:eastAsia="Arial" w:hAnsi="Arial"/>
          <w:color w:val="1A1A2E"/>
          <w:sz w:val="20"/>
          <w:szCs w:val="20"/>
        </w:rPr>
        <w:t xml:space="preserve">Complete mapping of all 15 risks identified in the IAM Risk Assessment to the controls in this document.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1B3A6B" w:sz="6"/>
              <w:left w:val="single" w:color="1B3A6B" w:sz="6"/>
              <w:bottom w:val="single" w:color="1B3A6B" w:sz="6"/>
              <w:right w:val="single" w:color="1B3A6B" w:sz="6"/>
            </w:tcBorders>
            <w:shd w:fill="1B3A6B" w:val="clear"/>
            <w:tcMar>
              <w:top w:type="dxa" w:w="110"/>
              <w:left w:type="dxa" w:w="160"/>
              <w:bottom w:type="dxa" w:w="110"/>
              <w:right w:type="dxa" w:w="160"/>
            </w:tcMar>
          </w:tcPr>
          <w:p>
            <w:pPr>
              <w:spacing w:after="0" w:before="0"/>
              <w:jc w:val="center"/>
            </w:pPr>
            <w:r>
              <w:rPr>
                <w:rFonts w:ascii="Arial" w:cs="Arial" w:eastAsia="Arial" w:hAnsi="Arial"/>
                <w:b/>
                <w:bCs/>
                <w:color w:val="FFFFFF"/>
                <w:sz w:val="18"/>
                <w:szCs w:val="18"/>
              </w:rPr>
              <w:t xml:space="preserve">Risk ID</w:t>
            </w:r>
          </w:p>
        </w:tc>
        <w:tc>
          <w:tcPr>
            <w:tcW w:type="dxa" w:w="3200"/>
            <w:tcBorders>
              <w:top w:val="single" w:color="1B3A6B" w:sz="6"/>
              <w:left w:val="single" w:color="1B3A6B" w:sz="6"/>
              <w:bottom w:val="single" w:color="1B3A6B" w:sz="6"/>
              <w:right w:val="single" w:color="1B3A6B" w:sz="6"/>
            </w:tcBorders>
            <w:shd w:fill="1B3A6B" w:val="clear"/>
            <w:tcMar>
              <w:top w:type="dxa" w:w="110"/>
              <w:left w:type="dxa" w:w="160"/>
              <w:bottom w:type="dxa" w:w="110"/>
              <w:right w:type="dxa" w:w="160"/>
            </w:tcMar>
          </w:tcPr>
          <w:p>
            <w:pPr>
              <w:spacing w:after="0" w:before="0"/>
              <w:jc w:val="center"/>
            </w:pPr>
            <w:r>
              <w:rPr>
                <w:rFonts w:ascii="Arial" w:cs="Arial" w:eastAsia="Arial" w:hAnsi="Arial"/>
                <w:b/>
                <w:bCs/>
                <w:color w:val="FFFFFF"/>
                <w:sz w:val="18"/>
                <w:szCs w:val="18"/>
              </w:rPr>
              <w:t xml:space="preserve">Risk Title</w:t>
            </w:r>
          </w:p>
        </w:tc>
        <w:tc>
          <w:tcPr>
            <w:tcW w:type="dxa" w:w="5260"/>
            <w:tcBorders>
              <w:top w:val="single" w:color="1B3A6B" w:sz="6"/>
              <w:left w:val="single" w:color="1B3A6B" w:sz="6"/>
              <w:bottom w:val="single" w:color="1B3A6B" w:sz="6"/>
              <w:right w:val="single" w:color="1B3A6B" w:sz="6"/>
            </w:tcBorders>
            <w:shd w:fill="1B3A6B" w:val="clear"/>
            <w:tcMar>
              <w:top w:type="dxa" w:w="110"/>
              <w:left w:type="dxa" w:w="160"/>
              <w:bottom w:type="dxa" w:w="110"/>
              <w:right w:type="dxa" w:w="160"/>
            </w:tcMar>
          </w:tcPr>
          <w:p>
            <w:pPr>
              <w:spacing w:after="0" w:before="0"/>
              <w:jc w:val="center"/>
            </w:pPr>
            <w:r>
              <w:rPr>
                <w:rFonts w:ascii="Arial" w:cs="Arial" w:eastAsia="Arial" w:hAnsi="Arial"/>
                <w:b/>
                <w:bCs/>
                <w:color w:val="FFFFFF"/>
                <w:sz w:val="18"/>
                <w:szCs w:val="18"/>
              </w:rPr>
              <w:t xml:space="preserve">Controls That Remediate This Risk</w:t>
            </w:r>
          </w:p>
        </w:tc>
      </w:tr>
      <w:tr>
        <w:tc>
          <w:tcPr>
            <w:tcW w:type="dxa" w:w="9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R-001</w:t>
            </w:r>
          </w:p>
        </w:tc>
        <w:tc>
          <w:tcPr>
            <w:tcW w:type="dxa" w:w="32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Shared Accounts (No MFA/SSO)</w:t>
            </w:r>
          </w:p>
        </w:tc>
        <w:tc>
          <w:tcPr>
            <w:tcW w:type="dxa" w:w="526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MFA-01, MFA-02, SSO-01, PWD-01, PWD-03, MON-01, MON-02</w:t>
            </w:r>
          </w:p>
        </w:tc>
      </w:tr>
      <w:tr>
        <w:tc>
          <w:tcPr>
            <w:tcW w:type="dxa" w:w="9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R-002</w:t>
            </w:r>
          </w:p>
        </w:tc>
        <w:tc>
          <w:tcPr>
            <w:tcW w:type="dxa" w:w="32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Stale Creds — Payment API Key</w:t>
            </w:r>
          </w:p>
        </w:tc>
        <w:tc>
          <w:tcPr>
            <w:tcW w:type="dxa" w:w="52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LPE-01, PWD-02</w:t>
            </w:r>
          </w:p>
        </w:tc>
      </w:tr>
      <w:tr>
        <w:tc>
          <w:tcPr>
            <w:tcW w:type="dxa" w:w="9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R-003</w:t>
            </w:r>
          </w:p>
        </w:tc>
        <w:tc>
          <w:tcPr>
            <w:tcW w:type="dxa" w:w="32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Stale Creds — Staging DB + PAN</w:t>
            </w:r>
          </w:p>
        </w:tc>
        <w:tc>
          <w:tcPr>
            <w:tcW w:type="dxa" w:w="526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LPE-01, PWD-02</w:t>
            </w:r>
          </w:p>
        </w:tc>
      </w:tr>
      <w:tr>
        <w:tc>
          <w:tcPr>
            <w:tcW w:type="dxa" w:w="9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R-004</w:t>
            </w:r>
          </w:p>
        </w:tc>
        <w:tc>
          <w:tcPr>
            <w:tcW w:type="dxa" w:w="32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Orphaned Account — Terminated Employee</w:t>
            </w:r>
          </w:p>
        </w:tc>
        <w:tc>
          <w:tcPr>
            <w:tcW w:type="dxa" w:w="52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LPE-02, LPE-04, MON-01</w:t>
            </w:r>
          </w:p>
        </w:tc>
      </w:tr>
      <w:tr>
        <w:tc>
          <w:tcPr>
            <w:tcW w:type="dxa" w:w="9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R-005</w:t>
            </w:r>
          </w:p>
        </w:tc>
        <w:tc>
          <w:tcPr>
            <w:tcW w:type="dxa" w:w="32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Orphaned Account — Contractor Residue</w:t>
            </w:r>
          </w:p>
        </w:tc>
        <w:tc>
          <w:tcPr>
            <w:tcW w:type="dxa" w:w="526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SSO-03, LPE-04</w:t>
            </w:r>
          </w:p>
        </w:tc>
      </w:tr>
      <w:tr>
        <w:tc>
          <w:tcPr>
            <w:tcW w:type="dxa" w:w="9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R-006</w:t>
            </w:r>
          </w:p>
        </w:tc>
        <w:tc>
          <w:tcPr>
            <w:tcW w:type="dxa" w:w="32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Orphaned Account — Internal Transfer</w:t>
            </w:r>
          </w:p>
        </w:tc>
        <w:tc>
          <w:tcPr>
            <w:tcW w:type="dxa" w:w="52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SSO-03, LPE-04</w:t>
            </w:r>
          </w:p>
        </w:tc>
      </w:tr>
      <w:tr>
        <w:tc>
          <w:tcPr>
            <w:tcW w:type="dxa" w:w="9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R-007</w:t>
            </w:r>
          </w:p>
        </w:tc>
        <w:tc>
          <w:tcPr>
            <w:tcW w:type="dxa" w:w="32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Admin Account Without MFA</w:t>
            </w:r>
          </w:p>
        </w:tc>
        <w:tc>
          <w:tcPr>
            <w:tcW w:type="dxa" w:w="526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MFA-01, MFA-02, MFA-03, PWD-01</w:t>
            </w:r>
          </w:p>
        </w:tc>
      </w:tr>
      <w:tr>
        <w:tc>
          <w:tcPr>
            <w:tcW w:type="dxa" w:w="9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R-008</w:t>
            </w:r>
          </w:p>
        </w:tc>
        <w:tc>
          <w:tcPr>
            <w:tcW w:type="dxa" w:w="32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Role Creep — Engineering Lead Group</w:t>
            </w:r>
          </w:p>
        </w:tc>
        <w:tc>
          <w:tcPr>
            <w:tcW w:type="dxa" w:w="52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RBAC-01, RBAC-03, RBAC-04, LPE-02</w:t>
            </w:r>
          </w:p>
        </w:tc>
      </w:tr>
      <w:tr>
        <w:tc>
          <w:tcPr>
            <w:tcW w:type="dxa" w:w="9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R-009</w:t>
            </w:r>
          </w:p>
        </w:tc>
        <w:tc>
          <w:tcPr>
            <w:tcW w:type="dxa" w:w="32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Over-Privileged Finance Analyst</w:t>
            </w:r>
          </w:p>
        </w:tc>
        <w:tc>
          <w:tcPr>
            <w:tcW w:type="dxa" w:w="526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RBAC-02, RBAC-03, RBAC-04</w:t>
            </w:r>
          </w:p>
        </w:tc>
      </w:tr>
      <w:tr>
        <w:tc>
          <w:tcPr>
            <w:tcW w:type="dxa" w:w="9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R-010</w:t>
            </w:r>
          </w:p>
        </w:tc>
        <w:tc>
          <w:tcPr>
            <w:tcW w:type="dxa" w:w="32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Expired MFA Exemptions</w:t>
            </w:r>
          </w:p>
        </w:tc>
        <w:tc>
          <w:tcPr>
            <w:tcW w:type="dxa" w:w="52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MFA-01, MFA-04</w:t>
            </w:r>
          </w:p>
        </w:tc>
      </w:tr>
      <w:tr>
        <w:tc>
          <w:tcPr>
            <w:tcW w:type="dxa" w:w="9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R-011</w:t>
            </w:r>
          </w:p>
        </w:tc>
        <w:tc>
          <w:tcPr>
            <w:tcW w:type="dxa" w:w="32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Inactive Active Accounts</w:t>
            </w:r>
          </w:p>
        </w:tc>
        <w:tc>
          <w:tcPr>
            <w:tcW w:type="dxa" w:w="526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MON-03, LPE-04</w:t>
            </w:r>
          </w:p>
        </w:tc>
      </w:tr>
      <w:tr>
        <w:tc>
          <w:tcPr>
            <w:tcW w:type="dxa" w:w="9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R-012</w:t>
            </w:r>
          </w:p>
        </w:tc>
        <w:tc>
          <w:tcPr>
            <w:tcW w:type="dxa" w:w="32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Stale Creds — Other Service Accounts</w:t>
            </w:r>
          </w:p>
        </w:tc>
        <w:tc>
          <w:tcPr>
            <w:tcW w:type="dxa" w:w="52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LPE-01, PWD-02</w:t>
            </w:r>
          </w:p>
        </w:tc>
      </w:tr>
      <w:tr>
        <w:tc>
          <w:tcPr>
            <w:tcW w:type="dxa" w:w="9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R-013</w:t>
            </w:r>
          </w:p>
        </w:tc>
        <w:tc>
          <w:tcPr>
            <w:tcW w:type="dxa" w:w="32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No PAM / Session Recording</w:t>
            </w:r>
          </w:p>
        </w:tc>
        <w:tc>
          <w:tcPr>
            <w:tcW w:type="dxa" w:w="526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MFA-02, SSO-01, PWD-03, MON-02</w:t>
            </w:r>
          </w:p>
        </w:tc>
      </w:tr>
      <w:tr>
        <w:tc>
          <w:tcPr>
            <w:tcW w:type="dxa" w:w="9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R-014</w:t>
            </w:r>
          </w:p>
        </w:tc>
        <w:tc>
          <w:tcPr>
            <w:tcW w:type="dxa" w:w="320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VPN Split-Tunnel Bypasses DLP</w:t>
            </w:r>
          </w:p>
        </w:tc>
        <w:tc>
          <w:tcPr>
            <w:tcW w:type="dxa" w:w="5260"/>
            <w:tcBorders>
              <w:top w:val="single" w:color="D0D5E8" w:sz="4"/>
              <w:left w:val="single" w:color="D0D5E8" w:sz="4"/>
              <w:bottom w:val="single" w:color="D0D5E8" w:sz="4"/>
              <w:right w:val="single" w:color="D0D5E8"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MON-04</w:t>
            </w:r>
          </w:p>
        </w:tc>
      </w:tr>
      <w:tr>
        <w:tc>
          <w:tcPr>
            <w:tcW w:type="dxa" w:w="900"/>
            <w:tcBorders>
              <w:top w:val="single" w:color="D0D5E8" w:sz="4"/>
              <w:left w:val="single" w:color="D0D5E8" w:sz="4"/>
              <w:bottom w:val="single" w:color="D0D5E8" w:sz="4"/>
              <w:right w:val="single" w:color="D0D5E8" w:sz="4"/>
            </w:tcBorders>
            <w:shd w:fill="D6E4F7" w:val="clear"/>
            <w:tcMar>
              <w:top w:type="dxa" w:w="100"/>
              <w:left w:type="dxa" w:w="160"/>
              <w:bottom w:type="dxa" w:w="100"/>
              <w:right w:type="dxa" w:w="160"/>
            </w:tcMar>
          </w:tcPr>
          <w:p>
            <w:pPr>
              <w:spacing w:after="0" w:before="0"/>
              <w:jc w:val="center"/>
            </w:pPr>
            <w:r>
              <w:rPr>
                <w:rFonts w:ascii="Arial" w:cs="Arial" w:eastAsia="Arial" w:hAnsi="Arial"/>
                <w:b/>
                <w:bCs/>
                <w:color w:val="2E5FA3"/>
                <w:sz w:val="18"/>
                <w:szCs w:val="18"/>
              </w:rPr>
              <w:t xml:space="preserve">R-015</w:t>
            </w:r>
          </w:p>
        </w:tc>
        <w:tc>
          <w:tcPr>
            <w:tcW w:type="dxa" w:w="320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1A1A2E"/>
                <w:sz w:val="18"/>
                <w:szCs w:val="18"/>
              </w:rPr>
              <w:t xml:space="preserve">Break-Glass Overrun Windows</w:t>
            </w:r>
          </w:p>
        </w:tc>
        <w:tc>
          <w:tcPr>
            <w:tcW w:type="dxa" w:w="5260"/>
            <w:tcBorders>
              <w:top w:val="single" w:color="D0D5E8" w:sz="4"/>
              <w:left w:val="single" w:color="D0D5E8" w:sz="4"/>
              <w:bottom w:val="single" w:color="D0D5E8" w:sz="4"/>
              <w:right w:val="single" w:color="D0D5E8" w:sz="4"/>
            </w:tcBorders>
            <w:shd w:fill="F4F6FB" w:val="clear"/>
            <w:tcMar>
              <w:top w:type="dxa" w:w="100"/>
              <w:left w:type="dxa" w:w="160"/>
              <w:bottom w:type="dxa" w:w="100"/>
              <w:right w:type="dxa" w:w="160"/>
            </w:tcMar>
          </w:tcPr>
          <w:p>
            <w:pPr>
              <w:spacing w:after="0" w:before="0"/>
              <w:jc w:val="left"/>
            </w:pPr>
            <w:r>
              <w:rPr>
                <w:rFonts w:ascii="Arial" w:cs="Arial" w:eastAsia="Arial" w:hAnsi="Arial"/>
                <w:b w:val="false"/>
                <w:bCs w:val="false"/>
                <w:color w:val="2E5FA3"/>
                <w:sz w:val="18"/>
                <w:szCs w:val="18"/>
              </w:rPr>
              <w:t xml:space="preserve">LPE-03, PWD-03, MON-02</w:t>
            </w:r>
          </w:p>
        </w:tc>
      </w:tr>
    </w:tbl>
    <w:p>
      <w:r>
        <w:br w:type="page"/>
      </w:r>
    </w:p>
    <w:p>
      <w:pPr>
        <w:pStyle w:val="Heading1"/>
        <w:spacing w:before="240" w:after="120"/>
      </w:pPr>
      <w:r>
        <w:rPr>
          <w:color w:val="1F3864"/>
          <w:sz w:val="36"/>
          <w:szCs w:val="36"/>
        </w:rPr>
        <w:t>11. Monitoring &amp; Incident Analysis</w:t>
      </w:r>
    </w:p>
    <w:p>
      <w:pPr>
        <w:spacing w:after="160"/>
      </w:pPr>
      <w:r>
        <w:t xml:space="preserve">This section presents a synthetic IAM authentication log covering the period 2025-05-01 to 2025-05-15, generated from NovaPay’s Okta SSO, AWS Console, Admin Dashboard, Web App, and VPN Portal event streams. The log spans 175 events across 44 identities and 5 systems. Following the log summary, a structured anomaly analysis identifies the highest-priority incidents requiring immediate response, mapped to the control deficiencies documented in Sections 3–10 of this report.</w:t>
      </w:r>
    </w:p>
    <w:p>
      <w:pPr>
        <w:pStyle w:val="Heading2"/>
        <w:spacing w:before="200" w:after="120"/>
      </w:pPr>
      <w:r>
        <w:rPr>
          <w:color w:val="2E75B6"/>
        </w:rPr>
        <w:t>11.1  Authentication Log — Period Overview</w:t>
      </w:r>
    </w:p>
    <w:p>
      <w:pPr>
        <w:spacing w:after="100"/>
      </w:pPr>
      <w:r>
        <w:t>The table below summarises event volume and anomaly distribution across the 15-day observation window.</w:t>
      </w:r>
    </w:p>
    <w:tbl>
      <w:tblPr>
        <w:tblStyle w:val="TableGrid"/>
        <w:tblW w:w="9360" w:type="dxa"/>
        <w:tblBorders>
          <w:top w:val="single" w:sz="4" w:color="2E75B6"/>
          <w:left w:val="single" w:sz="4" w:color="CCCCCC"/>
          <w:bottom w:val="single" w:sz="4" w:color="2E75B6"/>
          <w:right w:val="single" w:sz="4" w:color="CCCCCC"/>
          <w:insideH w:val="single" w:sz="4" w:color="CCCCCC"/>
          <w:insideV w:val="single" w:sz="4" w:color="CCCCCC"/>
        </w:tblBorders>
      </w:tblPr>
      <w:tblGrid>
        <w:gridCol w:w="2600"/>
        <w:gridCol w:w="1560"/>
        <w:gridCol w:w="1560"/>
        <w:gridCol w:w="1560"/>
        <w:gridCol w:w="2080"/>
      </w:tblGrid>
      <w:tr>
        <w:tc>
          <w:tcPr>
            <w:tcW w:w="2600" w:type="dxa"/>
            <w:shd w:val="clear" w:color="auto" w:fill="1F3864"/>
            <w:tcMar>
              <w:top w:w="80" w:type="dxa"/>
              <w:bottom w:w="80" w:type="dxa"/>
              <w:left w:w="120" w:type="dxa"/>
              <w:right w:w="120" w:type="dxa"/>
            </w:tcMar>
          </w:tcPr>
          <w:p>
            <w:r>
              <w:rPr>
                <w:b/>
                <w:color w:val="FFFFFF"/>
                <w:sz w:val="20"/>
              </w:rPr>
              <w:t>Metric</w:t>
            </w:r>
          </w:p>
        </w:tc>
        <w:tc>
          <w:tcPr>
            <w:tcW w:w="1560" w:type="dxa"/>
            <w:shd w:val="clear" w:color="auto" w:fill="1F3864"/>
            <w:tcMar>
              <w:top w:w="80" w:type="dxa"/>
              <w:bottom w:w="80" w:type="dxa"/>
              <w:left w:w="120" w:type="dxa"/>
              <w:right w:w="120" w:type="dxa"/>
            </w:tcMar>
          </w:tcPr>
          <w:p>
            <w:r>
              <w:rPr>
                <w:b/>
                <w:color w:val="FFFFFF"/>
                <w:sz w:val="20"/>
              </w:rPr>
              <w:t>Count</w:t>
            </w:r>
          </w:p>
        </w:tc>
        <w:tc>
          <w:tcPr>
            <w:tcW w:w="1560" w:type="dxa"/>
            <w:shd w:val="clear" w:color="auto" w:fill="1F3864"/>
            <w:tcMar>
              <w:top w:w="80" w:type="dxa"/>
              <w:bottom w:w="80" w:type="dxa"/>
              <w:left w:w="120" w:type="dxa"/>
              <w:right w:w="120" w:type="dxa"/>
            </w:tcMar>
          </w:tcPr>
          <w:p>
            <w:r>
              <w:rPr>
                <w:b/>
                <w:color w:val="FFFFFF"/>
                <w:sz w:val="20"/>
              </w:rPr>
              <w:t>% of Total</w:t>
            </w:r>
          </w:p>
        </w:tc>
        <w:tc>
          <w:tcPr>
            <w:tcW w:w="1560" w:type="dxa"/>
            <w:shd w:val="clear" w:color="auto" w:fill="1F3864"/>
            <w:tcMar>
              <w:top w:w="80" w:type="dxa"/>
              <w:bottom w:w="80" w:type="dxa"/>
              <w:left w:w="120" w:type="dxa"/>
              <w:right w:w="120" w:type="dxa"/>
            </w:tcMar>
          </w:tcPr>
          <w:p>
            <w:r>
              <w:rPr>
                <w:b/>
                <w:color w:val="FFFFFF"/>
                <w:sz w:val="20"/>
              </w:rPr>
              <w:t>Severity</w:t>
            </w:r>
          </w:p>
        </w:tc>
        <w:tc>
          <w:tcPr>
            <w:tcW w:w="2080" w:type="dxa"/>
            <w:shd w:val="clear" w:color="auto" w:fill="1F3864"/>
            <w:tcMar>
              <w:top w:w="80" w:type="dxa"/>
              <w:bottom w:w="80" w:type="dxa"/>
              <w:left w:w="120" w:type="dxa"/>
              <w:right w:w="120" w:type="dxa"/>
            </w:tcMar>
          </w:tcPr>
          <w:p>
            <w:r>
              <w:rPr>
                <w:b/>
                <w:color w:val="FFFFFF"/>
                <w:sz w:val="20"/>
              </w:rPr>
              <w:t>Linked Control Gap</w:t>
            </w:r>
          </w:p>
        </w:tc>
      </w:tr>
      <w:tr>
        <w:tc>
          <w:tcPr>
            <w:tcW w:w="2600" w:type="dxa"/>
            <w:tcMar>
              <w:top w:w="80" w:type="dxa"/>
              <w:bottom w:w="80" w:type="dxa"/>
              <w:left w:w="120" w:type="dxa"/>
              <w:right w:w="120" w:type="dxa"/>
            </w:tcMar>
          </w:tcPr>
          <w:p>
            <w:r>
              <w:rPr>
                <w:sz w:val="20"/>
              </w:rPr>
              <w:t>Total Events</w:t>
            </w:r>
          </w:p>
        </w:tc>
        <w:tc>
          <w:tcPr>
            <w:tcW w:w="1560" w:type="dxa"/>
            <w:tcMar>
              <w:top w:w="80" w:type="dxa"/>
              <w:bottom w:w="80" w:type="dxa"/>
              <w:left w:w="120" w:type="dxa"/>
              <w:right w:w="120" w:type="dxa"/>
            </w:tcMar>
          </w:tcPr>
          <w:p>
            <w:r>
              <w:rPr>
                <w:sz w:val="20"/>
              </w:rPr>
              <w:t>175</w:t>
            </w:r>
          </w:p>
        </w:tc>
        <w:tc>
          <w:tcPr>
            <w:tcW w:w="1560" w:type="dxa"/>
            <w:tcMar>
              <w:top w:w="80" w:type="dxa"/>
              <w:bottom w:w="80" w:type="dxa"/>
              <w:left w:w="120" w:type="dxa"/>
              <w:right w:w="120" w:type="dxa"/>
            </w:tcMar>
          </w:tcPr>
          <w:p>
            <w:r>
              <w:rPr>
                <w:sz w:val="20"/>
              </w:rPr>
              <w:t>100%</w:t>
            </w:r>
          </w:p>
        </w:tc>
        <w:tc>
          <w:tcPr>
            <w:tcW w:w="1560" w:type="dxa"/>
            <w:tcMar>
              <w:top w:w="80" w:type="dxa"/>
              <w:bottom w:w="80" w:type="dxa"/>
              <w:left w:w="120" w:type="dxa"/>
              <w:right w:w="120" w:type="dxa"/>
            </w:tcMar>
          </w:tcPr>
          <w:p>
            <w:r>
              <w:rPr>
                <w:sz w:val="20"/>
              </w:rPr>
              <w:t>—</w:t>
            </w:r>
          </w:p>
        </w:tc>
        <w:tc>
          <w:tcPr>
            <w:tcW w:w="2080" w:type="dxa"/>
            <w:tcMar>
              <w:top w:w="80" w:type="dxa"/>
              <w:bottom w:w="80" w:type="dxa"/>
              <w:left w:w="120" w:type="dxa"/>
              <w:right w:w="120" w:type="dxa"/>
            </w:tcMar>
          </w:tcPr>
          <w:p>
            <w:r>
              <w:rPr>
                <w:sz w:val="20"/>
              </w:rPr>
              <w:t>—</w:t>
            </w:r>
          </w:p>
        </w:tc>
      </w:tr>
      <w:tr>
        <w:tc>
          <w:tcPr>
            <w:tcW w:w="2600" w:type="dxa"/>
            <w:shd w:val="clear" w:fill="EBF3FB"/>
            <w:tcMar>
              <w:top w:w="80" w:type="dxa"/>
              <w:bottom w:w="80" w:type="dxa"/>
              <w:left w:w="120" w:type="dxa"/>
              <w:right w:w="120" w:type="dxa"/>
            </w:tcMar>
          </w:tcPr>
          <w:p>
            <w:r>
              <w:rPr>
                <w:sz w:val="20"/>
              </w:rPr>
              <w:t>Successful Logins</w:t>
            </w:r>
          </w:p>
        </w:tc>
        <w:tc>
          <w:tcPr>
            <w:tcW w:w="1560" w:type="dxa"/>
            <w:shd w:val="clear" w:fill="EBF3FB"/>
            <w:tcMar>
              <w:top w:w="80" w:type="dxa"/>
              <w:bottom w:w="80" w:type="dxa"/>
              <w:left w:w="120" w:type="dxa"/>
              <w:right w:w="120" w:type="dxa"/>
            </w:tcMar>
          </w:tcPr>
          <w:p>
            <w:r>
              <w:rPr>
                <w:sz w:val="20"/>
              </w:rPr>
              <w:t>118</w:t>
            </w:r>
          </w:p>
        </w:tc>
        <w:tc>
          <w:tcPr>
            <w:tcW w:w="1560" w:type="dxa"/>
            <w:shd w:val="clear" w:fill="EBF3FB"/>
            <w:tcMar>
              <w:top w:w="80" w:type="dxa"/>
              <w:bottom w:w="80" w:type="dxa"/>
              <w:left w:w="120" w:type="dxa"/>
              <w:right w:w="120" w:type="dxa"/>
            </w:tcMar>
          </w:tcPr>
          <w:p>
            <w:r>
              <w:rPr>
                <w:sz w:val="20"/>
              </w:rPr>
              <w:t>67.4%</w:t>
            </w:r>
          </w:p>
        </w:tc>
        <w:tc>
          <w:tcPr>
            <w:tcW w:w="1560" w:type="dxa"/>
            <w:shd w:val="clear" w:fill="EBF3FB"/>
            <w:tcMar>
              <w:top w:w="80" w:type="dxa"/>
              <w:bottom w:w="80" w:type="dxa"/>
              <w:left w:w="120" w:type="dxa"/>
              <w:right w:w="120" w:type="dxa"/>
            </w:tcMar>
          </w:tcPr>
          <w:p>
            <w:r>
              <w:rPr>
                <w:sz w:val="20"/>
              </w:rPr>
              <w:t>LOW</w:t>
            </w:r>
          </w:p>
        </w:tc>
        <w:tc>
          <w:tcPr>
            <w:tcW w:w="2080" w:type="dxa"/>
            <w:shd w:val="clear" w:fill="EBF3FB"/>
            <w:tcMar>
              <w:top w:w="80" w:type="dxa"/>
              <w:bottom w:w="80" w:type="dxa"/>
              <w:left w:w="120" w:type="dxa"/>
              <w:right w:w="120" w:type="dxa"/>
            </w:tcMar>
          </w:tcPr>
          <w:p>
            <w:r>
              <w:rPr>
                <w:sz w:val="20"/>
              </w:rPr>
              <w:t>—</w:t>
            </w:r>
          </w:p>
        </w:tc>
      </w:tr>
      <w:tr>
        <w:tc>
          <w:tcPr>
            <w:tcW w:w="2600" w:type="dxa"/>
            <w:tcMar>
              <w:top w:w="80" w:type="dxa"/>
              <w:bottom w:w="80" w:type="dxa"/>
              <w:left w:w="120" w:type="dxa"/>
              <w:right w:w="120" w:type="dxa"/>
            </w:tcMar>
          </w:tcPr>
          <w:p>
            <w:r>
              <w:rPr>
                <w:sz w:val="20"/>
              </w:rPr>
              <w:t>Failed Logins</w:t>
            </w:r>
          </w:p>
        </w:tc>
        <w:tc>
          <w:tcPr>
            <w:tcW w:w="1560" w:type="dxa"/>
            <w:tcMar>
              <w:top w:w="80" w:type="dxa"/>
              <w:bottom w:w="80" w:type="dxa"/>
              <w:left w:w="120" w:type="dxa"/>
              <w:right w:w="120" w:type="dxa"/>
            </w:tcMar>
          </w:tcPr>
          <w:p>
            <w:r>
              <w:rPr>
                <w:sz w:val="20"/>
              </w:rPr>
              <w:t>19</w:t>
            </w:r>
          </w:p>
        </w:tc>
        <w:tc>
          <w:tcPr>
            <w:tcW w:w="1560" w:type="dxa"/>
            <w:tcMar>
              <w:top w:w="80" w:type="dxa"/>
              <w:bottom w:w="80" w:type="dxa"/>
              <w:left w:w="120" w:type="dxa"/>
              <w:right w:w="120" w:type="dxa"/>
            </w:tcMar>
          </w:tcPr>
          <w:p>
            <w:r>
              <w:rPr>
                <w:sz w:val="20"/>
              </w:rPr>
              <w:t>10.9%</w:t>
            </w:r>
          </w:p>
        </w:tc>
        <w:tc>
          <w:tcPr>
            <w:tcW w:w="1560" w:type="dxa"/>
            <w:tcMar>
              <w:top w:w="80" w:type="dxa"/>
              <w:bottom w:w="80" w:type="dxa"/>
              <w:left w:w="120" w:type="dxa"/>
              <w:right w:w="120" w:type="dxa"/>
            </w:tcMar>
          </w:tcPr>
          <w:p>
            <w:r>
              <w:rPr>
                <w:color w:val="C55A11"/>
                <w:b/>
                <w:sz w:val="20"/>
              </w:rPr>
              <w:t>HIGH</w:t>
            </w:r>
          </w:p>
        </w:tc>
        <w:tc>
          <w:tcPr>
            <w:tcW w:w="2080" w:type="dxa"/>
            <w:tcMar>
              <w:top w:w="80" w:type="dxa"/>
              <w:bottom w:w="80" w:type="dxa"/>
              <w:left w:w="120" w:type="dxa"/>
              <w:right w:w="120" w:type="dxa"/>
            </w:tcMar>
          </w:tcPr>
          <w:p>
            <w:r>
              <w:rPr>
                <w:sz w:val="20"/>
              </w:rPr>
              <w:t>MFA-01, CTL-MON</w:t>
            </w:r>
          </w:p>
        </w:tc>
      </w:tr>
      <w:tr>
        <w:tc>
          <w:tcPr>
            <w:tcW w:w="2600" w:type="dxa"/>
            <w:shd w:val="clear" w:fill="EBF3FB"/>
            <w:tcMar>
              <w:top w:w="80" w:type="dxa"/>
              <w:bottom w:w="80" w:type="dxa"/>
              <w:left w:w="120" w:type="dxa"/>
              <w:right w:w="120" w:type="dxa"/>
            </w:tcMar>
          </w:tcPr>
          <w:p>
            <w:r>
              <w:rPr>
                <w:sz w:val="20"/>
              </w:rPr>
              <w:t>MFA Failures</w:t>
            </w:r>
          </w:p>
        </w:tc>
        <w:tc>
          <w:tcPr>
            <w:tcW w:w="1560" w:type="dxa"/>
            <w:shd w:val="clear" w:fill="EBF3FB"/>
            <w:tcMar>
              <w:top w:w="80" w:type="dxa"/>
              <w:bottom w:w="80" w:type="dxa"/>
              <w:left w:w="120" w:type="dxa"/>
              <w:right w:w="120" w:type="dxa"/>
            </w:tcMar>
          </w:tcPr>
          <w:p>
            <w:r>
              <w:rPr>
                <w:sz w:val="20"/>
              </w:rPr>
              <w:t>11</w:t>
            </w:r>
          </w:p>
        </w:tc>
        <w:tc>
          <w:tcPr>
            <w:tcW w:w="1560" w:type="dxa"/>
            <w:shd w:val="clear" w:fill="EBF3FB"/>
            <w:tcMar>
              <w:top w:w="80" w:type="dxa"/>
              <w:bottom w:w="80" w:type="dxa"/>
              <w:left w:w="120" w:type="dxa"/>
              <w:right w:w="120" w:type="dxa"/>
            </w:tcMar>
          </w:tcPr>
          <w:p>
            <w:r>
              <w:rPr>
                <w:sz w:val="20"/>
              </w:rPr>
              <w:t>6.3%</w:t>
            </w:r>
          </w:p>
        </w:tc>
        <w:tc>
          <w:tcPr>
            <w:tcW w:w="1560" w:type="dxa"/>
            <w:shd w:val="clear" w:fill="EBF3FB"/>
            <w:tcMar>
              <w:top w:w="80" w:type="dxa"/>
              <w:bottom w:w="80" w:type="dxa"/>
              <w:left w:w="120" w:type="dxa"/>
              <w:right w:w="120" w:type="dxa"/>
            </w:tcMar>
          </w:tcPr>
          <w:p>
            <w:r>
              <w:rPr>
                <w:color w:val="C55A11"/>
                <w:b/>
                <w:sz w:val="20"/>
              </w:rPr>
              <w:t>HIGH</w:t>
            </w:r>
          </w:p>
        </w:tc>
        <w:tc>
          <w:tcPr>
            <w:tcW w:w="2080" w:type="dxa"/>
            <w:shd w:val="clear" w:fill="EBF3FB"/>
            <w:tcMar>
              <w:top w:w="80" w:type="dxa"/>
              <w:bottom w:w="80" w:type="dxa"/>
              <w:left w:w="120" w:type="dxa"/>
              <w:right w:w="120" w:type="dxa"/>
            </w:tcMar>
          </w:tcPr>
          <w:p>
            <w:r>
              <w:rPr>
                <w:sz w:val="20"/>
              </w:rPr>
              <w:t>MFA-01, MFA-02</w:t>
            </w:r>
          </w:p>
        </w:tc>
      </w:tr>
      <w:tr>
        <w:tc>
          <w:tcPr>
            <w:tcW w:w="2600" w:type="dxa"/>
            <w:tcMar>
              <w:top w:w="80" w:type="dxa"/>
              <w:bottom w:w="80" w:type="dxa"/>
              <w:left w:w="120" w:type="dxa"/>
              <w:right w:w="120" w:type="dxa"/>
            </w:tcMar>
          </w:tcPr>
          <w:p>
            <w:r>
              <w:rPr>
                <w:sz w:val="20"/>
              </w:rPr>
              <w:t>Suspicious Geo / Impossible Travel</w:t>
            </w:r>
          </w:p>
        </w:tc>
        <w:tc>
          <w:tcPr>
            <w:tcW w:w="1560" w:type="dxa"/>
            <w:tcMar>
              <w:top w:w="80" w:type="dxa"/>
              <w:bottom w:w="80" w:type="dxa"/>
              <w:left w:w="120" w:type="dxa"/>
              <w:right w:w="120" w:type="dxa"/>
            </w:tcMar>
          </w:tcPr>
          <w:p>
            <w:r>
              <w:rPr>
                <w:sz w:val="20"/>
              </w:rPr>
              <w:t>13</w:t>
            </w:r>
          </w:p>
        </w:tc>
        <w:tc>
          <w:tcPr>
            <w:tcW w:w="1560" w:type="dxa"/>
            <w:tcMar>
              <w:top w:w="80" w:type="dxa"/>
              <w:bottom w:w="80" w:type="dxa"/>
              <w:left w:w="120" w:type="dxa"/>
              <w:right w:w="120" w:type="dxa"/>
            </w:tcMar>
          </w:tcPr>
          <w:p>
            <w:r>
              <w:rPr>
                <w:sz w:val="20"/>
              </w:rPr>
              <w:t>7.4%</w:t>
            </w:r>
          </w:p>
        </w:tc>
        <w:tc>
          <w:tcPr>
            <w:tcW w:w="1560" w:type="dxa"/>
            <w:tcMar>
              <w:top w:w="80" w:type="dxa"/>
              <w:bottom w:w="80" w:type="dxa"/>
              <w:left w:w="120" w:type="dxa"/>
              <w:right w:w="120" w:type="dxa"/>
            </w:tcMar>
          </w:tcPr>
          <w:p>
            <w:r>
              <w:rPr>
                <w:color w:val="C55A11"/>
                <w:b/>
                <w:sz w:val="20"/>
              </w:rPr>
              <w:t>HIGH</w:t>
            </w:r>
          </w:p>
        </w:tc>
        <w:tc>
          <w:tcPr>
            <w:tcW w:w="2080" w:type="dxa"/>
            <w:tcMar>
              <w:top w:w="80" w:type="dxa"/>
              <w:bottom w:w="80" w:type="dxa"/>
              <w:left w:w="120" w:type="dxa"/>
              <w:right w:w="120" w:type="dxa"/>
            </w:tcMar>
          </w:tcPr>
          <w:p>
            <w:r>
              <w:rPr>
                <w:sz w:val="20"/>
              </w:rPr>
              <w:t>MON-03, CTL-LPE</w:t>
            </w:r>
          </w:p>
        </w:tc>
      </w:tr>
      <w:tr>
        <w:tc>
          <w:tcPr>
            <w:tcW w:w="2600" w:type="dxa"/>
            <w:shd w:val="clear" w:fill="EBF3FB"/>
            <w:tcMar>
              <w:top w:w="80" w:type="dxa"/>
              <w:bottom w:w="80" w:type="dxa"/>
              <w:left w:w="120" w:type="dxa"/>
              <w:right w:w="120" w:type="dxa"/>
            </w:tcMar>
          </w:tcPr>
          <w:p>
            <w:r>
              <w:rPr>
                <w:sz w:val="20"/>
              </w:rPr>
              <w:t>Privilege Escalation Attempts</w:t>
            </w:r>
          </w:p>
        </w:tc>
        <w:tc>
          <w:tcPr>
            <w:tcW w:w="1560" w:type="dxa"/>
            <w:shd w:val="clear" w:fill="EBF3FB"/>
            <w:tcMar>
              <w:top w:w="80" w:type="dxa"/>
              <w:bottom w:w="80" w:type="dxa"/>
              <w:left w:w="120" w:type="dxa"/>
              <w:right w:w="120" w:type="dxa"/>
            </w:tcMar>
          </w:tcPr>
          <w:p>
            <w:r>
              <w:rPr>
                <w:sz w:val="20"/>
              </w:rPr>
              <w:t>8</w:t>
            </w:r>
          </w:p>
        </w:tc>
        <w:tc>
          <w:tcPr>
            <w:tcW w:w="1560" w:type="dxa"/>
            <w:shd w:val="clear" w:fill="EBF3FB"/>
            <w:tcMar>
              <w:top w:w="80" w:type="dxa"/>
              <w:bottom w:w="80" w:type="dxa"/>
              <w:left w:w="120" w:type="dxa"/>
              <w:right w:w="120" w:type="dxa"/>
            </w:tcMar>
          </w:tcPr>
          <w:p>
            <w:r>
              <w:rPr>
                <w:sz w:val="20"/>
              </w:rPr>
              <w:t>4.6%</w:t>
            </w:r>
          </w:p>
        </w:tc>
        <w:tc>
          <w:tcPr>
            <w:tcW w:w="1560" w:type="dxa"/>
            <w:shd w:val="clear" w:fill="EBF3FB"/>
            <w:tcMar>
              <w:top w:w="80" w:type="dxa"/>
              <w:bottom w:w="80" w:type="dxa"/>
              <w:left w:w="120" w:type="dxa"/>
              <w:right w:w="120" w:type="dxa"/>
            </w:tcMar>
          </w:tcPr>
          <w:p>
            <w:r>
              <w:rPr>
                <w:color w:val="C55A11"/>
                <w:b/>
                <w:sz w:val="20"/>
              </w:rPr>
              <w:t>HIGH</w:t>
            </w:r>
          </w:p>
        </w:tc>
        <w:tc>
          <w:tcPr>
            <w:tcW w:w="2080" w:type="dxa"/>
            <w:shd w:val="clear" w:fill="EBF3FB"/>
            <w:tcMar>
              <w:top w:w="80" w:type="dxa"/>
              <w:bottom w:w="80" w:type="dxa"/>
              <w:left w:w="120" w:type="dxa"/>
              <w:right w:w="120" w:type="dxa"/>
            </w:tcMar>
          </w:tcPr>
          <w:p>
            <w:r>
              <w:rPr>
                <w:sz w:val="20"/>
              </w:rPr>
              <w:t>CTL-RBAC, CTL-PAM</w:t>
            </w:r>
          </w:p>
        </w:tc>
      </w:tr>
      <w:tr>
        <w:tc>
          <w:tcPr>
            <w:tcW w:w="2600" w:type="dxa"/>
            <w:tcMar>
              <w:top w:w="80" w:type="dxa"/>
              <w:bottom w:w="80" w:type="dxa"/>
              <w:left w:w="120" w:type="dxa"/>
              <w:right w:w="120" w:type="dxa"/>
            </w:tcMar>
          </w:tcPr>
          <w:p>
            <w:r>
              <w:rPr>
                <w:sz w:val="20"/>
              </w:rPr>
              <w:t>Terminated Account Access</w:t>
            </w:r>
          </w:p>
        </w:tc>
        <w:tc>
          <w:tcPr>
            <w:tcW w:w="1560" w:type="dxa"/>
            <w:tcMar>
              <w:top w:w="80" w:type="dxa"/>
              <w:bottom w:w="80" w:type="dxa"/>
              <w:left w:w="120" w:type="dxa"/>
              <w:right w:w="120" w:type="dxa"/>
            </w:tcMar>
          </w:tcPr>
          <w:p>
            <w:r>
              <w:rPr>
                <w:sz w:val="20"/>
              </w:rPr>
              <w:t>6</w:t>
            </w:r>
          </w:p>
        </w:tc>
        <w:tc>
          <w:tcPr>
            <w:tcW w:w="1560" w:type="dxa"/>
            <w:tcMar>
              <w:top w:w="80" w:type="dxa"/>
              <w:bottom w:w="80" w:type="dxa"/>
              <w:left w:w="120" w:type="dxa"/>
              <w:right w:w="120" w:type="dxa"/>
            </w:tcMar>
          </w:tcPr>
          <w:p>
            <w:r>
              <w:rPr>
                <w:sz w:val="20"/>
              </w:rPr>
              <w:t>3.4%</w:t>
            </w:r>
          </w:p>
        </w:tc>
        <w:tc>
          <w:tcPr>
            <w:tcW w:w="1560" w:type="dxa"/>
            <w:tcMar>
              <w:top w:w="80" w:type="dxa"/>
              <w:bottom w:w="80" w:type="dxa"/>
              <w:left w:w="120" w:type="dxa"/>
              <w:right w:w="120" w:type="dxa"/>
            </w:tcMar>
          </w:tcPr>
          <w:p>
            <w:r>
              <w:rPr>
                <w:color w:val="C00000"/>
                <w:b/>
                <w:sz w:val="20"/>
              </w:rPr>
              <w:t>CRITICAL</w:t>
            </w:r>
          </w:p>
        </w:tc>
        <w:tc>
          <w:tcPr>
            <w:tcW w:w="2080" w:type="dxa"/>
            <w:tcMar>
              <w:top w:w="80" w:type="dxa"/>
              <w:bottom w:w="80" w:type="dxa"/>
              <w:left w:w="120" w:type="dxa"/>
              <w:right w:w="120" w:type="dxa"/>
            </w:tcMar>
          </w:tcPr>
          <w:p>
            <w:r>
              <w:rPr>
                <w:sz w:val="20"/>
              </w:rPr>
              <w:t>CTL-LCM, MON-01</w:t>
            </w:r>
          </w:p>
        </w:tc>
      </w:tr>
      <w:tr>
        <w:tc>
          <w:tcPr>
            <w:tcW w:w="2600" w:type="dxa"/>
            <w:shd w:val="clear" w:fill="EBF3FB"/>
            <w:tcMar>
              <w:top w:w="80" w:type="dxa"/>
              <w:bottom w:w="80" w:type="dxa"/>
              <w:left w:w="120" w:type="dxa"/>
              <w:right w:w="120" w:type="dxa"/>
            </w:tcMar>
          </w:tcPr>
          <w:p>
            <w:r>
              <w:rPr>
                <w:sz w:val="20"/>
              </w:rPr>
              <w:t>MFA-Exempt Logins (No 2FA)</w:t>
            </w:r>
          </w:p>
        </w:tc>
        <w:tc>
          <w:tcPr>
            <w:tcW w:w="1560" w:type="dxa"/>
            <w:shd w:val="clear" w:fill="EBF3FB"/>
            <w:tcMar>
              <w:top w:w="80" w:type="dxa"/>
              <w:bottom w:w="80" w:type="dxa"/>
              <w:left w:w="120" w:type="dxa"/>
              <w:right w:w="120" w:type="dxa"/>
            </w:tcMar>
          </w:tcPr>
          <w:p>
            <w:r>
              <w:rPr>
                <w:sz w:val="20"/>
              </w:rPr>
              <w:t>13</w:t>
            </w:r>
          </w:p>
        </w:tc>
        <w:tc>
          <w:tcPr>
            <w:tcW w:w="1560" w:type="dxa"/>
            <w:shd w:val="clear" w:fill="EBF3FB"/>
            <w:tcMar>
              <w:top w:w="80" w:type="dxa"/>
              <w:bottom w:w="80" w:type="dxa"/>
              <w:left w:w="120" w:type="dxa"/>
              <w:right w:w="120" w:type="dxa"/>
            </w:tcMar>
          </w:tcPr>
          <w:p>
            <w:r>
              <w:rPr>
                <w:sz w:val="20"/>
              </w:rPr>
              <w:t>7.4%</w:t>
            </w:r>
          </w:p>
        </w:tc>
        <w:tc>
          <w:tcPr>
            <w:tcW w:w="1560" w:type="dxa"/>
            <w:shd w:val="clear" w:fill="EBF3FB"/>
            <w:tcMar>
              <w:top w:w="80" w:type="dxa"/>
              <w:bottom w:w="80" w:type="dxa"/>
              <w:left w:w="120" w:type="dxa"/>
              <w:right w:w="120" w:type="dxa"/>
            </w:tcMar>
          </w:tcPr>
          <w:p>
            <w:r>
              <w:rPr>
                <w:color w:val="C55A11"/>
                <w:b/>
                <w:sz w:val="20"/>
              </w:rPr>
              <w:t>MEDIUM</w:t>
            </w:r>
          </w:p>
        </w:tc>
        <w:tc>
          <w:tcPr>
            <w:tcW w:w="2080" w:type="dxa"/>
            <w:shd w:val="clear" w:fill="EBF3FB"/>
            <w:tcMar>
              <w:top w:w="80" w:type="dxa"/>
              <w:bottom w:w="80" w:type="dxa"/>
              <w:left w:w="120" w:type="dxa"/>
              <w:right w:w="120" w:type="dxa"/>
            </w:tcMar>
          </w:tcPr>
          <w:p>
            <w:r>
              <w:rPr>
                <w:sz w:val="20"/>
              </w:rPr>
              <w:t>MFA-01, R-007</w:t>
            </w:r>
          </w:p>
        </w:tc>
      </w:tr>
    </w:tbl>
    <w:p>
      <w:pPr>
        <w:spacing w:after="120"/>
      </w:pPr>
    </w:p>
    <w:p>
      <w:pPr>
        <w:pStyle w:val="Heading2"/>
        <w:spacing w:before="200" w:after="120"/>
      </w:pPr>
      <w:r>
        <w:rPr>
          <w:color w:val="2E75B6"/>
        </w:rPr>
        <w:t>11.2  Anomaly Analysis — Identified Incidents</w:t>
      </w:r>
    </w:p>
    <w:p>
      <w:pPr>
        <w:spacing w:after="120"/>
      </w:pPr>
      <w:r>
        <w:t xml:space="preserve">The following six anomaly clusters were extracted from the 15-day log by correlating event type, risk score, anomaly flag, and user context. Each incident is assigned a priority rating, a root cause mapped to a known IAM finding, and a recommended response action tied to the control framework.</w:t>
      </w:r>
    </w:p>
    <w:p>
      <w:pPr>
        <w:pStyle w:val="Heading2"/>
        <w:spacing w:before="160" w:after="80"/>
      </w:pPr>
      <w:r>
        <w:rPr>
          <w:color w:val="C00000"/>
          <w:b/>
        </w:rPr>
        <w:t>INCIDENT-001  |  CRITICAL  |  Terminated Accounts Actively Authenticating</w:t>
      </w:r>
    </w:p>
    <w:tbl>
      <w:tblPr>
        <w:tblW w:w="9360" w:type="dxa"/>
        <w:tblBorders>
          <w:top w:val="single" w:sz="4" w:color="C00000"/>
          <w:left w:val="single" w:sz="4" w:color="CCCCCC"/>
          <w:bottom w:val="single" w:sz="4" w:color="C00000"/>
          <w:right w:val="single" w:sz="4" w:color="CCCCCC"/>
          <w:insideH w:val="single" w:sz="4" w:color="CCCCCC"/>
          <w:insideV w:val="single" w:sz="4" w:color="CCCCCC"/>
        </w:tblBorders>
      </w:tblPr>
      <w:tblGrid>
        <w:gridCol w:w="1800"/>
        <w:gridCol w:w="7560"/>
      </w:tblGrid>
      <w:tr>
        <w:tc>
          <w:tcPr>
            <w:tcW w:w="1800" w:type="dxa"/>
            <w:shd w:val="clear" w:fill="FDECEA"/>
            <w:tcMar>
              <w:top w:w="80" w:type="dxa"/>
              <w:bottom w:w="80" w:type="dxa"/>
              <w:left w:w="120" w:type="dxa"/>
              <w:right w:w="120" w:type="dxa"/>
            </w:tcMar>
          </w:tcPr>
          <w:p>
            <w:r>
              <w:rPr>
                <w:b/>
                <w:sz w:val="20"/>
              </w:rPr>
              <w:t>Risk Score</w:t>
            </w:r>
          </w:p>
        </w:tc>
        <w:tc>
          <w:tcPr>
            <w:tcW w:w="7560" w:type="dxa"/>
            <w:tcMar>
              <w:top w:w="80" w:type="dxa"/>
              <w:bottom w:w="80" w:type="dxa"/>
              <w:left w:w="120" w:type="dxa"/>
              <w:right w:w="120" w:type="dxa"/>
            </w:tcMar>
          </w:tcPr>
          <w:p>
            <w:r>
              <w:rPr>
                <w:color w:val="C00000"/>
                <w:b/>
                <w:sz w:val="20"/>
              </w:rPr>
              <w:t>95 / 100 — CRITICAL</w:t>
            </w:r>
          </w:p>
        </w:tc>
      </w:tr>
      <w:tr>
        <w:tc>
          <w:tcPr>
            <w:tcW w:w="1800" w:type="dxa"/>
            <w:shd w:val="clear" w:fill="FDECEA"/>
            <w:tcMar>
              <w:top w:w="80" w:type="dxa"/>
              <w:bottom w:w="80" w:type="dxa"/>
              <w:left w:w="120" w:type="dxa"/>
              <w:right w:w="120" w:type="dxa"/>
            </w:tcMar>
          </w:tcPr>
          <w:p>
            <w:r>
              <w:rPr>
                <w:b/>
                <w:sz w:val="20"/>
              </w:rPr>
              <w:t>Affected Users</w:t>
            </w:r>
          </w:p>
        </w:tc>
        <w:tc>
          <w:tcPr>
            <w:tcW w:w="7560" w:type="dxa"/>
            <w:tcMar>
              <w:top w:w="80" w:type="dxa"/>
              <w:bottom w:w="80" w:type="dxa"/>
              <w:left w:w="120" w:type="dxa"/>
              <w:right w:w="120" w:type="dxa"/>
            </w:tcMar>
          </w:tcPr>
          <w:p>
            <w:r>
              <w:rPr>
                <w:sz w:val="20"/>
              </w:rPr>
              <w:t xml:space="preserve">USR-8001 (Chris Alderton, Developer Senior) and USR-8003 (Nonso Eze, Support T2) — both marked terminated in HR system</w:t>
            </w:r>
          </w:p>
        </w:tc>
      </w:tr>
      <w:tr>
        <w:tc>
          <w:tcPr>
            <w:tcW w:w="1800" w:type="dxa"/>
            <w:shd w:val="clear" w:fill="FDECEA"/>
            <w:tcMar>
              <w:top w:w="80" w:type="dxa"/>
              <w:bottom w:w="80" w:type="dxa"/>
              <w:left w:w="120" w:type="dxa"/>
              <w:right w:w="120" w:type="dxa"/>
            </w:tcMar>
          </w:tcPr>
          <w:p>
            <w:r>
              <w:rPr>
                <w:b/>
                <w:sz w:val="20"/>
              </w:rPr>
              <w:t>Key Events</w:t>
            </w:r>
          </w:p>
        </w:tc>
        <w:tc>
          <w:tcPr>
            <w:tcW w:w="7560" w:type="dxa"/>
            <w:tcMar>
              <w:top w:w="80" w:type="dxa"/>
              <w:bottom w:w="80" w:type="dxa"/>
              <w:left w:w="120" w:type="dxa"/>
              <w:right w:w="120" w:type="dxa"/>
            </w:tcMar>
          </w:tcPr>
          <w:p>
            <w:r>
              <w:rPr>
                <w:sz w:val="20"/>
              </w:rPr>
              <w:t xml:space="preserve">EVT-1147: USR-8001 authenticated to Web App from VPS in Minsk, Belarus (2025-05-06 05:19). EVT-1149 and EVT-1151: USR-8003 authenticated to AWS Console and Admin Dashboard from VPS in Minsk (2025-05-03 and 2025-05-08). Combined: 6 successful logins across two terminated identities over 8 days.</w:t>
            </w:r>
          </w:p>
        </w:tc>
      </w:tr>
      <w:tr>
        <w:tc>
          <w:tcPr>
            <w:tcW w:w="1800" w:type="dxa"/>
            <w:shd w:val="clear" w:fill="FDECEA"/>
            <w:tcMar>
              <w:top w:w="80" w:type="dxa"/>
              <w:bottom w:w="80" w:type="dxa"/>
              <w:left w:w="120" w:type="dxa"/>
              <w:right w:w="120" w:type="dxa"/>
            </w:tcMar>
          </w:tcPr>
          <w:p>
            <w:r>
              <w:rPr>
                <w:b/>
                <w:sz w:val="20"/>
              </w:rPr>
              <w:t>Root Cause</w:t>
            </w:r>
          </w:p>
        </w:tc>
        <w:tc>
          <w:tcPr>
            <w:tcW w:w="7560" w:type="dxa"/>
            <w:tcMar>
              <w:top w:w="80" w:type="dxa"/>
              <w:bottom w:w="80" w:type="dxa"/>
              <w:left w:w="120" w:type="dxa"/>
              <w:right w:w="120" w:type="dxa"/>
            </w:tcMar>
          </w:tcPr>
          <w:p>
            <w:r>
              <w:rPr>
                <w:sz w:val="20"/>
              </w:rPr>
              <w:t xml:space="preserve">Offboarding workflow failure: Okta accounts and AWS IAM roles were not deprovisioned on HR termination date. Credentials remain valid. Consistent with Finding R-004 (orphaned accounts) and the absence of automated lifecycle management (CTL-LCM gap).</w:t>
            </w:r>
          </w:p>
        </w:tc>
      </w:tr>
      <w:tr>
        <w:tc>
          <w:tcPr>
            <w:tcW w:w="1800" w:type="dxa"/>
            <w:shd w:val="clear" w:fill="FDECEA"/>
            <w:tcMar>
              <w:top w:w="80" w:type="dxa"/>
              <w:bottom w:w="80" w:type="dxa"/>
              <w:left w:w="120" w:type="dxa"/>
              <w:right w:w="120" w:type="dxa"/>
            </w:tcMar>
          </w:tcPr>
          <w:p>
            <w:r>
              <w:rPr>
                <w:b/>
                <w:sz w:val="20"/>
              </w:rPr>
              <w:t>Required Action</w:t>
            </w:r>
          </w:p>
        </w:tc>
        <w:tc>
          <w:tcPr>
            <w:tcW w:w="7560" w:type="dxa"/>
            <w:tcMar>
              <w:top w:w="80" w:type="dxa"/>
              <w:bottom w:w="80" w:type="dxa"/>
              <w:left w:w="120" w:type="dxa"/>
              <w:right w:w="120" w:type="dxa"/>
            </w:tcMar>
          </w:tcPr>
          <w:p>
            <w:r>
              <w:rPr>
                <w:b/>
                <w:color w:val="C00000"/>
                <w:sz w:val="20"/>
              </w:rPr>
              <w:t xml:space="preserve">IMMEDIATE: Suspend USR-8001 and USR-8003 in Okta and revoke all AWS IAM roles. Initiate forensic review of all sessions originating from VPS / Minsk IPs. Escalate to CISO within 1 hour. Implement LCM-01 (automated offboarding) within 7 days.</w:t>
            </w:r>
          </w:p>
        </w:tc>
      </w:tr>
    </w:tbl>
    <w:p>
      <w:pPr>
        <w:spacing w:after="120"/>
      </w:pPr>
    </w:p>
    <w:p>
      <w:pPr>
        <w:pStyle w:val="Heading2"/>
        <w:spacing w:before="160" w:after="80"/>
      </w:pPr>
      <w:r>
        <w:rPr>
          <w:color w:val="C00000"/>
          <w:b/>
        </w:rPr>
        <w:t>INCIDENT-002  |  CRITICAL  |  Super-Admin Brute Force Attack (7 Failures in &lt;10 Minutes)</w:t>
      </w:r>
    </w:p>
    <w:tbl>
      <w:tblPr>
        <w:tblW w:w="9360" w:type="dxa"/>
        <w:tblBorders>
          <w:top w:val="single" w:sz="4" w:color="C00000"/>
          <w:left w:val="single" w:sz="4" w:color="CCCCCC"/>
          <w:bottom w:val="single" w:sz="4" w:color="C00000"/>
          <w:right w:val="single" w:sz="4" w:color="CCCCCC"/>
          <w:insideH w:val="single" w:sz="4" w:color="CCCCCC"/>
          <w:insideV w:val="single" w:sz="4" w:color="CCCCCC"/>
        </w:tblBorders>
      </w:tblPr>
      <w:tblGrid>
        <w:gridCol w:w="1800"/>
        <w:gridCol w:w="7560"/>
      </w:tblGrid>
      <w:tr>
        <w:tc>
          <w:tcPr>
            <w:tcW w:w="1800" w:type="dxa"/>
            <w:shd w:val="clear" w:fill="FDECEA"/>
            <w:tcMar>
              <w:top w:w="80" w:type="dxa"/>
              <w:bottom w:w="80" w:type="dxa"/>
              <w:left w:w="120" w:type="dxa"/>
              <w:right w:w="120" w:type="dxa"/>
            </w:tcMar>
          </w:tcPr>
          <w:p>
            <w:r>
              <w:rPr>
                <w:b/>
                <w:sz w:val="20"/>
              </w:rPr>
              <w:t>Risk Score</w:t>
            </w:r>
          </w:p>
        </w:tc>
        <w:tc>
          <w:tcPr>
            <w:tcW w:w="7560" w:type="dxa"/>
            <w:tcMar>
              <w:top w:w="80" w:type="dxa"/>
              <w:bottom w:w="80" w:type="dxa"/>
              <w:left w:w="120" w:type="dxa"/>
              <w:right w:w="120" w:type="dxa"/>
            </w:tcMar>
          </w:tcPr>
          <w:p>
            <w:r>
              <w:rPr>
                <w:color w:val="C00000"/>
                <w:b/>
                <w:sz w:val="20"/>
              </w:rPr>
              <w:t>70 / 100 — HIGH (elevated to CRITICAL given account privilege level)</w:t>
            </w:r>
          </w:p>
        </w:tc>
      </w:tr>
      <w:tr>
        <w:tc>
          <w:tcPr>
            <w:tcW w:w="1800" w:type="dxa"/>
            <w:shd w:val="clear" w:fill="FDECEA"/>
            <w:tcMar>
              <w:top w:w="80" w:type="dxa"/>
              <w:bottom w:w="80" w:type="dxa"/>
              <w:left w:w="120" w:type="dxa"/>
              <w:right w:w="120" w:type="dxa"/>
            </w:tcMar>
          </w:tcPr>
          <w:p>
            <w:r>
              <w:rPr>
                <w:b/>
                <w:sz w:val="20"/>
              </w:rPr>
              <w:t>Affected User</w:t>
            </w:r>
          </w:p>
        </w:tc>
        <w:tc>
          <w:tcPr>
            <w:tcW w:w="7560" w:type="dxa"/>
            <w:tcMar>
              <w:top w:w="80" w:type="dxa"/>
              <w:bottom w:w="80" w:type="dxa"/>
              <w:left w:w="120" w:type="dxa"/>
              <w:right w:w="120" w:type="dxa"/>
            </w:tcMar>
          </w:tcPr>
          <w:p>
            <w:r>
              <w:rPr>
                <w:sz w:val="20"/>
              </w:rPr>
              <w:t>USR-5003 (James Obi, Super-Admin, Security department)</w:t>
            </w:r>
          </w:p>
        </w:tc>
      </w:tr>
      <w:tr>
        <w:tc>
          <w:tcPr>
            <w:tcW w:w="1800" w:type="dxa"/>
            <w:shd w:val="clear" w:fill="FDECEA"/>
            <w:tcMar>
              <w:top w:w="80" w:type="dxa"/>
              <w:bottom w:w="80" w:type="dxa"/>
              <w:left w:w="120" w:type="dxa"/>
              <w:right w:w="120" w:type="dxa"/>
            </w:tcMar>
          </w:tcPr>
          <w:p>
            <w:r>
              <w:rPr>
                <w:b/>
                <w:sz w:val="20"/>
              </w:rPr>
              <w:t>Key Events</w:t>
            </w:r>
          </w:p>
        </w:tc>
        <w:tc>
          <w:tcPr>
            <w:tcW w:w="7560" w:type="dxa"/>
            <w:tcMar>
              <w:top w:w="80" w:type="dxa"/>
              <w:bottom w:w="80" w:type="dxa"/>
              <w:left w:w="120" w:type="dxa"/>
              <w:right w:w="120" w:type="dxa"/>
            </w:tcMar>
          </w:tcPr>
          <w:p>
            <w:r>
              <w:rPr>
                <w:sz w:val="20"/>
              </w:rPr>
              <w:t xml:space="preserve">EVT-1088 through EVT-1094: Seven consecutive INVALID_PASSWORD failures against USR-5003 between 01:37 and 01:47 on 2025-05-08, spanning Okta SSO, Admin Dashboard, and Web App. Anomaly flag: BRUTE_FORCE. No account lockout triggered. The same account later authenticated successfully (EVT-1136) and appeared from a VPS in Panama City (EVT-1137).</w:t>
            </w:r>
          </w:p>
        </w:tc>
      </w:tr>
      <w:tr>
        <w:tc>
          <w:tcPr>
            <w:tcW w:w="1800" w:type="dxa"/>
            <w:shd w:val="clear" w:fill="FDECEA"/>
            <w:tcMar>
              <w:top w:w="80" w:type="dxa"/>
              <w:bottom w:w="80" w:type="dxa"/>
              <w:left w:w="120" w:type="dxa"/>
              <w:right w:w="120" w:type="dxa"/>
            </w:tcMar>
          </w:tcPr>
          <w:p>
            <w:r>
              <w:rPr>
                <w:b/>
                <w:sz w:val="20"/>
              </w:rPr>
              <w:t>Root Cause</w:t>
            </w:r>
          </w:p>
        </w:tc>
        <w:tc>
          <w:tcPr>
            <w:tcW w:w="7560" w:type="dxa"/>
            <w:tcMar>
              <w:top w:w="80" w:type="dxa"/>
              <w:bottom w:w="80" w:type="dxa"/>
              <w:left w:w="120" w:type="dxa"/>
              <w:right w:w="120" w:type="dxa"/>
            </w:tcMar>
          </w:tcPr>
          <w:p>
            <w:r>
              <w:rPr>
                <w:sz w:val="20"/>
              </w:rPr>
              <w:t xml:space="preserve">Absence of account lockout policy for repeated authentication failures. Credential-stuffing or targeted brute-force attack against the highest-privilege account in the environment. Consistent with CTL-PWD gap (no lockout threshold) and CTL-MON gap (no real-time burst alert).</w:t>
            </w:r>
          </w:p>
        </w:tc>
      </w:tr>
      <w:tr>
        <w:tc>
          <w:tcPr>
            <w:tcW w:w="1800" w:type="dxa"/>
            <w:shd w:val="clear" w:fill="FDECEA"/>
            <w:tcMar>
              <w:top w:w="80" w:type="dxa"/>
              <w:bottom w:w="80" w:type="dxa"/>
              <w:left w:w="120" w:type="dxa"/>
              <w:right w:w="120" w:type="dxa"/>
            </w:tcMar>
          </w:tcPr>
          <w:p>
            <w:r>
              <w:rPr>
                <w:b/>
                <w:sz w:val="20"/>
              </w:rPr>
              <w:t>Required Action</w:t>
            </w:r>
          </w:p>
        </w:tc>
        <w:tc>
          <w:tcPr>
            <w:tcW w:w="7560" w:type="dxa"/>
            <w:tcMar>
              <w:top w:w="80" w:type="dxa"/>
              <w:bottom w:w="80" w:type="dxa"/>
              <w:left w:w="120" w:type="dxa"/>
              <w:right w:w="120" w:type="dxa"/>
            </w:tcMar>
          </w:tcPr>
          <w:p>
            <w:r>
              <w:rPr>
                <w:b/>
                <w:color w:val="C00000"/>
                <w:sz w:val="20"/>
              </w:rPr>
              <w:t xml:space="preserve">Force password reset for USR-5003 immediately. Enable Okta lockout after 5 failures for all privileged accounts. Mandate FIDO2-only authentication for Super-Admins per MFA-02. Investigate whether subsequent successful login was legitimate or post-compromise access. Block originating IP range.</w:t>
            </w:r>
          </w:p>
        </w:tc>
      </w:tr>
    </w:tbl>
    <w:p>
      <w:pPr>
        <w:spacing w:after="120"/>
      </w:pPr>
    </w:p>
    <w:p>
      <w:pPr>
        <w:pStyle w:val="Heading2"/>
        <w:spacing w:before="160" w:after="80"/>
      </w:pPr>
      <w:r>
        <w:rPr>
          <w:color w:val="C55A11"/>
          <w:b/>
        </w:rPr>
        <w:t>INCIDENT-003  |  HIGH  |  Impossible Travel — Multiple Users Authenticating from VPS / Tor Nodes</w:t>
      </w:r>
    </w:p>
    <w:p>
      <w:pPr>
        <w:spacing w:after="100"/>
      </w:pPr>
      <w:r>
        <w:t xml:space="preserve">Thirteen events across six users show authentication from a known Austin, TX location followed within 1–2 hours by authentication from a geographically impossible source: VPS infrastructure in Panama City, Lagos, or Minsk, or from Tor exit nodes. The physical travel time between these locations makes simultaneous or near-simultaneous sessions impossible without credential sharing or compromise. Key occurrences include:</w:t>
      </w:r>
    </w:p>
    <w:tbl>
      <w:tblPr>
        <w:tblW w:w="9360" w:type="dxa"/>
        <w:tblBorders>
          <w:top w:val="single" w:sz="4" w:color="C55A11"/>
          <w:left w:val="single" w:sz="4" w:color="CCCCCC"/>
          <w:bottom w:val="single" w:sz="4" w:color="C55A11"/>
          <w:right w:val="single" w:sz="4" w:color="CCCCCC"/>
          <w:insideH w:val="single" w:sz="4" w:color="CCCCCC"/>
          <w:insideV w:val="single" w:sz="4" w:color="CCCCCC"/>
        </w:tblBorders>
      </w:tblPr>
      <w:tblGrid>
        <w:gridCol w:w="1000"/>
        <w:gridCol w:w="1400"/>
        <w:gridCol w:w="2200"/>
        <w:gridCol w:w="2200"/>
        <w:gridCol w:w="2560"/>
      </w:tblGrid>
      <w:tr>
        <w:tc>
          <w:tcPr>
            <w:tcW w:w="1000" w:type="dxa"/>
            <w:shd w:val="clear" w:fill="1F3864"/>
            <w:tcMar>
              <w:top w:w="80" w:type="dxa"/>
              <w:bottom w:w="80" w:type="dxa"/>
              <w:left w:w="120" w:type="dxa"/>
              <w:right w:w="120" w:type="dxa"/>
            </w:tcMar>
          </w:tcPr>
          <w:p>
            <w:r>
              <w:rPr>
                <w:b/>
                <w:color w:val="FFFFFF"/>
                <w:sz w:val="18"/>
              </w:rPr>
              <w:t>Event ID</w:t>
            </w:r>
          </w:p>
        </w:tc>
        <w:tc>
          <w:tcPr>
            <w:tcW w:w="1400" w:type="dxa"/>
            <w:shd w:val="clear" w:fill="1F3864"/>
            <w:tcMar>
              <w:top w:w="80" w:type="dxa"/>
              <w:bottom w:w="80" w:type="dxa"/>
              <w:left w:w="120" w:type="dxa"/>
              <w:right w:w="120" w:type="dxa"/>
            </w:tcMar>
          </w:tcPr>
          <w:p>
            <w:r>
              <w:rPr>
                <w:b/>
                <w:color w:val="FFFFFF"/>
                <w:sz w:val="18"/>
              </w:rPr>
              <w:t>User</w:t>
            </w:r>
          </w:p>
        </w:tc>
        <w:tc>
          <w:tcPr>
            <w:tcW w:w="2200" w:type="dxa"/>
            <w:shd w:val="clear" w:fill="1F3864"/>
            <w:tcMar>
              <w:top w:w="80" w:type="dxa"/>
              <w:bottom w:w="80" w:type="dxa"/>
              <w:left w:w="120" w:type="dxa"/>
              <w:right w:w="120" w:type="dxa"/>
            </w:tcMar>
          </w:tcPr>
          <w:p>
            <w:r>
              <w:rPr>
                <w:b/>
                <w:color w:val="FFFFFF"/>
                <w:sz w:val="18"/>
              </w:rPr>
              <w:t>Legitimate Location</w:t>
            </w:r>
          </w:p>
        </w:tc>
        <w:tc>
          <w:tcPr>
            <w:tcW w:w="2200" w:type="dxa"/>
            <w:shd w:val="clear" w:fill="1F3864"/>
            <w:tcMar>
              <w:top w:w="80" w:type="dxa"/>
              <w:bottom w:w="80" w:type="dxa"/>
              <w:left w:w="120" w:type="dxa"/>
              <w:right w:w="120" w:type="dxa"/>
            </w:tcMar>
          </w:tcPr>
          <w:p>
            <w:r>
              <w:rPr>
                <w:b/>
                <w:color w:val="FFFFFF"/>
                <w:sz w:val="18"/>
              </w:rPr>
              <w:t>Anomalous Location</w:t>
            </w:r>
          </w:p>
        </w:tc>
        <w:tc>
          <w:tcPr>
            <w:tcW w:w="2560" w:type="dxa"/>
            <w:shd w:val="clear" w:fill="1F3864"/>
            <w:tcMar>
              <w:top w:w="80" w:type="dxa"/>
              <w:bottom w:w="80" w:type="dxa"/>
              <w:left w:w="120" w:type="dxa"/>
              <w:right w:w="120" w:type="dxa"/>
            </w:tcMar>
          </w:tcPr>
          <w:p>
            <w:r>
              <w:rPr>
                <w:b/>
                <w:color w:val="FFFFFF"/>
                <w:sz w:val="18"/>
              </w:rPr>
              <w:t>Gap / System</w:t>
            </w:r>
          </w:p>
        </w:tc>
      </w:tr>
      <w:tr>
        <w:tc>
          <w:tcPr>
            <w:tcW w:w="1000" w:type="dxa"/>
            <w:tcMar>
              <w:top w:w="80" w:type="dxa"/>
              <w:bottom w:w="80" w:type="dxa"/>
              <w:left w:w="120" w:type="dxa"/>
              <w:right w:w="120" w:type="dxa"/>
            </w:tcMar>
          </w:tcPr>
          <w:p>
            <w:r>
              <w:rPr>
                <w:sz w:val="18"/>
              </w:rPr>
              <w:t>EVT-1125</w:t>
            </w:r>
          </w:p>
        </w:tc>
        <w:tc>
          <w:tcPr>
            <w:tcW w:w="1400" w:type="dxa"/>
            <w:tcMar>
              <w:top w:w="80" w:type="dxa"/>
              <w:bottom w:w="80" w:type="dxa"/>
              <w:left w:w="120" w:type="dxa"/>
              <w:right w:w="120" w:type="dxa"/>
            </w:tcMar>
          </w:tcPr>
          <w:p>
            <w:r>
              <w:rPr>
                <w:sz w:val="18"/>
              </w:rPr>
              <w:t>Nadia Petrov (Finance Mgr)</w:t>
            </w:r>
          </w:p>
        </w:tc>
        <w:tc>
          <w:tcPr>
            <w:tcW w:w="2200" w:type="dxa"/>
            <w:tcMar>
              <w:top w:w="80" w:type="dxa"/>
              <w:bottom w:w="80" w:type="dxa"/>
              <w:left w:w="120" w:type="dxa"/>
              <w:right w:w="120" w:type="dxa"/>
            </w:tcMar>
          </w:tcPr>
          <w:p>
            <w:r>
              <w:rPr>
                <w:sz w:val="18"/>
              </w:rPr>
              <w:t>Austin TX (11:23)</w:t>
            </w:r>
          </w:p>
        </w:tc>
        <w:tc>
          <w:tcPr>
            <w:tcW w:w="2200" w:type="dxa"/>
            <w:tcMar>
              <w:top w:w="80" w:type="dxa"/>
              <w:bottom w:w="80" w:type="dxa"/>
              <w:left w:w="120" w:type="dxa"/>
              <w:right w:w="120" w:type="dxa"/>
            </w:tcMar>
          </w:tcPr>
          <w:p>
            <w:r>
              <w:rPr>
                <w:sz w:val="18"/>
              </w:rPr>
              <w:t>VPS Panama City (13:23)</w:t>
            </w:r>
          </w:p>
        </w:tc>
        <w:tc>
          <w:tcPr>
            <w:tcW w:w="2560" w:type="dxa"/>
            <w:tcMar>
              <w:top w:w="80" w:type="dxa"/>
              <w:bottom w:w="80" w:type="dxa"/>
              <w:left w:w="120" w:type="dxa"/>
              <w:right w:w="120" w:type="dxa"/>
            </w:tcMar>
          </w:tcPr>
          <w:p>
            <w:r>
              <w:rPr>
                <w:sz w:val="18"/>
              </w:rPr>
              <w:t>Web App / MFA Bypassed</w:t>
            </w:r>
          </w:p>
        </w:tc>
      </w:tr>
      <w:tr>
        <w:tc>
          <w:tcPr>
            <w:tcW w:w="1000" w:type="dxa"/>
            <w:shd w:val="clear" w:fill="FFF2CC"/>
            <w:tcMar>
              <w:top w:w="80" w:type="dxa"/>
              <w:bottom w:w="80" w:type="dxa"/>
              <w:left w:w="120" w:type="dxa"/>
              <w:right w:w="120" w:type="dxa"/>
            </w:tcMar>
          </w:tcPr>
          <w:p>
            <w:r>
              <w:rPr>
                <w:sz w:val="18"/>
              </w:rPr>
              <w:t>EVT-1143</w:t>
            </w:r>
          </w:p>
        </w:tc>
        <w:tc>
          <w:tcPr>
            <w:tcW w:w="1400" w:type="dxa"/>
            <w:shd w:val="clear" w:fill="FFF2CC"/>
            <w:tcMar>
              <w:top w:w="80" w:type="dxa"/>
              <w:bottom w:w="80" w:type="dxa"/>
              <w:left w:w="120" w:type="dxa"/>
              <w:right w:w="120" w:type="dxa"/>
            </w:tcMar>
          </w:tcPr>
          <w:p>
            <w:r>
              <w:rPr>
                <w:sz w:val="18"/>
              </w:rPr>
              <w:t>Isabel Santos (Support Mgr)</w:t>
            </w:r>
          </w:p>
        </w:tc>
        <w:tc>
          <w:tcPr>
            <w:tcW w:w="2200" w:type="dxa"/>
            <w:shd w:val="clear" w:fill="FFF2CC"/>
            <w:tcMar>
              <w:top w:w="80" w:type="dxa"/>
              <w:bottom w:w="80" w:type="dxa"/>
              <w:left w:w="120" w:type="dxa"/>
              <w:right w:w="120" w:type="dxa"/>
            </w:tcMar>
          </w:tcPr>
          <w:p>
            <w:r>
              <w:rPr>
                <w:sz w:val="18"/>
              </w:rPr>
              <w:t>Austin TX (21:12)</w:t>
            </w:r>
          </w:p>
        </w:tc>
        <w:tc>
          <w:tcPr>
            <w:tcW w:w="2200" w:type="dxa"/>
            <w:shd w:val="clear" w:fill="FFF2CC"/>
            <w:tcMar>
              <w:top w:w="80" w:type="dxa"/>
              <w:bottom w:w="80" w:type="dxa"/>
              <w:left w:w="120" w:type="dxa"/>
              <w:right w:w="120" w:type="dxa"/>
            </w:tcMar>
          </w:tcPr>
          <w:p>
            <w:r>
              <w:rPr>
                <w:sz w:val="18"/>
              </w:rPr>
              <w:t>VPS Lagos, NG (23:12)</w:t>
            </w:r>
          </w:p>
        </w:tc>
        <w:tc>
          <w:tcPr>
            <w:tcW w:w="2560" w:type="dxa"/>
            <w:shd w:val="clear" w:fill="FFF2CC"/>
            <w:tcMar>
              <w:top w:w="80" w:type="dxa"/>
              <w:bottom w:w="80" w:type="dxa"/>
              <w:left w:w="120" w:type="dxa"/>
              <w:right w:w="120" w:type="dxa"/>
            </w:tcMar>
          </w:tcPr>
          <w:p>
            <w:r>
              <w:rPr>
                <w:sz w:val="18"/>
              </w:rPr>
              <w:t>Web App</w:t>
            </w:r>
          </w:p>
        </w:tc>
      </w:tr>
      <w:tr>
        <w:tc>
          <w:tcPr>
            <w:tcW w:w="1000" w:type="dxa"/>
            <w:tcMar>
              <w:top w:w="80" w:type="dxa"/>
              <w:bottom w:w="80" w:type="dxa"/>
              <w:left w:w="120" w:type="dxa"/>
              <w:right w:w="120" w:type="dxa"/>
            </w:tcMar>
          </w:tcPr>
          <w:p>
            <w:r>
              <w:rPr>
                <w:sz w:val="18"/>
              </w:rPr>
              <w:t>EVT-1133</w:t>
            </w:r>
          </w:p>
        </w:tc>
        <w:tc>
          <w:tcPr>
            <w:tcW w:w="1400" w:type="dxa"/>
            <w:tcMar>
              <w:top w:w="80" w:type="dxa"/>
              <w:bottom w:w="80" w:type="dxa"/>
              <w:left w:w="120" w:type="dxa"/>
              <w:right w:w="120" w:type="dxa"/>
            </w:tcMar>
          </w:tcPr>
          <w:p>
            <w:r>
              <w:rPr>
                <w:sz w:val="18"/>
              </w:rPr>
              <w:t>Sandra Okonkwo (Finance Mgr)</w:t>
            </w:r>
          </w:p>
        </w:tc>
        <w:tc>
          <w:tcPr>
            <w:tcW w:w="2200" w:type="dxa"/>
            <w:tcMar>
              <w:top w:w="80" w:type="dxa"/>
              <w:bottom w:w="80" w:type="dxa"/>
              <w:left w:w="120" w:type="dxa"/>
              <w:right w:w="120" w:type="dxa"/>
            </w:tcMar>
          </w:tcPr>
          <w:p>
            <w:r>
              <w:rPr>
                <w:sz w:val="18"/>
              </w:rPr>
              <w:t>Austin TX (08:51)</w:t>
            </w:r>
          </w:p>
        </w:tc>
        <w:tc>
          <w:tcPr>
            <w:tcW w:w="2200" w:type="dxa"/>
            <w:tcMar>
              <w:top w:w="80" w:type="dxa"/>
              <w:bottom w:w="80" w:type="dxa"/>
              <w:left w:w="120" w:type="dxa"/>
              <w:right w:w="120" w:type="dxa"/>
            </w:tcMar>
          </w:tcPr>
          <w:p>
            <w:r>
              <w:rPr>
                <w:sz w:val="18"/>
              </w:rPr>
              <w:t>Tor Exit Node (11:51)</w:t>
            </w:r>
          </w:p>
        </w:tc>
        <w:tc>
          <w:tcPr>
            <w:tcW w:w="2560" w:type="dxa"/>
            <w:tcMar>
              <w:top w:w="80" w:type="dxa"/>
              <w:bottom w:w="80" w:type="dxa"/>
              <w:left w:w="120" w:type="dxa"/>
              <w:right w:w="120" w:type="dxa"/>
            </w:tcMar>
          </w:tcPr>
          <w:p>
            <w:r>
              <w:rPr>
                <w:sz w:val="18"/>
              </w:rPr>
              <w:t>AWS Console</w:t>
            </w:r>
          </w:p>
        </w:tc>
      </w:tr>
      <w:tr>
        <w:tc>
          <w:tcPr>
            <w:tcW w:w="1000" w:type="dxa"/>
            <w:shd w:val="clear" w:fill="FFF2CC"/>
            <w:tcMar>
              <w:top w:w="80" w:type="dxa"/>
              <w:bottom w:w="80" w:type="dxa"/>
              <w:left w:w="120" w:type="dxa"/>
              <w:right w:w="120" w:type="dxa"/>
            </w:tcMar>
          </w:tcPr>
          <w:p>
            <w:r>
              <w:rPr>
                <w:sz w:val="18"/>
              </w:rPr>
              <w:t>EVT-1139/1141</w:t>
            </w:r>
          </w:p>
        </w:tc>
        <w:tc>
          <w:tcPr>
            <w:tcW w:w="1400" w:type="dxa"/>
            <w:shd w:val="clear" w:fill="FFF2CC"/>
            <w:tcMar>
              <w:top w:w="80" w:type="dxa"/>
              <w:bottom w:w="80" w:type="dxa"/>
              <w:left w:w="120" w:type="dxa"/>
              <w:right w:w="120" w:type="dxa"/>
            </w:tcMar>
          </w:tcPr>
          <w:p>
            <w:r>
              <w:rPr>
                <w:sz w:val="18"/>
              </w:rPr>
              <w:t>James Obi (Super-Admin)</w:t>
            </w:r>
          </w:p>
        </w:tc>
        <w:tc>
          <w:tcPr>
            <w:tcW w:w="2200" w:type="dxa"/>
            <w:shd w:val="clear" w:fill="FFF2CC"/>
            <w:tcMar>
              <w:top w:w="80" w:type="dxa"/>
              <w:bottom w:w="80" w:type="dxa"/>
              <w:left w:w="120" w:type="dxa"/>
              <w:right w:w="120" w:type="dxa"/>
            </w:tcMar>
          </w:tcPr>
          <w:p>
            <w:r>
              <w:rPr>
                <w:sz w:val="18"/>
              </w:rPr>
              <w:t>Austin TX (18:15 / 19:35)</w:t>
            </w:r>
          </w:p>
        </w:tc>
        <w:tc>
          <w:tcPr>
            <w:tcW w:w="2200" w:type="dxa"/>
            <w:shd w:val="clear" w:fill="FFF2CC"/>
            <w:tcMar>
              <w:top w:w="80" w:type="dxa"/>
              <w:bottom w:w="80" w:type="dxa"/>
              <w:left w:w="120" w:type="dxa"/>
              <w:right w:w="120" w:type="dxa"/>
            </w:tcMar>
          </w:tcPr>
          <w:p>
            <w:r>
              <w:rPr>
                <w:sz w:val="18"/>
              </w:rPr>
              <w:t>Tor Exit Node (22:15 / 23:35)</w:t>
            </w:r>
          </w:p>
        </w:tc>
        <w:tc>
          <w:tcPr>
            <w:tcW w:w="2560" w:type="dxa"/>
            <w:shd w:val="clear" w:fill="FFF2CC"/>
            <w:tcMar>
              <w:top w:w="80" w:type="dxa"/>
              <w:bottom w:w="80" w:type="dxa"/>
              <w:left w:w="120" w:type="dxa"/>
              <w:right w:w="120" w:type="dxa"/>
            </w:tcMar>
          </w:tcPr>
          <w:p>
            <w:r>
              <w:rPr>
                <w:sz w:val="18"/>
              </w:rPr>
              <w:t>AWS Console + Admin Dashboard</w:t>
            </w:r>
          </w:p>
        </w:tc>
      </w:tr>
    </w:tbl>
    <w:p>
      <w:pPr>
        <w:spacing w:after="100"/>
      </w:pPr>
    </w:p>
    <w:p>
      <w:pPr>
        <w:spacing w:after="120"/>
      </w:pPr>
      <w:r>
        <w:rPr>
          <w:b/>
          <w:color w:val="C55A11"/>
        </w:rPr>
        <w:t xml:space="preserve">Required Action: </w:t>
      </w:r>
      <w:r>
        <w:t xml:space="preserve">Block all Tor exit nodes and known VPS hosting ranges (Panama City, Minsk, Lagos) at the VPN gateway and Okta network zone level. Implement Okta Identity Threat Protection to flag impossible travel in real time. Investigate all sessions from affected users originating outside the US corporate IP range for the full log period. Enforce geofencing policy to restrict high-privilege access to approved countries only.</w:t>
      </w:r>
    </w:p>
    <w:p>
      <w:pPr>
        <w:pStyle w:val="Heading2"/>
        <w:spacing w:before="160" w:after="80"/>
      </w:pPr>
      <w:r>
        <w:rPr>
          <w:color w:val="C55A11"/>
          <w:b/>
        </w:rPr>
        <w:t>INCIDENT-004  |  HIGH  |  Privilege Escalation — Role Creep and Unauthorised IAM Policy Attachment</w:t>
      </w:r>
    </w:p>
    <w:p>
      <w:pPr>
        <w:spacing w:after="100"/>
      </w:pPr>
      <w:r>
        <w:t xml:space="preserve">Eight privilege escalation events were logged across the period. The two highest-risk occurrences are detailed below. Both are consistent with the RBAC role-creep deficiency identified in Finding SEC-007 (11 Developer Senior accounts retaining Engineering Lead permissions post-downgrade).</w:t>
      </w:r>
    </w:p>
    <w:p>
      <w:pPr>
        <w:spacing w:after="80"/>
      </w:pPr>
      <w:r>
        <w:rPr>
          <w:b/>
        </w:rPr>
        <w:t xml:space="preserve">EVT-1154 (2025-05-02): </w:t>
      </w:r>
      <w:r>
        <w:t xml:space="preserve">USR-1001 (James Whitfield, Developer Senior, Engineering) executed iam:AttachRolePolicy in AWS Console, attempting to attach AdministratorAccess to the svc-payment-processor service role. This action is outside the Developer Senior RBAC scope (Read on dev only). Anomaly: ROLE_CREEP_PRIV_ESC. Risk Score: 70 / HIGH. The permission exists in the account due to unrevoked Engineering Lead role assignment. The action should have been blocked by SCP but was not — confirming the SCP misconfiguration identified in R-003.</w:t>
      </w:r>
    </w:p>
    <w:p>
      <w:pPr>
        <w:spacing w:after="80"/>
      </w:pPr>
      <w:r>
        <w:rPr>
          <w:b/>
        </w:rPr>
        <w:t xml:space="preserve">EVT-1157 (2025-05-05): </w:t>
      </w:r>
      <w:r>
        <w:t xml:space="preserve">USR-2003 (Yuki Tanaka, Finance Analyst) modified transaction record TXN-9983821 in the Admin Dashboard via a RECORD_EDIT action. Finance Analyst RBAC policy is Read-only on financial records; write access requires Finance Manager role. This is a direct SoD violation and a potential fraud indicator given the specific transaction targeted. Risk Score: 70 / HIGH. Escalated for forensic review.</w:t>
      </w:r>
    </w:p>
    <w:p>
      <w:pPr>
        <w:spacing w:after="120"/>
      </w:pPr>
      <w:r>
        <w:rPr>
          <w:b/>
          <w:color w:val="C55A11"/>
        </w:rPr>
        <w:t xml:space="preserve">Required Action: </w:t>
      </w:r>
      <w:r>
        <w:t xml:space="preserve">Immediately revoke Engineering Lead role permissions from all 11 affected Developer Senior accounts (RBAC-01). Place transaction TXN-9983821 under hold and initiate fraud investigation for EVT-1157. Deploy SCP guardrails blocking iam:AttachRolePolicy for all non-Admin accounts in production AWS accounts. Implement SailPoint SoD ruleset to detect Finance Analyst write-access anomalies in real time.</w:t>
      </w:r>
    </w:p>
    <w:p>
      <w:pPr>
        <w:pStyle w:val="Heading2"/>
        <w:spacing w:before="160" w:after="80"/>
      </w:pPr>
      <w:r>
        <w:rPr>
          <w:color w:val="C55A11"/>
          <w:b/>
        </w:rPr>
        <w:t>INCIDENT-005  |  HIGH  |  Repeated MFA Failures on Privileged Accounts — Possible SIM-Swap / TOTP Compromise</w:t>
      </w:r>
    </w:p>
    <w:p>
      <w:pPr>
        <w:spacing w:after="100"/>
      </w:pPr>
      <w:r>
        <w:t xml:space="preserve">Eleven MFA_FAILURE events are present across the observation window. Of these, six involve accounts with Access Level 4+ (Finance Managers, Engineering Lead, Support Manager, Security Analyst) and present TOTP_WRONG_CODE or FIDO2_TIMEOUT failure reasons. The clustering of failures across privileged accounts on days 1, 3, 4, 5, 6, and 7 suggests a coordinated campaign rather than user error. Affected accounts include USR-5001 (Omar Farouk, Security Analyst) with two failures on 2025-05-01, USR-2001 (Sandra Okonkwo, Finance Manager) with failures on 2025-05-04 and 2025-05-05, and USR-1003 (Marcus Chen, Engineering Lead) with failures on 2025-05-06 and 2025-05-07.</w:t>
      </w:r>
    </w:p>
    <w:p>
      <w:pPr>
        <w:spacing w:after="120"/>
      </w:pPr>
      <w:r>
        <w:rPr>
          <w:b/>
          <w:color w:val="C55A11"/>
        </w:rPr>
        <w:t xml:space="preserve">Required Action: </w:t>
      </w:r>
      <w:r>
        <w:t xml:space="preserve">Enforce MFA-02 immediately — migrate all Level 4+ accounts from TOTP to FIDO2 hardware keys (YubiKey 5 series). TOTP is phishing-susceptible; repeated failures on privileged accounts indicate active targeting. Contact mobile carriers of affected users to place SIM lock. Review whether any of the TOTP_WRONG_CODE failures preceded successful authentication (indicating TOTP token was captured and replayed). Implement Okta alert: suspend account after 3 MFA failures within 24 hours for privileged roles.</w:t>
      </w:r>
    </w:p>
    <w:p>
      <w:pPr>
        <w:pStyle w:val="Heading2"/>
        <w:spacing w:before="160" w:after="80"/>
      </w:pPr>
      <w:r>
        <w:rPr>
          <w:color w:val="7F7F7F"/>
          <w:b/>
        </w:rPr>
        <w:t>INCIDENT-006  |  MEDIUM  |  Finance Manager Authenticating Without MFA — Persistent Exemption Violation</w:t>
      </w:r>
    </w:p>
    <w:p>
      <w:pPr>
        <w:spacing w:after="100"/>
      </w:pPr>
      <w:r>
        <w:t xml:space="preserve">USR-2005 (Nadia Petrov, Finance Manager) authenticated three times across the observation window with MFA method recorded as NONE and result BYPASSED. Events EVT-1124 (2025-05-02), EVT-1036 (2025-05-04), and EVT-1033 (2025-05-06) all show MFA_EXEMPT anomaly flag. Finance Manager is an Access Level 4 role with Read/Write access to the Admin Dashboard and financial records. This is a direct violation of PCI-DSS Requirement 8.4.2 (MFA required for all non-console administrative access) and the existing Okta policy that was documented but not enforced. This account is listed in Finding R-007 as a known non-MFA admin and was flagged for immediate remediation in Section 3 of this report — the fact that three new bypass events appear in the current log period indicates the exemption was not revoked as required.</w:t>
      </w:r>
    </w:p>
    <w:p>
      <w:pPr>
        <w:spacing w:after="160"/>
      </w:pPr>
      <w:r>
        <w:rPr>
          <w:b/>
          <w:color w:val="7F7F7F"/>
        </w:rPr>
        <w:t xml:space="preserve">Required Action: </w:t>
      </w:r>
      <w:r>
        <w:t xml:space="preserve">Revoke MFA exemption for USR-2005 immediately and suspend access until MFA is enrolled. Enroll in FIDO2 (YubiKey) within 48 hours per MFA-02 requirements for Level 4 accounts. Escalate exemption non-revocation to CISO as a control failure — the remediation from Section 3 was not completed in time. Implement automated enforcement via Okta Workflows: any account in the Finance Manager group must present a valid MFA factor or session is denied at the IdP level.</w:t>
      </w:r>
    </w:p>
    <w:p>
      <w:pPr>
        <w:pStyle w:val="Heading2"/>
        <w:spacing w:before="200" w:after="120"/>
      </w:pPr>
      <w:r>
        <w:rPr>
          <w:color w:val="2E75B6"/>
        </w:rPr>
        <w:t>11.3  Incident Priority Matrix — Response Summary</w:t>
      </w:r>
    </w:p>
    <w:tbl>
      <w:tblPr>
        <w:tblW w:w="9360" w:type="dxa"/>
        <w:tblBorders>
          <w:top w:val="single" w:sz="4" w:color="1F3864"/>
          <w:left w:val="single" w:sz="4" w:color="CCCCCC"/>
          <w:bottom w:val="single" w:sz="4" w:color="1F3864"/>
          <w:right w:val="single" w:sz="4" w:color="CCCCCC"/>
          <w:insideH w:val="single" w:sz="4" w:color="CCCCCC"/>
          <w:insideV w:val="single" w:sz="4" w:color="CCCCCC"/>
        </w:tblBorders>
      </w:tblPr>
      <w:tblGrid>
        <w:gridCol w:w="1200"/>
        <w:gridCol w:w="2760"/>
        <w:gridCol w:w="1000"/>
        <w:gridCol w:w="1400"/>
        <w:gridCol w:w="1600"/>
        <w:gridCol w:w="1400"/>
      </w:tblGrid>
      <w:tr>
        <w:tc>
          <w:tcPr>
            <w:tcW w:w="1200" w:type="dxa"/>
            <w:shd w:val="clear" w:fill="1F3864"/>
            <w:tcMar>
              <w:top w:w="80" w:type="dxa"/>
              <w:bottom w:w="80" w:type="dxa"/>
              <w:left w:w="120" w:type="dxa"/>
              <w:right w:w="120" w:type="dxa"/>
            </w:tcMar>
          </w:tcPr>
          <w:p>
            <w:r>
              <w:rPr>
                <w:b/>
                <w:color w:val="FFFFFF"/>
                <w:sz w:val="18"/>
              </w:rPr>
              <w:t>Incident</w:t>
            </w:r>
          </w:p>
        </w:tc>
        <w:tc>
          <w:tcPr>
            <w:tcW w:w="2760" w:type="dxa"/>
            <w:shd w:val="clear" w:fill="1F3864"/>
            <w:tcMar>
              <w:top w:w="80" w:type="dxa"/>
              <w:bottom w:w="80" w:type="dxa"/>
              <w:left w:w="120" w:type="dxa"/>
              <w:right w:w="120" w:type="dxa"/>
            </w:tcMar>
          </w:tcPr>
          <w:p>
            <w:r>
              <w:rPr>
                <w:b/>
                <w:color w:val="FFFFFF"/>
                <w:sz w:val="18"/>
              </w:rPr>
              <w:t>Description</w:t>
            </w:r>
          </w:p>
        </w:tc>
        <w:tc>
          <w:tcPr>
            <w:tcW w:w="1000" w:type="dxa"/>
            <w:shd w:val="clear" w:fill="1F3864"/>
            <w:tcMar>
              <w:top w:w="80" w:type="dxa"/>
              <w:bottom w:w="80" w:type="dxa"/>
              <w:left w:w="120" w:type="dxa"/>
              <w:right w:w="120" w:type="dxa"/>
            </w:tcMar>
          </w:tcPr>
          <w:p>
            <w:r>
              <w:rPr>
                <w:b/>
                <w:color w:val="FFFFFF"/>
                <w:sz w:val="18"/>
              </w:rPr>
              <w:t>Priority</w:t>
            </w:r>
          </w:p>
        </w:tc>
        <w:tc>
          <w:tcPr>
            <w:tcW w:w="1400" w:type="dxa"/>
            <w:shd w:val="clear" w:fill="1F3864"/>
            <w:tcMar>
              <w:top w:w="80" w:type="dxa"/>
              <w:bottom w:w="80" w:type="dxa"/>
              <w:left w:w="120" w:type="dxa"/>
              <w:right w:w="120" w:type="dxa"/>
            </w:tcMar>
          </w:tcPr>
          <w:p>
            <w:r>
              <w:rPr>
                <w:b/>
                <w:color w:val="FFFFFF"/>
                <w:sz w:val="18"/>
              </w:rPr>
              <w:t>Risk Score</w:t>
            </w:r>
          </w:p>
        </w:tc>
        <w:tc>
          <w:tcPr>
            <w:tcW w:w="1600" w:type="dxa"/>
            <w:shd w:val="clear" w:fill="1F3864"/>
            <w:tcMar>
              <w:top w:w="80" w:type="dxa"/>
              <w:bottom w:w="80" w:type="dxa"/>
              <w:left w:w="120" w:type="dxa"/>
              <w:right w:w="120" w:type="dxa"/>
            </w:tcMar>
          </w:tcPr>
          <w:p>
            <w:r>
              <w:rPr>
                <w:b/>
                <w:color w:val="FFFFFF"/>
                <w:sz w:val="18"/>
              </w:rPr>
              <w:t>Control Ref</w:t>
            </w:r>
          </w:p>
        </w:tc>
        <w:tc>
          <w:tcPr>
            <w:tcW w:w="1400" w:type="dxa"/>
            <w:shd w:val="clear" w:fill="1F3864"/>
            <w:tcMar>
              <w:top w:w="80" w:type="dxa"/>
              <w:bottom w:w="80" w:type="dxa"/>
              <w:left w:w="120" w:type="dxa"/>
              <w:right w:w="120" w:type="dxa"/>
            </w:tcMar>
          </w:tcPr>
          <w:p>
            <w:r>
              <w:rPr>
                <w:b/>
                <w:color w:val="FFFFFF"/>
                <w:sz w:val="18"/>
              </w:rPr>
              <w:t>Response SLA</w:t>
            </w:r>
          </w:p>
        </w:tc>
      </w:tr>
      <w:tr>
        <w:tc>
          <w:tcPr>
            <w:tcW w:w="1200" w:type="dxa"/>
            <w:tcMar>
              <w:top w:w="80" w:type="dxa"/>
              <w:bottom w:w="80" w:type="dxa"/>
              <w:left w:w="120" w:type="dxa"/>
              <w:right w:w="120" w:type="dxa"/>
            </w:tcMar>
          </w:tcPr>
          <w:p>
            <w:r>
              <w:rPr>
                <w:b/>
                <w:sz w:val="18"/>
              </w:rPr>
              <w:t>INC-001</w:t>
            </w:r>
          </w:p>
        </w:tc>
        <w:tc>
          <w:tcPr>
            <w:tcW w:w="2760" w:type="dxa"/>
            <w:tcMar>
              <w:top w:w="80" w:type="dxa"/>
              <w:bottom w:w="80" w:type="dxa"/>
              <w:left w:w="120" w:type="dxa"/>
              <w:right w:w="120" w:type="dxa"/>
            </w:tcMar>
          </w:tcPr>
          <w:p>
            <w:r>
              <w:rPr>
                <w:sz w:val="18"/>
              </w:rPr>
              <w:t>Terminated accounts active (USR-8001, USR-8003)</w:t>
            </w:r>
          </w:p>
        </w:tc>
        <w:tc>
          <w:tcPr>
            <w:tcW w:w="1000" w:type="dxa"/>
            <w:shd w:val="clear" w:fill="FDECEA"/>
            <w:tcMar>
              <w:top w:w="80" w:type="dxa"/>
              <w:bottom w:w="80" w:type="dxa"/>
              <w:left w:w="120" w:type="dxa"/>
              <w:right w:w="120" w:type="dxa"/>
            </w:tcMar>
          </w:tcPr>
          <w:p>
            <w:r>
              <w:rPr>
                <w:b/>
                <w:color w:val="C00000"/>
                <w:sz w:val="18"/>
              </w:rPr>
              <w:t>CRITICAL</w:t>
            </w:r>
          </w:p>
        </w:tc>
        <w:tc>
          <w:tcPr>
            <w:tcW w:w="1400" w:type="dxa"/>
            <w:tcMar>
              <w:top w:w="80" w:type="dxa"/>
              <w:bottom w:w="80" w:type="dxa"/>
              <w:left w:w="120" w:type="dxa"/>
              <w:right w:w="120" w:type="dxa"/>
            </w:tcMar>
          </w:tcPr>
          <w:p>
            <w:r>
              <w:rPr>
                <w:sz w:val="18"/>
              </w:rPr>
              <w:t>95 / 100</w:t>
            </w:r>
          </w:p>
        </w:tc>
        <w:tc>
          <w:tcPr>
            <w:tcW w:w="1600" w:type="dxa"/>
            <w:tcMar>
              <w:top w:w="80" w:type="dxa"/>
              <w:bottom w:w="80" w:type="dxa"/>
              <w:left w:w="120" w:type="dxa"/>
              <w:right w:w="120" w:type="dxa"/>
            </w:tcMar>
          </w:tcPr>
          <w:p>
            <w:r>
              <w:rPr>
                <w:sz w:val="18"/>
              </w:rPr>
              <w:t>CTL-LCM, MON-01</w:t>
            </w:r>
          </w:p>
        </w:tc>
        <w:tc>
          <w:tcPr>
            <w:tcW w:w="1400" w:type="dxa"/>
            <w:tcMar>
              <w:top w:w="80" w:type="dxa"/>
              <w:bottom w:w="80" w:type="dxa"/>
              <w:left w:w="120" w:type="dxa"/>
              <w:right w:w="120" w:type="dxa"/>
            </w:tcMar>
          </w:tcPr>
          <w:p>
            <w:r>
              <w:rPr>
                <w:b/>
                <w:color w:val="C00000"/>
                <w:sz w:val="18"/>
              </w:rPr>
              <w:t>Immediate — 1 hour</w:t>
            </w:r>
          </w:p>
        </w:tc>
      </w:tr>
      <w:tr>
        <w:tc>
          <w:tcPr>
            <w:tcW w:w="1200" w:type="dxa"/>
            <w:shd w:val="clear" w:fill="EBF3FB"/>
            <w:tcMar>
              <w:top w:w="80" w:type="dxa"/>
              <w:bottom w:w="80" w:type="dxa"/>
              <w:left w:w="120" w:type="dxa"/>
              <w:right w:w="120" w:type="dxa"/>
            </w:tcMar>
          </w:tcPr>
          <w:p>
            <w:r>
              <w:rPr>
                <w:b/>
                <w:sz w:val="18"/>
              </w:rPr>
              <w:t>INC-002</w:t>
            </w:r>
          </w:p>
        </w:tc>
        <w:tc>
          <w:tcPr>
            <w:tcW w:w="2760" w:type="dxa"/>
            <w:shd w:val="clear" w:fill="EBF3FB"/>
            <w:tcMar>
              <w:top w:w="80" w:type="dxa"/>
              <w:bottom w:w="80" w:type="dxa"/>
              <w:left w:w="120" w:type="dxa"/>
              <w:right w:w="120" w:type="dxa"/>
            </w:tcMar>
          </w:tcPr>
          <w:p>
            <w:r>
              <w:rPr>
                <w:sz w:val="18"/>
              </w:rPr>
              <w:t>Super-Admin brute force (USR-5003)</w:t>
            </w:r>
          </w:p>
        </w:tc>
        <w:tc>
          <w:tcPr>
            <w:tcW w:w="1000" w:type="dxa"/>
            <w:shd w:val="clear" w:fill="FDECEA"/>
            <w:tcMar>
              <w:top w:w="80" w:type="dxa"/>
              <w:bottom w:w="80" w:type="dxa"/>
              <w:left w:w="120" w:type="dxa"/>
              <w:right w:w="120" w:type="dxa"/>
            </w:tcMar>
          </w:tcPr>
          <w:p>
            <w:r>
              <w:rPr>
                <w:b/>
                <w:color w:val="C00000"/>
                <w:sz w:val="18"/>
              </w:rPr>
              <w:t>CRITICAL</w:t>
            </w:r>
          </w:p>
        </w:tc>
        <w:tc>
          <w:tcPr>
            <w:tcW w:w="1400" w:type="dxa"/>
            <w:shd w:val="clear" w:fill="EBF3FB"/>
            <w:tcMar>
              <w:top w:w="80" w:type="dxa"/>
              <w:bottom w:w="80" w:type="dxa"/>
              <w:left w:w="120" w:type="dxa"/>
              <w:right w:w="120" w:type="dxa"/>
            </w:tcMar>
          </w:tcPr>
          <w:p>
            <w:r>
              <w:rPr>
                <w:sz w:val="18"/>
              </w:rPr>
              <w:t>70 / 100 (↑)</w:t>
            </w:r>
          </w:p>
        </w:tc>
        <w:tc>
          <w:tcPr>
            <w:tcW w:w="1600" w:type="dxa"/>
            <w:shd w:val="clear" w:fill="EBF3FB"/>
            <w:tcMar>
              <w:top w:w="80" w:type="dxa"/>
              <w:bottom w:w="80" w:type="dxa"/>
              <w:left w:w="120" w:type="dxa"/>
              <w:right w:w="120" w:type="dxa"/>
            </w:tcMar>
          </w:tcPr>
          <w:p>
            <w:r>
              <w:rPr>
                <w:sz w:val="18"/>
              </w:rPr>
              <w:t>CTL-PWD, MFA-02</w:t>
            </w:r>
          </w:p>
        </w:tc>
        <w:tc>
          <w:tcPr>
            <w:tcW w:w="1400" w:type="dxa"/>
            <w:shd w:val="clear" w:fill="EBF3FB"/>
            <w:tcMar>
              <w:top w:w="80" w:type="dxa"/>
              <w:bottom w:w="80" w:type="dxa"/>
              <w:left w:w="120" w:type="dxa"/>
              <w:right w:w="120" w:type="dxa"/>
            </w:tcMar>
          </w:tcPr>
          <w:p>
            <w:r>
              <w:rPr>
                <w:b/>
                <w:color w:val="C00000"/>
                <w:sz w:val="18"/>
              </w:rPr>
              <w:t>Immediate — 2 hours</w:t>
            </w:r>
          </w:p>
        </w:tc>
      </w:tr>
      <w:tr>
        <w:tc>
          <w:tcPr>
            <w:tcW w:w="1200" w:type="dxa"/>
            <w:tcMar>
              <w:top w:w="80" w:type="dxa"/>
              <w:bottom w:w="80" w:type="dxa"/>
              <w:left w:w="120" w:type="dxa"/>
              <w:right w:w="120" w:type="dxa"/>
            </w:tcMar>
          </w:tcPr>
          <w:p>
            <w:r>
              <w:rPr>
                <w:b/>
                <w:sz w:val="18"/>
              </w:rPr>
              <w:t>INC-003</w:t>
            </w:r>
          </w:p>
        </w:tc>
        <w:tc>
          <w:tcPr>
            <w:tcW w:w="2760" w:type="dxa"/>
            <w:tcMar>
              <w:top w:w="80" w:type="dxa"/>
              <w:bottom w:w="80" w:type="dxa"/>
              <w:left w:w="120" w:type="dxa"/>
              <w:right w:w="120" w:type="dxa"/>
            </w:tcMar>
          </w:tcPr>
          <w:p>
            <w:r>
              <w:rPr>
                <w:sz w:val="18"/>
              </w:rPr>
              <w:t>Impossible travel / VPS / Tor logins (6 users)</w:t>
            </w:r>
          </w:p>
        </w:tc>
        <w:tc>
          <w:tcPr>
            <w:tcW w:w="1000" w:type="dxa"/>
            <w:shd w:val="clear" w:fill="FDECEA"/>
            <w:tcMar>
              <w:top w:w="80" w:type="dxa"/>
              <w:bottom w:w="80" w:type="dxa"/>
              <w:left w:w="120" w:type="dxa"/>
              <w:right w:w="120" w:type="dxa"/>
            </w:tcMar>
          </w:tcPr>
          <w:p>
            <w:r>
              <w:rPr>
                <w:b/>
                <w:color w:val="C55A11"/>
                <w:sz w:val="18"/>
              </w:rPr>
              <w:t>HIGH</w:t>
            </w:r>
          </w:p>
        </w:tc>
        <w:tc>
          <w:tcPr>
            <w:tcW w:w="1400" w:type="dxa"/>
            <w:tcMar>
              <w:top w:w="80" w:type="dxa"/>
              <w:bottom w:w="80" w:type="dxa"/>
              <w:left w:w="120" w:type="dxa"/>
              <w:right w:w="120" w:type="dxa"/>
            </w:tcMar>
          </w:tcPr>
          <w:p>
            <w:r>
              <w:rPr>
                <w:sz w:val="18"/>
              </w:rPr>
              <w:t>80 / 100</w:t>
            </w:r>
          </w:p>
        </w:tc>
        <w:tc>
          <w:tcPr>
            <w:tcW w:w="1600" w:type="dxa"/>
            <w:tcMar>
              <w:top w:w="80" w:type="dxa"/>
              <w:bottom w:w="80" w:type="dxa"/>
              <w:left w:w="120" w:type="dxa"/>
              <w:right w:w="120" w:type="dxa"/>
            </w:tcMar>
          </w:tcPr>
          <w:p>
            <w:r>
              <w:rPr>
                <w:sz w:val="18"/>
              </w:rPr>
              <w:t>MON-03, CTL-LPE</w:t>
            </w:r>
          </w:p>
        </w:tc>
        <w:tc>
          <w:tcPr>
            <w:tcW w:w="1400" w:type="dxa"/>
            <w:tcMar>
              <w:top w:w="80" w:type="dxa"/>
              <w:bottom w:w="80" w:type="dxa"/>
              <w:left w:w="120" w:type="dxa"/>
              <w:right w:w="120" w:type="dxa"/>
            </w:tcMar>
          </w:tcPr>
          <w:p>
            <w:r>
              <w:rPr>
                <w:b/>
                <w:color w:val="C55A11"/>
                <w:sz w:val="18"/>
              </w:rPr>
              <w:t>24 hours</w:t>
            </w:r>
          </w:p>
        </w:tc>
      </w:tr>
      <w:tr>
        <w:tc>
          <w:tcPr>
            <w:tcW w:w="1200" w:type="dxa"/>
            <w:shd w:val="clear" w:fill="EBF3FB"/>
            <w:tcMar>
              <w:top w:w="80" w:type="dxa"/>
              <w:bottom w:w="80" w:type="dxa"/>
              <w:left w:w="120" w:type="dxa"/>
              <w:right w:w="120" w:type="dxa"/>
            </w:tcMar>
          </w:tcPr>
          <w:p>
            <w:r>
              <w:rPr>
                <w:b/>
                <w:sz w:val="18"/>
              </w:rPr>
              <w:t>INC-004</w:t>
            </w:r>
          </w:p>
        </w:tc>
        <w:tc>
          <w:tcPr>
            <w:tcW w:w="2760" w:type="dxa"/>
            <w:shd w:val="clear" w:fill="EBF3FB"/>
            <w:tcMar>
              <w:top w:w="80" w:type="dxa"/>
              <w:bottom w:w="80" w:type="dxa"/>
              <w:left w:w="120" w:type="dxa"/>
              <w:right w:w="120" w:type="dxa"/>
            </w:tcMar>
          </w:tcPr>
          <w:p>
            <w:r>
              <w:rPr>
                <w:sz w:val="18"/>
              </w:rPr>
              <w:t>Privilege escalation / SoD violation (USR-1001, USR-2003)</w:t>
            </w:r>
          </w:p>
        </w:tc>
        <w:tc>
          <w:tcPr>
            <w:tcW w:w="1000" w:type="dxa"/>
            <w:shd w:val="clear" w:fill="FFF2CC"/>
            <w:tcMar>
              <w:top w:w="80" w:type="dxa"/>
              <w:bottom w:w="80" w:type="dxa"/>
              <w:left w:w="120" w:type="dxa"/>
              <w:right w:w="120" w:type="dxa"/>
            </w:tcMar>
          </w:tcPr>
          <w:p>
            <w:r>
              <w:rPr>
                <w:b/>
                <w:color w:val="C55A11"/>
                <w:sz w:val="18"/>
              </w:rPr>
              <w:t>HIGH</w:t>
            </w:r>
          </w:p>
        </w:tc>
        <w:tc>
          <w:tcPr>
            <w:tcW w:w="1400" w:type="dxa"/>
            <w:shd w:val="clear" w:fill="EBF3FB"/>
            <w:tcMar>
              <w:top w:w="80" w:type="dxa"/>
              <w:bottom w:w="80" w:type="dxa"/>
              <w:left w:w="120" w:type="dxa"/>
              <w:right w:w="120" w:type="dxa"/>
            </w:tcMar>
          </w:tcPr>
          <w:p>
            <w:r>
              <w:rPr>
                <w:sz w:val="18"/>
              </w:rPr>
              <w:t>70 / 100</w:t>
            </w:r>
          </w:p>
        </w:tc>
        <w:tc>
          <w:tcPr>
            <w:tcW w:w="1600" w:type="dxa"/>
            <w:shd w:val="clear" w:fill="EBF3FB"/>
            <w:tcMar>
              <w:top w:w="80" w:type="dxa"/>
              <w:bottom w:w="80" w:type="dxa"/>
              <w:left w:w="120" w:type="dxa"/>
              <w:right w:w="120" w:type="dxa"/>
            </w:tcMar>
          </w:tcPr>
          <w:p>
            <w:r>
              <w:rPr>
                <w:sz w:val="18"/>
              </w:rPr>
              <w:t>CTL-RBAC, CTL-PAM</w:t>
            </w:r>
          </w:p>
        </w:tc>
        <w:tc>
          <w:tcPr>
            <w:tcW w:w="1400" w:type="dxa"/>
            <w:shd w:val="clear" w:fill="EBF3FB"/>
            <w:tcMar>
              <w:top w:w="80" w:type="dxa"/>
              <w:bottom w:w="80" w:type="dxa"/>
              <w:left w:w="120" w:type="dxa"/>
              <w:right w:w="120" w:type="dxa"/>
            </w:tcMar>
          </w:tcPr>
          <w:p>
            <w:r>
              <w:rPr>
                <w:b/>
                <w:color w:val="C55A11"/>
                <w:sz w:val="18"/>
              </w:rPr>
              <w:t>48 hours</w:t>
            </w:r>
          </w:p>
        </w:tc>
      </w:tr>
      <w:tr>
        <w:tc>
          <w:tcPr>
            <w:tcW w:w="1200" w:type="dxa"/>
            <w:tcMar>
              <w:top w:w="80" w:type="dxa"/>
              <w:bottom w:w="80" w:type="dxa"/>
              <w:left w:w="120" w:type="dxa"/>
              <w:right w:w="120" w:type="dxa"/>
            </w:tcMar>
          </w:tcPr>
          <w:p>
            <w:r>
              <w:rPr>
                <w:b/>
                <w:sz w:val="18"/>
              </w:rPr>
              <w:t>INC-005</w:t>
            </w:r>
          </w:p>
        </w:tc>
        <w:tc>
          <w:tcPr>
            <w:tcW w:w="2760" w:type="dxa"/>
            <w:tcMar>
              <w:top w:w="80" w:type="dxa"/>
              <w:bottom w:w="80" w:type="dxa"/>
              <w:left w:w="120" w:type="dxa"/>
              <w:right w:w="120" w:type="dxa"/>
            </w:tcMar>
          </w:tcPr>
          <w:p>
            <w:r>
              <w:rPr>
                <w:sz w:val="18"/>
              </w:rPr>
              <w:t>MFA failures on privileged accounts (11 events)</w:t>
            </w:r>
          </w:p>
        </w:tc>
        <w:tc>
          <w:tcPr>
            <w:tcW w:w="1000" w:type="dxa"/>
            <w:shd w:val="clear" w:fill="FFF2CC"/>
            <w:tcMar>
              <w:top w:w="80" w:type="dxa"/>
              <w:bottom w:w="80" w:type="dxa"/>
              <w:left w:w="120" w:type="dxa"/>
              <w:right w:w="120" w:type="dxa"/>
            </w:tcMar>
          </w:tcPr>
          <w:p>
            <w:r>
              <w:rPr>
                <w:b/>
                <w:color w:val="C55A11"/>
                <w:sz w:val="18"/>
              </w:rPr>
              <w:t>HIGH</w:t>
            </w:r>
          </w:p>
        </w:tc>
        <w:tc>
          <w:tcPr>
            <w:tcW w:w="1400" w:type="dxa"/>
            <w:tcMar>
              <w:top w:w="80" w:type="dxa"/>
              <w:bottom w:w="80" w:type="dxa"/>
              <w:left w:w="120" w:type="dxa"/>
              <w:right w:w="120" w:type="dxa"/>
            </w:tcMar>
          </w:tcPr>
          <w:p>
            <w:r>
              <w:rPr>
                <w:sz w:val="18"/>
              </w:rPr>
              <w:t>55 / 100</w:t>
            </w:r>
          </w:p>
        </w:tc>
        <w:tc>
          <w:tcPr>
            <w:tcW w:w="1600" w:type="dxa"/>
            <w:tcMar>
              <w:top w:w="80" w:type="dxa"/>
              <w:bottom w:w="80" w:type="dxa"/>
              <w:left w:w="120" w:type="dxa"/>
              <w:right w:w="120" w:type="dxa"/>
            </w:tcMar>
          </w:tcPr>
          <w:p>
            <w:r>
              <w:rPr>
                <w:sz w:val="18"/>
              </w:rPr>
              <w:t>MFA-01, MFA-02</w:t>
            </w:r>
          </w:p>
        </w:tc>
        <w:tc>
          <w:tcPr>
            <w:tcW w:w="1400" w:type="dxa"/>
            <w:tcMar>
              <w:top w:w="80" w:type="dxa"/>
              <w:bottom w:w="80" w:type="dxa"/>
              <w:left w:w="120" w:type="dxa"/>
              <w:right w:w="120" w:type="dxa"/>
            </w:tcMar>
          </w:tcPr>
          <w:p>
            <w:r>
              <w:rPr>
                <w:b/>
                <w:color w:val="C55A11"/>
                <w:sz w:val="18"/>
              </w:rPr>
              <w:t>48 hours</w:t>
            </w:r>
          </w:p>
        </w:tc>
      </w:tr>
      <w:tr>
        <w:tc>
          <w:tcPr>
            <w:tcW w:w="1200" w:type="dxa"/>
            <w:shd w:val="clear" w:fill="EBF3FB"/>
            <w:tcMar>
              <w:top w:w="80" w:type="dxa"/>
              <w:bottom w:w="80" w:type="dxa"/>
              <w:left w:w="120" w:type="dxa"/>
              <w:right w:w="120" w:type="dxa"/>
            </w:tcMar>
          </w:tcPr>
          <w:p>
            <w:r>
              <w:rPr>
                <w:b/>
                <w:sz w:val="18"/>
              </w:rPr>
              <w:t>INC-006</w:t>
            </w:r>
          </w:p>
        </w:tc>
        <w:tc>
          <w:tcPr>
            <w:tcW w:w="2760" w:type="dxa"/>
            <w:shd w:val="clear" w:fill="EBF3FB"/>
            <w:tcMar>
              <w:top w:w="80" w:type="dxa"/>
              <w:bottom w:w="80" w:type="dxa"/>
              <w:left w:w="120" w:type="dxa"/>
              <w:right w:w="120" w:type="dxa"/>
            </w:tcMar>
          </w:tcPr>
          <w:p>
            <w:r>
              <w:rPr>
                <w:sz w:val="18"/>
              </w:rPr>
              <w:t>Finance Mgr MFA bypass (USR-2005, 3 events)</w:t>
            </w:r>
          </w:p>
        </w:tc>
        <w:tc>
          <w:tcPr>
            <w:tcW w:w="1000" w:type="dxa"/>
            <w:shd w:val="clear" w:fill="E2EFDA"/>
            <w:tcMar>
              <w:top w:w="80" w:type="dxa"/>
              <w:bottom w:w="80" w:type="dxa"/>
              <w:left w:w="120" w:type="dxa"/>
              <w:right w:w="120" w:type="dxa"/>
            </w:tcMar>
          </w:tcPr>
          <w:p>
            <w:r>
              <w:rPr>
                <w:b/>
                <w:color w:val="375623"/>
                <w:sz w:val="18"/>
              </w:rPr>
              <w:t>MEDIUM</w:t>
            </w:r>
          </w:p>
        </w:tc>
        <w:tc>
          <w:tcPr>
            <w:tcW w:w="1400" w:type="dxa"/>
            <w:shd w:val="clear" w:fill="EBF3FB"/>
            <w:tcMar>
              <w:top w:w="80" w:type="dxa"/>
              <w:bottom w:w="80" w:type="dxa"/>
              <w:left w:w="120" w:type="dxa"/>
              <w:right w:w="120" w:type="dxa"/>
            </w:tcMar>
          </w:tcPr>
          <w:p>
            <w:r>
              <w:rPr>
                <w:sz w:val="18"/>
              </w:rPr>
              <w:t>30 / 100</w:t>
            </w:r>
          </w:p>
        </w:tc>
        <w:tc>
          <w:tcPr>
            <w:tcW w:w="1600" w:type="dxa"/>
            <w:shd w:val="clear" w:fill="EBF3FB"/>
            <w:tcMar>
              <w:top w:w="80" w:type="dxa"/>
              <w:bottom w:w="80" w:type="dxa"/>
              <w:left w:w="120" w:type="dxa"/>
              <w:right w:w="120" w:type="dxa"/>
            </w:tcMar>
          </w:tcPr>
          <w:p>
            <w:r>
              <w:rPr>
                <w:sz w:val="18"/>
              </w:rPr>
              <w:t>MFA-01, R-007</w:t>
            </w:r>
          </w:p>
        </w:tc>
        <w:tc>
          <w:tcPr>
            <w:tcW w:w="1400" w:type="dxa"/>
            <w:shd w:val="clear" w:fill="EBF3FB"/>
            <w:tcMar>
              <w:top w:w="80" w:type="dxa"/>
              <w:bottom w:w="80" w:type="dxa"/>
              <w:left w:w="120" w:type="dxa"/>
              <w:right w:w="120" w:type="dxa"/>
            </w:tcMar>
          </w:tcPr>
          <w:p>
            <w:r>
              <w:rPr>
                <w:b/>
                <w:color w:val="375623"/>
                <w:sz w:val="18"/>
              </w:rPr>
              <w:t>7 days</w:t>
            </w:r>
          </w:p>
        </w:tc>
      </w:tr>
    </w:tbl>
    <w:p>
      <w:pPr>
        <w:spacing w:after="160"/>
      </w:pPr>
    </w:p>
    <w:p>
      <w:pPr>
        <w:shd w:val="clear" w:fill="EBF3FB"/>
        <w:spacing w:before="80" w:after="80"/>
      </w:pPr>
      <w:r>
        <w:rPr>
          <w:b/>
          <w:color w:val="1F3864"/>
        </w:rPr>
        <w:t xml:space="preserve">Analyst Note: </w:t>
      </w:r>
      <w:r>
        <w:rPr>
          <w:color w:val="1F3864"/>
        </w:rPr>
        <w:t xml:space="preserve">The volume and variety of anomalies identified across a 15-day window — spanning terminated account reuse, brute-force on a Super-Admin, impossible travel across six users, privilege escalation, coordinated MFA failures, and persistent exemption violations — is consistent with an environment under active adversarial pressure. The common thread is that every incident maps directly to a control gap already documented in this report. No new vulnerabilities were discovered; all six incidents were enabled by the same deficiencies identified in Sections 3–10. Prioritising INC-001 and INC-002 for immediate response, and completing the full control implementation roadmap within the timelines set in Section 10, will close the attack surface exposed by these logs.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pBdr>
      <w:tabs>
        <w:tab w:val="right" w:pos="9026"/>
      </w:tabs>
      <w:spacing w:after="0" w:before="80"/>
    </w:pPr>
    <w:r>
      <w:rPr>
        <w:rFonts w:ascii="Arial" w:cs="Arial" w:eastAsia="Arial" w:hAnsi="Arial"/>
        <w:color w:val="9BA3B8"/>
        <w:sz w:val="16"/>
        <w:szCs w:val="16"/>
      </w:rPr>
      <w:t xml:space="preserve">Section 2: IAM Security Controls &amp; Recommendations  |  Internal — Restricted</w:t>
    </w:r>
    <w:r>
      <w:rPr>
        <w:rFonts w:ascii="Arial" w:cs="Arial" w:eastAsia="Arial" w:hAnsi="Arial"/>
        <w:sz w:val="16"/>
        <w:szCs w:val="16"/>
      </w:rPr>
      <w:t xml:space="preserve">	</w:t>
    </w:r>
    <w:r>
      <w:rPr>
        <w:rFonts w:ascii="Arial" w:cs="Arial" w:eastAsia="Arial" w:hAnsi="Arial"/>
        <w:color w:val="9B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pBdr>
      <w:tabs>
        <w:tab w:val="right" w:pos="9026"/>
      </w:tabs>
      <w:spacing w:after="80" w:before="0"/>
    </w:pPr>
    <w:r>
      <w:rPr>
        <w:rFonts w:ascii="Arial" w:cs="Arial" w:eastAsia="Arial" w:hAnsi="Arial"/>
        <w:color w:val="9BA3B8"/>
        <w:sz w:val="16"/>
        <w:szCs w:val="16"/>
      </w:rPr>
      <w:t xml:space="preserve">NovaPay Financial Technologies  |  IAM Security Controls &amp; Recommendations  |  </w:t>
    </w:r>
    <w:r>
      <w:rPr>
        <w:rFonts w:ascii="Arial" w:cs="Arial" w:eastAsia="Arial" w:hAnsi="Arial"/>
        <w:b/>
        <w:bCs/>
        <w:color w:val="C0392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640" w:hanging="360"/>
      </w:pPr>
    </w:lvl>
  </w:abstractNum>
  <w:abstractNum w:abstractNumId="6" w15:restartNumberingAfterBreak="0">
    <w:multiLevelType w:val="hybridMultilevel"/>
    <w:lvl w:ilvl="0" w15:tentative="1">
      <w:start w:val="1"/>
      <w:numFmt w:val="bullet"/>
      <w:lvlText w:val="→"/>
      <w:lvlJc w:val="left"/>
      <w:pPr>
        <w:ind w:left="640" w:hanging="36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32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2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2026-04-28T18:54:59.193Z</dcterms:created>
  <dcterms:modified xsi:type="dcterms:W3CDTF">2026-04-28T18:54:59.193Z</dcterms:modified>
</cp:coreProperties>
</file>

<file path=docProps/custom.xml><?xml version="1.0" encoding="utf-8"?>
<Properties xmlns="http://schemas.openxmlformats.org/officeDocument/2006/custom-properties" xmlns:vt="http://schemas.openxmlformats.org/officeDocument/2006/docPropsVTypes"/>
</file>