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Test Strategy Document – Life Insurance Underwriter Application</w:t>
      </w:r>
    </w:p>
    <w:p>
      <w:r>
        <w:rPr>
          <w:b/>
        </w:rPr>
        <w:t>Generated Date: 10-May-2026</w:t>
      </w:r>
    </w:p>
    <w:p>
      <w:pPr>
        <w:pStyle w:val="Heading2"/>
      </w:pPr>
      <w:r>
        <w:t>1. Introduction</w:t>
      </w:r>
    </w:p>
    <w:p>
      <w:r>
        <w:t>This Test Strategy document defines the overall testing approach, objectives, scope, methodology, environments, risks, and deliverables for the Life Insurance Underwriter application. The goal is to ensure accurate underwriting workflows, business validation, and stable system behavior.</w:t>
      </w:r>
    </w:p>
    <w:p>
      <w:pPr>
        <w:pStyle w:val="Heading2"/>
      </w:pPr>
      <w:r>
        <w:t>2. Project Context</w:t>
      </w:r>
    </w:p>
    <w:tbl>
      <w:tblPr>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Selected Answer</w:t>
            </w:r>
          </w:p>
        </w:tc>
      </w:tr>
      <w:tr>
        <w:tc>
          <w:tcPr>
            <w:tcW w:type="dxa" w:w="4320"/>
          </w:tcPr>
          <w:p>
            <w:r>
              <w:t>Primary Scope of Testing</w:t>
            </w:r>
          </w:p>
        </w:tc>
        <w:tc>
          <w:tcPr>
            <w:tcW w:type="dxa" w:w="4320"/>
          </w:tcPr>
          <w:p>
            <w:r>
              <w:t>End-to-End Testing across all insurance workflows</w:t>
            </w:r>
          </w:p>
        </w:tc>
      </w:tr>
      <w:tr>
        <w:tc>
          <w:tcPr>
            <w:tcW w:type="dxa" w:w="4320"/>
          </w:tcPr>
          <w:p>
            <w:r>
              <w:t>Testing Methodology</w:t>
            </w:r>
          </w:p>
        </w:tc>
        <w:tc>
          <w:tcPr>
            <w:tcW w:type="dxa" w:w="4320"/>
          </w:tcPr>
          <w:p>
            <w:r>
              <w:t>Agile/Scrum based Continuous Testing</w:t>
            </w:r>
          </w:p>
        </w:tc>
      </w:tr>
      <w:tr>
        <w:tc>
          <w:tcPr>
            <w:tcW w:type="dxa" w:w="4320"/>
          </w:tcPr>
          <w:p>
            <w:r>
              <w:t>Automation Coverage</w:t>
            </w:r>
          </w:p>
        </w:tc>
        <w:tc>
          <w:tcPr>
            <w:tcW w:type="dxa" w:w="4320"/>
          </w:tcPr>
          <w:p>
            <w:r>
              <w:t>Manual Testing only</w:t>
            </w:r>
          </w:p>
        </w:tc>
      </w:tr>
      <w:tr>
        <w:tc>
          <w:tcPr>
            <w:tcW w:type="dxa" w:w="4320"/>
          </w:tcPr>
          <w:p>
            <w:r>
              <w:t>Environment Strategy</w:t>
            </w:r>
          </w:p>
        </w:tc>
        <w:tc>
          <w:tcPr>
            <w:tcW w:type="dxa" w:w="4320"/>
          </w:tcPr>
          <w:p>
            <w:r>
              <w:t>Multi-Environment Strategy (DEV, QA, SIT, UAT, PRE-PROD)</w:t>
            </w:r>
          </w:p>
        </w:tc>
      </w:tr>
      <w:tr>
        <w:tc>
          <w:tcPr>
            <w:tcW w:type="dxa" w:w="4320"/>
          </w:tcPr>
          <w:p>
            <w:r>
              <w:t>Business Priority</w:t>
            </w:r>
          </w:p>
        </w:tc>
        <w:tc>
          <w:tcPr>
            <w:tcW w:type="dxa" w:w="4320"/>
          </w:tcPr>
          <w:p>
            <w:r>
              <w:t>Accuracy of Underwriting Decisions</w:t>
            </w:r>
          </w:p>
        </w:tc>
      </w:tr>
    </w:tbl>
    <w:p>
      <w:pPr>
        <w:pStyle w:val="Heading2"/>
      </w:pPr>
      <w:r>
        <w:t>3. Testing Objectives</w:t>
      </w:r>
    </w:p>
    <w:p>
      <w:pPr>
        <w:pStyle w:val="ListBullet"/>
      </w:pPr>
      <w:r>
        <w:t>Validate underwriting workflows from policy initiation to approval/rejection.</w:t>
      </w:r>
    </w:p>
    <w:p>
      <w:pPr>
        <w:pStyle w:val="ListBullet"/>
      </w:pPr>
      <w:r>
        <w:t>Ensure business rules and premium calculations are accurate.</w:t>
      </w:r>
    </w:p>
    <w:p>
      <w:pPr>
        <w:pStyle w:val="ListBullet"/>
      </w:pPr>
      <w:r>
        <w:t>Verify integrations with third-party systems and internal insurance services.</w:t>
      </w:r>
    </w:p>
    <w:p>
      <w:pPr>
        <w:pStyle w:val="ListBullet"/>
      </w:pPr>
      <w:r>
        <w:t>Ensure system stability across all testing environments.</w:t>
      </w:r>
    </w:p>
    <w:p>
      <w:pPr>
        <w:pStyle w:val="ListBullet"/>
      </w:pPr>
      <w:r>
        <w:t>Minimize production defects and underwriting decision inaccuracies.</w:t>
      </w:r>
    </w:p>
    <w:p>
      <w:pPr>
        <w:pStyle w:val="Heading2"/>
      </w:pPr>
      <w:r>
        <w:t>4. Scope of Testing</w:t>
      </w:r>
    </w:p>
    <w:p>
      <w:pPr>
        <w:pStyle w:val="ListBullet"/>
      </w:pPr>
      <w:r>
        <w:t>Policy underwriting workflows</w:t>
      </w:r>
    </w:p>
    <w:p>
      <w:pPr>
        <w:pStyle w:val="ListBullet"/>
      </w:pPr>
      <w:r>
        <w:t>Customer data validation</w:t>
      </w:r>
    </w:p>
    <w:p>
      <w:pPr>
        <w:pStyle w:val="ListBullet"/>
      </w:pPr>
      <w:r>
        <w:t>Risk assessment rules</w:t>
      </w:r>
    </w:p>
    <w:p>
      <w:pPr>
        <w:pStyle w:val="ListBullet"/>
      </w:pPr>
      <w:r>
        <w:t>Premium calculations</w:t>
      </w:r>
    </w:p>
    <w:p>
      <w:pPr>
        <w:pStyle w:val="ListBullet"/>
      </w:pPr>
      <w:r>
        <w:t>Document verification</w:t>
      </w:r>
    </w:p>
    <w:p>
      <w:pPr>
        <w:pStyle w:val="ListBullet"/>
      </w:pPr>
      <w:r>
        <w:t>Integration with external systems</w:t>
      </w:r>
    </w:p>
    <w:p>
      <w:pPr>
        <w:pStyle w:val="ListBullet"/>
      </w:pPr>
      <w:r>
        <w:t>Reporting and notifications</w:t>
      </w:r>
    </w:p>
    <w:p>
      <w:pPr>
        <w:pStyle w:val="Heading2"/>
      </w:pPr>
      <w:r>
        <w:t>5. Testing Types</w:t>
      </w:r>
    </w:p>
    <w:p>
      <w:pPr>
        <w:pStyle w:val="ListBullet"/>
      </w:pPr>
      <w:r>
        <w:t>Functional Testing</w:t>
      </w:r>
    </w:p>
    <w:p>
      <w:pPr>
        <w:pStyle w:val="ListBullet"/>
      </w:pPr>
      <w:r>
        <w:t>Integration Testing</w:t>
      </w:r>
    </w:p>
    <w:p>
      <w:pPr>
        <w:pStyle w:val="ListBullet"/>
      </w:pPr>
      <w:r>
        <w:t>System Testing</w:t>
      </w:r>
    </w:p>
    <w:p>
      <w:pPr>
        <w:pStyle w:val="ListBullet"/>
      </w:pPr>
      <w:r>
        <w:t>End-to-End Testing</w:t>
      </w:r>
    </w:p>
    <w:p>
      <w:pPr>
        <w:pStyle w:val="ListBullet"/>
      </w:pPr>
      <w:r>
        <w:t>Regression Testing</w:t>
      </w:r>
    </w:p>
    <w:p>
      <w:pPr>
        <w:pStyle w:val="ListBullet"/>
      </w:pPr>
      <w:r>
        <w:t>User Acceptance Testing (UAT)</w:t>
      </w:r>
    </w:p>
    <w:p>
      <w:pPr>
        <w:pStyle w:val="ListBullet"/>
      </w:pPr>
      <w:r>
        <w:t>Database Validation Testing</w:t>
      </w:r>
    </w:p>
    <w:p>
      <w:pPr>
        <w:pStyle w:val="Heading2"/>
      </w:pPr>
      <w:r>
        <w:t>6. Test Environment Strategy</w:t>
      </w:r>
    </w:p>
    <w:p>
      <w:r>
        <w:t>Testing will be executed across DEV, QA, SIT, UAT, and PRE-PROD environments to ensure stability and business validation before production deployment.</w:t>
      </w:r>
    </w:p>
    <w:p>
      <w:pPr>
        <w:pStyle w:val="Heading2"/>
      </w:pPr>
      <w:r>
        <w:t>7. Test Data Management</w:t>
      </w:r>
    </w:p>
    <w:p>
      <w:r>
        <w:t>Test data will include customer profiles, policy information, underwriting rules, medical history scenarios, and financial assessment records. Masked or synthetic data will be used where applicable.</w:t>
      </w:r>
    </w:p>
    <w:p>
      <w:pPr>
        <w:pStyle w:val="Heading2"/>
      </w:pPr>
      <w:r>
        <w:t>8. Defect Management</w:t>
      </w:r>
    </w:p>
    <w:p>
      <w:r>
        <w:t>Defects will be logged, tracked, prioritized, and resolved using an Agile defect lifecycle. Severity and priority classifications will guide resolution timelines.</w:t>
      </w:r>
    </w:p>
    <w:p>
      <w:pPr>
        <w:pStyle w:val="Heading2"/>
      </w:pPr>
      <w:r>
        <w:t>9. Risks and Mitigation</w:t>
      </w:r>
    </w:p>
    <w:tbl>
      <w:tblPr>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Incorrect underwriting calculations</w:t>
            </w:r>
          </w:p>
        </w:tc>
        <w:tc>
          <w:tcPr>
            <w:tcW w:type="dxa" w:w="4320"/>
          </w:tcPr>
          <w:p>
            <w:r>
              <w:t>Perform detailed business rule validation</w:t>
            </w:r>
          </w:p>
        </w:tc>
      </w:tr>
      <w:tr>
        <w:tc>
          <w:tcPr>
            <w:tcW w:type="dxa" w:w="4320"/>
          </w:tcPr>
          <w:p>
            <w:r>
              <w:t>Environment instability</w:t>
            </w:r>
          </w:p>
        </w:tc>
        <w:tc>
          <w:tcPr>
            <w:tcW w:type="dxa" w:w="4320"/>
          </w:tcPr>
          <w:p>
            <w:r>
              <w:t>Use environment monitoring and smoke validation</w:t>
            </w:r>
          </w:p>
        </w:tc>
      </w:tr>
      <w:tr>
        <w:tc>
          <w:tcPr>
            <w:tcW w:type="dxa" w:w="4320"/>
          </w:tcPr>
          <w:p>
            <w:r>
              <w:t>Requirement changes during sprint</w:t>
            </w:r>
          </w:p>
        </w:tc>
        <w:tc>
          <w:tcPr>
            <w:tcW w:type="dxa" w:w="4320"/>
          </w:tcPr>
          <w:p>
            <w:r>
              <w:t>Adopt Agile continuous testing practices</w:t>
            </w:r>
          </w:p>
        </w:tc>
      </w:tr>
      <w:tr>
        <w:tc>
          <w:tcPr>
            <w:tcW w:type="dxa" w:w="4320"/>
          </w:tcPr>
          <w:p>
            <w:r>
              <w:t>Integration failures</w:t>
            </w:r>
          </w:p>
        </w:tc>
        <w:tc>
          <w:tcPr>
            <w:tcW w:type="dxa" w:w="4320"/>
          </w:tcPr>
          <w:p>
            <w:r>
              <w:t>Conduct early integration and API testing</w:t>
            </w:r>
          </w:p>
        </w:tc>
      </w:tr>
    </w:tbl>
    <w:p>
      <w:pPr>
        <w:pStyle w:val="Heading2"/>
      </w:pPr>
      <w:r>
        <w:t>10. Entry and Exit Criteria</w:t>
      </w:r>
    </w:p>
    <w:p>
      <w:pPr>
        <w:pStyle w:val="ListBullet"/>
      </w:pPr>
      <w:r>
        <w:t>Entry Criteria:</w:t>
      </w:r>
    </w:p>
    <w:p>
      <w:pPr>
        <w:pStyle w:val="ListContinue"/>
      </w:pPr>
      <w:r>
        <w:t>Requirements are approved</w:t>
      </w:r>
    </w:p>
    <w:p>
      <w:pPr>
        <w:pStyle w:val="ListContinue"/>
      </w:pPr>
      <w:r>
        <w:t>Test environment is available</w:t>
      </w:r>
    </w:p>
    <w:p>
      <w:pPr>
        <w:pStyle w:val="ListContinue"/>
      </w:pPr>
      <w:r>
        <w:t>Test data is prepared</w:t>
      </w:r>
    </w:p>
    <w:p>
      <w:pPr>
        <w:pStyle w:val="ListContinue"/>
      </w:pPr>
      <w:r>
        <w:t>Build deployment completed</w:t>
      </w:r>
    </w:p>
    <w:p>
      <w:pPr>
        <w:pStyle w:val="ListBullet"/>
      </w:pPr>
      <w:r>
        <w:t>Exit Criteria:</w:t>
      </w:r>
    </w:p>
    <w:p>
      <w:pPr>
        <w:pStyle w:val="ListContinue"/>
      </w:pPr>
      <w:r>
        <w:t>All critical test cases executed</w:t>
      </w:r>
    </w:p>
    <w:p>
      <w:pPr>
        <w:pStyle w:val="ListContinue"/>
      </w:pPr>
      <w:r>
        <w:t>No open critical defects</w:t>
      </w:r>
    </w:p>
    <w:p>
      <w:pPr>
        <w:pStyle w:val="ListContinue"/>
      </w:pPr>
      <w:r>
        <w:t>Business validation completed</w:t>
      </w:r>
    </w:p>
    <w:p>
      <w:pPr>
        <w:pStyle w:val="ListContinue"/>
      </w:pPr>
      <w:r>
        <w:t>Test summary report approved</w:t>
      </w:r>
    </w:p>
    <w:p>
      <w:pPr>
        <w:pStyle w:val="Heading2"/>
      </w:pPr>
      <w:r>
        <w:t>11. Deliverables</w:t>
      </w:r>
    </w:p>
    <w:p>
      <w:pPr>
        <w:pStyle w:val="ListBullet"/>
      </w:pPr>
      <w:r>
        <w:t>Test Strategy Document</w:t>
      </w:r>
    </w:p>
    <w:p>
      <w:pPr>
        <w:pStyle w:val="ListBullet"/>
      </w:pPr>
      <w:r>
        <w:t>Test Plan</w:t>
      </w:r>
    </w:p>
    <w:p>
      <w:pPr>
        <w:pStyle w:val="ListBullet"/>
      </w:pPr>
      <w:r>
        <w:t>Test Cases</w:t>
      </w:r>
    </w:p>
    <w:p>
      <w:pPr>
        <w:pStyle w:val="ListBullet"/>
      </w:pPr>
      <w:r>
        <w:t>Defect Reports</w:t>
      </w:r>
    </w:p>
    <w:p>
      <w:pPr>
        <w:pStyle w:val="ListBullet"/>
      </w:pPr>
      <w:r>
        <w:t>Execution Reports</w:t>
      </w:r>
    </w:p>
    <w:p>
      <w:pPr>
        <w:pStyle w:val="ListBullet"/>
      </w:pPr>
      <w:r>
        <w:t>Test Summary Report</w:t>
      </w:r>
    </w:p>
    <w:p>
      <w:pPr>
        <w:pStyle w:val="Heading2"/>
      </w:pPr>
      <w:r>
        <w:t>12. Conclusion</w:t>
      </w:r>
    </w:p>
    <w:p>
      <w:r>
        <w:t>This testing strategy ensures comprehensive validation of the Life Insurance Underwriter application with a strong focus on underwriting accuracy, workflow validation, and system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