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eNDinomics</w:t>
      </w:r>
    </w:p>
    <w:p>
      <w:pPr>
        <w:spacing w:before="0" w:after="120"/>
        <w:jc w:val="center"/>
      </w:pPr>
      <w:r>
        <w:rPr>
          <w:rFonts w:ascii="Arial" w:cs="Arial" w:eastAsia="Arial" w:hAnsi="Arial"/>
          <w:color w:val="2E75B6"/>
          <w:sz w:val="36"/>
          <w:szCs w:val="36"/>
        </w:rPr>
        <w:t xml:space="preserve">Investment Platform — Grand Architecture Plan</w:t>
      </w:r>
    </w:p>
    <w:p>
      <w:pPr>
        <w:spacing w:before="0" w:after="960"/>
        <w:jc w:val="center"/>
      </w:pPr>
      <w:r>
        <w:rPr>
          <w:rFonts w:ascii="Arial" w:cs="Arial" w:eastAsia="Arial" w:hAnsi="Arial"/>
          <w:i/>
          <w:iCs/>
          <w:color w:val="808080"/>
          <w:sz w:val="22"/>
          <w:szCs w:val="22"/>
        </w:rPr>
        <w:t xml:space="preserve">Version 1.0  |  March 2026  |  CONFIDENTIAL</w:t>
      </w:r>
    </w:p>
    <w:p>
      <w:pPr>
        <w:pBdr>
          <w:bottom w:val="single" w:color="2E75B6" w:sz="4" w:space="1"/>
        </w:pBdr>
        <w:spacing w:before="120" w:after="120"/>
      </w:pPr>
      <w:r>
        <w:t xml:space="preserve"/>
      </w:r>
    </w:p>
    <w:p>
      <w:pPr>
        <w:spacing w:before="240" w:after="0"/>
      </w:pPr>
      <w:r>
        <w:t xml:space="preserve"/>
      </w:r>
    </w:p>
    <w:p>
      <w:pPr>
        <w:pStyle w:val="Heading1"/>
        <w:spacing w:before="360" w:after="120"/>
      </w:pPr>
      <w:r>
        <w:rPr>
          <w:rFonts w:ascii="Arial" w:cs="Arial" w:eastAsia="Arial" w:hAnsi="Arial"/>
          <w:b/>
          <w:bCs/>
          <w:color w:val="1F4E79"/>
          <w:sz w:val="36"/>
          <w:szCs w:val="36"/>
        </w:rPr>
        <w:t xml:space="preserve">1. North Star Vision</w:t>
      </w:r>
    </w:p>
    <w:p>
      <w:pPr>
        <w:spacing w:before="60" w:after="80"/>
      </w:pPr>
      <w:r>
        <w:rPr>
          <w:rFonts w:ascii="Arial" w:cs="Arial" w:eastAsia="Arial" w:hAnsi="Arial"/>
          <w:sz w:val="22"/>
          <w:szCs w:val="22"/>
        </w:rPr>
        <w:t xml:space="preserve">eNDinomics is being built to answer a question that no existing tool answers well: given realistic, time-varying market conditions — not static averages — will a specific retirement plan survive, and what should be done about it today?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Origin</w:t>
            </w:r>
          </w:p>
          <w:p>
            <w:pPr>
              <w:spacing w:before="0" w:after="0"/>
            </w:pPr>
            <w:r>
              <w:rPr>
                <w:rFonts w:ascii="Arial" w:cs="Arial" w:eastAsia="Arial" w:hAnsi="Arial"/>
                <w:sz w:val="21"/>
                <w:szCs w:val="21"/>
              </w:rPr>
              <w:t xml:space="preserve">Every mainstream retirement tool assumes static market conditions: x% average return, fixed inflation, smooth distributions. None allows you to model sequence-of-returns risk with precision — the scenario where markets tank in year 2 vs year 15, with bad inflation at specific points, is categorically different in outcome even if the 30-year average return is identical. eNDinomics was built to model exactly that.</w:t>
            </w:r>
          </w:p>
        </w:tc>
      </w:tr>
    </w:tbl>
    <w:p>
      <w:pPr>
        <w:spacing w:before="120" w:after="0"/>
      </w:pPr>
      <w:r>
        <w:t xml:space="preserve"/>
      </w:r>
    </w:p>
    <w:p>
      <w:pPr>
        <w:spacing w:before="60" w:after="80"/>
      </w:pPr>
      <w:r>
        <w:rPr>
          <w:rFonts w:ascii="Arial" w:cs="Arial" w:eastAsia="Arial" w:hAnsi="Arial"/>
          <w:sz w:val="22"/>
          <w:szCs w:val="22"/>
        </w:rPr>
        <w:t xml:space="preserve">The scope has grown organically because the problem is genuinely complex. The asset model required to do this well is not a config file — it is a continuously improving model artifact. The simulation engine required to consume it is not a retirement calculator — it is a general-purpose stochastic market simulator. And the outputs of that simulator can serve multiple verticals beyond retirement planning.</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2. The Two Verticals</w:t>
      </w:r>
    </w:p>
    <w:p>
      <w:pPr>
        <w:spacing w:before="60" w:after="80"/>
      </w:pPr>
      <w:r>
        <w:rPr>
          <w:rFonts w:ascii="Arial" w:cs="Arial" w:eastAsia="Arial" w:hAnsi="Arial"/>
          <w:sz w:val="22"/>
          <w:szCs w:val="22"/>
        </w:rPr>
        <w:t xml:space="preserve">The platform serves two distinct applications built on a shared infrastructure core. Both consume the same asset model and simulation engine but answer fundamentally different questions.</w:t>
      </w:r>
    </w:p>
    <w:p>
      <w:pPr>
        <w:spacing w:before="80" w:after="0"/>
      </w:pPr>
      <w:r>
        <w:t xml:space="preserve"/>
      </w:r>
    </w:p>
    <w:p>
      <w:pPr>
        <w:pStyle w:val="Heading2"/>
        <w:spacing w:before="280" w:after="80"/>
      </w:pPr>
      <w:r>
        <w:rPr>
          <w:rFonts w:ascii="Arial" w:cs="Arial" w:eastAsia="Arial" w:hAnsi="Arial"/>
          <w:b/>
          <w:bCs/>
          <w:color w:val="2E75B6"/>
          <w:sz w:val="28"/>
          <w:szCs w:val="28"/>
        </w:rPr>
        <w:t xml:space="preserve">2.1 Vertical 1 — Retirement Guardian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Primary Question</w:t>
            </w:r>
          </w:p>
          <w:p>
            <w:pPr>
              <w:spacing w:before="0" w:after="0"/>
            </w:pPr>
            <w:r>
              <w:rPr>
                <w:rFonts w:ascii="Arial" w:cs="Arial" w:eastAsia="Arial" w:hAnsi="Arial"/>
                <w:sz w:val="21"/>
                <w:szCs w:val="21"/>
              </w:rPr>
              <w:t xml:space="preserve">"Will the plan hold over 30 years — and is it being executed with discipline today?"</w:t>
            </w:r>
          </w:p>
        </w:tc>
      </w:tr>
    </w:tbl>
    <w:p>
      <w:pPr>
        <w:spacing w:before="80" w:after="0"/>
      </w:pPr>
      <w:r>
        <w:t xml:space="preserve"/>
      </w:r>
    </w:p>
    <w:p>
      <w:pPr>
        <w:spacing w:before="60" w:after="80"/>
      </w:pPr>
      <w:r>
        <w:rPr>
          <w:rFonts w:ascii="Arial" w:cs="Arial" w:eastAsia="Arial" w:hAnsi="Arial"/>
          <w:sz w:val="22"/>
          <w:szCs w:val="22"/>
        </w:rPr>
        <w:t xml:space="preserve">The retirement guardian serves an individual retiree or near-retiree. Its mandate is defensive: preserve capital, minimize tax drag, execute withdrawals in the right sequence, and protect against behavioral errors and financial exploitation.</w:t>
      </w:r>
    </w:p>
    <w:p>
      <w:pPr>
        <w:spacing w:before="80" w:after="0"/>
      </w:pPr>
      <w:r>
        <w:t xml:space="preserve"/>
      </w:r>
    </w:p>
    <w:p>
      <w:pPr>
        <w:pStyle w:val="ListParagraph"/>
        <w:numPr>
          <w:ilvl w:val="0"/>
          <w:numId w:val="2"/>
        </w:numPr>
        <w:spacing w:before="40" w:after="40"/>
      </w:pPr>
      <w:r>
        <w:rPr>
          <w:rFonts w:ascii="Arial" w:cs="Arial" w:eastAsia="Arial" w:hAnsi="Arial"/>
          <w:b/>
          <w:bCs/>
          <w:sz w:val="22"/>
          <w:szCs w:val="22"/>
        </w:rPr>
        <w:t xml:space="preserve">Monte Carlo projections: </w:t>
      </w:r>
      <w:r>
        <w:rPr>
          <w:rFonts w:ascii="Arial" w:cs="Arial" w:eastAsia="Arial" w:hAnsi="Arial"/>
          <w:sz w:val="22"/>
          <w:szCs w:val="22"/>
        </w:rPr>
        <w:t xml:space="preserve">30-year stochastic paths across thousands of market scenarios, not averages.</w:t>
      </w:r>
    </w:p>
    <w:p>
      <w:pPr>
        <w:pStyle w:val="ListParagraph"/>
        <w:numPr>
          <w:ilvl w:val="0"/>
          <w:numId w:val="2"/>
        </w:numPr>
        <w:spacing w:before="40" w:after="40"/>
      </w:pPr>
      <w:r>
        <w:rPr>
          <w:rFonts w:ascii="Arial" w:cs="Arial" w:eastAsia="Arial" w:hAnsi="Arial"/>
          <w:b/>
          <w:bCs/>
          <w:sz w:val="22"/>
          <w:szCs w:val="22"/>
        </w:rPr>
        <w:t xml:space="preserve">Sequence-of-returns modeling: </w:t>
      </w:r>
      <w:r>
        <w:rPr>
          <w:rFonts w:ascii="Arial" w:cs="Arial" w:eastAsia="Arial" w:hAnsi="Arial"/>
          <w:sz w:val="22"/>
          <w:szCs w:val="22"/>
        </w:rPr>
        <w:t xml:space="preserve">Specific bad conditions (crash, inflation spike) injected at specific years — the feature that motivated building this tool.</w:t>
      </w:r>
    </w:p>
    <w:p>
      <w:pPr>
        <w:pStyle w:val="ListParagraph"/>
        <w:numPr>
          <w:ilvl w:val="0"/>
          <w:numId w:val="2"/>
        </w:numPr>
        <w:spacing w:before="40" w:after="40"/>
      </w:pPr>
      <w:r>
        <w:rPr>
          <w:rFonts w:ascii="Arial" w:cs="Arial" w:eastAsia="Arial" w:hAnsi="Arial"/>
          <w:b/>
          <w:bCs/>
          <w:sz w:val="22"/>
          <w:szCs w:val="22"/>
        </w:rPr>
        <w:t xml:space="preserve">Tax optimization: </w:t>
      </w:r>
      <w:r>
        <w:rPr>
          <w:rFonts w:ascii="Arial" w:cs="Arial" w:eastAsia="Arial" w:hAnsi="Arial"/>
          <w:sz w:val="22"/>
          <w:szCs w:val="22"/>
        </w:rPr>
        <w:t xml:space="preserve">Roth conversions, withdrawal sequencing (brokerage → Traditional IRA → Roth), LTCG harvesting.</w:t>
      </w:r>
    </w:p>
    <w:p>
      <w:pPr>
        <w:pStyle w:val="ListParagraph"/>
        <w:numPr>
          <w:ilvl w:val="0"/>
          <w:numId w:val="2"/>
        </w:numPr>
        <w:spacing w:before="40" w:after="40"/>
      </w:pPr>
      <w:r>
        <w:rPr>
          <w:rFonts w:ascii="Arial" w:cs="Arial" w:eastAsia="Arial" w:hAnsi="Arial"/>
          <w:b/>
          <w:bCs/>
          <w:sz w:val="22"/>
          <w:szCs w:val="22"/>
        </w:rPr>
        <w:t xml:space="preserve">RMD management: </w:t>
      </w:r>
      <w:r>
        <w:rPr>
          <w:rFonts w:ascii="Arial" w:cs="Arial" w:eastAsia="Arial" w:hAnsi="Arial"/>
          <w:sz w:val="22"/>
          <w:szCs w:val="22"/>
        </w:rPr>
        <w:t xml:space="preserve">SECURE 2.0 brackets, reinvestment of surplus RMDs, Roth conversion interaction.</w:t>
      </w:r>
    </w:p>
    <w:p>
      <w:pPr>
        <w:pStyle w:val="ListParagraph"/>
        <w:numPr>
          <w:ilvl w:val="0"/>
          <w:numId w:val="2"/>
        </w:numPr>
        <w:spacing w:before="40" w:after="40"/>
      </w:pPr>
      <w:r>
        <w:rPr>
          <w:rFonts w:ascii="Arial" w:cs="Arial" w:eastAsia="Arial" w:hAnsi="Arial"/>
          <w:b/>
          <w:bCs/>
          <w:sz w:val="22"/>
          <w:szCs w:val="22"/>
        </w:rPr>
        <w:t xml:space="preserve">Rebalancing discipline: </w:t>
      </w:r>
      <w:r>
        <w:rPr>
          <w:rFonts w:ascii="Arial" w:cs="Arial" w:eastAsia="Arial" w:hAnsi="Arial"/>
          <w:sz w:val="22"/>
          <w:szCs w:val="22"/>
        </w:rPr>
        <w:t xml:space="preserve">Drift-band rebalancing with policy suppression during bad markets, LTCG cap on brokerage rebalancing.</w:t>
      </w:r>
    </w:p>
    <w:p>
      <w:pPr>
        <w:pStyle w:val="ListParagraph"/>
        <w:numPr>
          <w:ilvl w:val="0"/>
          <w:numId w:val="2"/>
        </w:numPr>
        <w:spacing w:before="40" w:after="40"/>
      </w:pPr>
      <w:r>
        <w:rPr>
          <w:rFonts w:ascii="Arial" w:cs="Arial" w:eastAsia="Arial" w:hAnsi="Arial"/>
          <w:b/>
          <w:bCs/>
          <w:sz w:val="22"/>
          <w:szCs w:val="22"/>
        </w:rPr>
        <w:t xml:space="preserve">Behavioral guardrails: </w:t>
      </w:r>
      <w:r>
        <w:rPr>
          <w:rFonts w:ascii="Arial" w:cs="Arial" w:eastAsia="Arial" w:hAnsi="Arial"/>
          <w:sz w:val="22"/>
          <w:szCs w:val="22"/>
        </w:rPr>
        <w:t xml:space="preserve">Show the Monte Carlo impact of reactive decisions ("move everything to cash") before acting.</w:t>
      </w:r>
    </w:p>
    <w:p>
      <w:pPr>
        <w:pStyle w:val="ListParagraph"/>
        <w:numPr>
          <w:ilvl w:val="0"/>
          <w:numId w:val="2"/>
        </w:numPr>
        <w:spacing w:before="40" w:after="40"/>
      </w:pPr>
      <w:r>
        <w:rPr>
          <w:rFonts w:ascii="Arial" w:cs="Arial" w:eastAsia="Arial" w:hAnsi="Arial"/>
          <w:b/>
          <w:bCs/>
          <w:sz w:val="22"/>
          <w:szCs w:val="22"/>
        </w:rPr>
        <w:t xml:space="preserve">Fraud / scheme detection: </w:t>
      </w:r>
      <w:r>
        <w:rPr>
          <w:rFonts w:ascii="Arial" w:cs="Arial" w:eastAsia="Arial" w:hAnsi="Arial"/>
          <w:sz w:val="22"/>
          <w:szCs w:val="22"/>
        </w:rPr>
        <w:t xml:space="preserve">Cross-reference any proposed investment against the asset model. No legitimate asset delivers guaranteed above-market returns at stated risk levels. Flag Ponzi-like return profiles explicitly.</w:t>
      </w:r>
    </w:p>
    <w:p>
      <w:pPr>
        <w:spacing w:before="80" w:after="0"/>
      </w:pPr>
      <w:r>
        <w:t xml:space="preserve"/>
      </w:r>
    </w:p>
    <w:p>
      <w:pPr>
        <w:spacing w:before="60" w:after="80"/>
      </w:pPr>
      <w:r>
        <w:rPr>
          <w:rFonts w:ascii="Arial" w:cs="Arial" w:eastAsia="Arial" w:hAnsi="Arial"/>
          <w:sz w:val="22"/>
          <w:szCs w:val="22"/>
        </w:rPr>
        <w:t xml:space="preserve">The retirement guardian has an asymmetric risk mandate: it cannot afford to be systematically wrong. A retiree at 75 cannot recover from a bad call. The confidence threshold for action is higher here than in the fund management vertical.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Retirement Guardian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years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Mindset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Defensive, tax-aware, drawdown-sensitive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threshold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signal confidence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tolerance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low — no recovery time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Complexity bias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Fewer, broader, cheaper instruments preferred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risk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Sequence of returns + behavioral errors + exploitation</w:t>
            </w:r>
          </w:p>
        </w:tc>
      </w:tr>
    </w:tbl>
    <w:p>
      <w:pPr>
        <w:spacing w:before="200" w:after="0"/>
      </w:pPr>
      <w:r>
        <w:t xml:space="preserve"/>
      </w:r>
    </w:p>
    <w:p>
      <w:pPr>
        <w:pStyle w:val="Heading2"/>
        <w:spacing w:before="280" w:after="80"/>
      </w:pPr>
      <w:r>
        <w:rPr>
          <w:rFonts w:ascii="Arial" w:cs="Arial" w:eastAsia="Arial" w:hAnsi="Arial"/>
          <w:b/>
          <w:bCs/>
          <w:color w:val="2E75B6"/>
          <w:sz w:val="28"/>
          <w:szCs w:val="28"/>
        </w:rPr>
        <w:t xml:space="preserve">2.2 Vertical 2 — Fund Management Engine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Primary Question</w:t>
            </w:r>
          </w:p>
          <w:p>
            <w:pPr>
              <w:spacing w:before="0" w:after="0"/>
            </w:pPr>
            <w:r>
              <w:rPr>
                <w:rFonts w:ascii="Arial" w:cs="Arial" w:eastAsia="Arial" w:hAnsi="Arial"/>
                <w:sz w:val="21"/>
                <w:szCs w:val="21"/>
              </w:rPr>
              <w:t xml:space="preserve">"What should I do TODAY, and WHEN — given intent, signal, and constraints?"</w:t>
            </w:r>
          </w:p>
        </w:tc>
      </w:tr>
    </w:tbl>
    <w:p>
      <w:pPr>
        <w:spacing w:before="80" w:after="0"/>
      </w:pPr>
      <w:r>
        <w:t xml:space="preserve"/>
      </w:r>
    </w:p>
    <w:p>
      <w:pPr>
        <w:spacing w:before="60" w:after="80"/>
      </w:pPr>
      <w:r>
        <w:rPr>
          <w:rFonts w:ascii="Arial" w:cs="Arial" w:eastAsia="Arial" w:hAnsi="Arial"/>
          <w:sz w:val="22"/>
          <w:szCs w:val="22"/>
        </w:rPr>
        <w:t xml:space="preserve">The fund management engine serves a professional or sophisticated investor. Its mandate is active: generate alpha, time entries and exits using volume flow and regime signals, optimize execution for tax efficiency, and track outcomes to improve future decisions.</w:t>
      </w:r>
    </w:p>
    <w:p>
      <w:pPr>
        <w:spacing w:before="80" w:after="0"/>
      </w:pPr>
      <w:r>
        <w:t xml:space="preserve"/>
      </w:r>
    </w:p>
    <w:p>
      <w:pPr>
        <w:pStyle w:val="ListParagraph"/>
        <w:numPr>
          <w:ilvl w:val="0"/>
          <w:numId w:val="2"/>
        </w:numPr>
        <w:spacing w:before="40" w:after="40"/>
      </w:pPr>
      <w:r>
        <w:rPr>
          <w:rFonts w:ascii="Arial" w:cs="Arial" w:eastAsia="Arial" w:hAnsi="Arial"/>
          <w:b/>
          <w:bCs/>
          <w:sz w:val="22"/>
          <w:szCs w:val="22"/>
        </w:rPr>
        <w:t xml:space="preserve">Intent parsing: </w:t>
      </w:r>
      <w:r>
        <w:rPr>
          <w:rFonts w:ascii="Arial" w:cs="Arial" w:eastAsia="Arial" w:hAnsi="Arial"/>
          <w:sz w:val="22"/>
          <w:szCs w:val="22"/>
        </w:rPr>
        <w:t xml:space="preserve">Natural language investment intent → structured goal. "I have $500k to deploy, want growth, worried about recession in 18 months, avoid China exposure" → actionable allocation parameters.</w:t>
      </w:r>
    </w:p>
    <w:p>
      <w:pPr>
        <w:pStyle w:val="ListParagraph"/>
        <w:numPr>
          <w:ilvl w:val="0"/>
          <w:numId w:val="2"/>
        </w:numPr>
        <w:spacing w:before="40" w:after="40"/>
      </w:pPr>
      <w:r>
        <w:rPr>
          <w:rFonts w:ascii="Arial" w:cs="Arial" w:eastAsia="Arial" w:hAnsi="Arial"/>
          <w:b/>
          <w:bCs/>
          <w:sz w:val="22"/>
          <w:szCs w:val="22"/>
        </w:rPr>
        <w:t xml:space="preserve">Entry/exit timing: </w:t>
      </w:r>
      <w:r>
        <w:rPr>
          <w:rFonts w:ascii="Arial" w:cs="Arial" w:eastAsia="Arial" w:hAnsi="Arial"/>
          <w:sz w:val="22"/>
          <w:szCs w:val="22"/>
        </w:rPr>
        <w:t xml:space="preserve">Wyckoff accumulation/distribution phase detection, Chaikin Money Flow, volume profile, regime-conditional signals — combined to produce entry timing scores per asset.</w:t>
      </w:r>
    </w:p>
    <w:p>
      <w:pPr>
        <w:pStyle w:val="ListParagraph"/>
        <w:numPr>
          <w:ilvl w:val="0"/>
          <w:numId w:val="2"/>
        </w:numPr>
        <w:spacing w:before="40" w:after="40"/>
      </w:pPr>
      <w:r>
        <w:rPr>
          <w:rFonts w:ascii="Arial" w:cs="Arial" w:eastAsia="Arial" w:hAnsi="Arial"/>
          <w:b/>
          <w:bCs/>
          <w:sz w:val="22"/>
          <w:szCs w:val="22"/>
        </w:rPr>
        <w:t xml:space="preserve">Position sizing: </w:t>
      </w:r>
      <w:r>
        <w:rPr>
          <w:rFonts w:ascii="Arial" w:cs="Arial" w:eastAsia="Arial" w:hAnsi="Arial"/>
          <w:sz w:val="22"/>
          <w:szCs w:val="22"/>
        </w:rPr>
        <w:t xml:space="preserve">Kelly criterion, risk parity, or user-specified. Sized against risk budget and conviction level.</w:t>
      </w:r>
    </w:p>
    <w:p>
      <w:pPr>
        <w:pStyle w:val="ListParagraph"/>
        <w:numPr>
          <w:ilvl w:val="0"/>
          <w:numId w:val="2"/>
        </w:numPr>
        <w:spacing w:before="40" w:after="40"/>
      </w:pPr>
      <w:r>
        <w:rPr>
          <w:rFonts w:ascii="Arial" w:cs="Arial" w:eastAsia="Arial" w:hAnsi="Arial"/>
          <w:b/>
          <w:bCs/>
          <w:sz w:val="22"/>
          <w:szCs w:val="22"/>
        </w:rPr>
        <w:t xml:space="preserve">Execution timing: </w:t>
      </w:r>
      <w:r>
        <w:rPr>
          <w:rFonts w:ascii="Arial" w:cs="Arial" w:eastAsia="Arial" w:hAnsi="Arial"/>
          <w:sz w:val="22"/>
          <w:szCs w:val="22"/>
        </w:rPr>
        <w:t xml:space="preserve">Avoid earnings windows, FOMC proximity, low-liquidity periods. Scale-in vs immediate deployment based on signal confidence.</w:t>
      </w:r>
    </w:p>
    <w:p>
      <w:pPr>
        <w:pStyle w:val="ListParagraph"/>
        <w:numPr>
          <w:ilvl w:val="0"/>
          <w:numId w:val="2"/>
        </w:numPr>
        <w:spacing w:before="40" w:after="40"/>
      </w:pPr>
      <w:r>
        <w:rPr>
          <w:rFonts w:ascii="Arial" w:cs="Arial" w:eastAsia="Arial" w:hAnsi="Arial"/>
          <w:b/>
          <w:bCs/>
          <w:sz w:val="22"/>
          <w:szCs w:val="22"/>
        </w:rPr>
        <w:t xml:space="preserve">Tax-lot optimization: </w:t>
      </w:r>
      <w:r>
        <w:rPr>
          <w:rFonts w:ascii="Arial" w:cs="Arial" w:eastAsia="Arial" w:hAnsi="Arial"/>
          <w:sz w:val="22"/>
          <w:szCs w:val="22"/>
        </w:rPr>
        <w:t xml:space="preserve">LTCG vs short-term treatment, wash sale avoidance, lot selection for minimum tax impact on large taxable accounts.</w:t>
      </w:r>
    </w:p>
    <w:p>
      <w:pPr>
        <w:pStyle w:val="ListParagraph"/>
        <w:numPr>
          <w:ilvl w:val="0"/>
          <w:numId w:val="2"/>
        </w:numPr>
        <w:spacing w:before="40" w:after="40"/>
      </w:pPr>
      <w:r>
        <w:rPr>
          <w:rFonts w:ascii="Arial" w:cs="Arial" w:eastAsia="Arial" w:hAnsi="Arial"/>
          <w:b/>
          <w:bCs/>
          <w:sz w:val="22"/>
          <w:szCs w:val="22"/>
        </w:rPr>
        <w:t xml:space="preserve">Outcome tracking: </w:t>
      </w:r>
      <w:r>
        <w:rPr>
          <w:rFonts w:ascii="Arial" w:cs="Arial" w:eastAsia="Arial" w:hAnsi="Arial"/>
          <w:sz w:val="22"/>
          <w:szCs w:val="22"/>
        </w:rPr>
        <w:t xml:space="preserve">Every decision recorded. Outcomes feed back into model training. The system learns from its own decisions over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Fund Management Engine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to years (intent-dependent)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Mindset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opportunistic, return-maximizing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threshold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signal confidence (expected value positive even with errors)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tolerance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 position sizing manages downside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Complexity bias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Options, sector rotation, factor tilts all valid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risk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Overconfidence, crowded trades, timing errors</w:t>
            </w:r>
          </w:p>
        </w:tc>
      </w:tr>
    </w:tbl>
    <w:p>
      <w:pPr>
        <w:spacing w:before="80" w:after="0"/>
      </w:pPr>
      <w:r>
        <w:t xml:space="preserve"/>
      </w:r>
    </w:p>
    <w:p>
      <w:pPr>
        <w:spacing w:before="60" w:after="80"/>
      </w:pPr>
      <w:r>
        <w:rPr>
          <w:rFonts w:ascii="Arial" w:cs="Arial" w:eastAsia="Arial" w:hAnsi="Arial"/>
          <w:sz w:val="22"/>
          <w:szCs w:val="22"/>
        </w:rPr>
        <w:t xml:space="preserve">The same Wyckoff accumulation signal that tells the fund manager to buy NOW tells the retirement guardian that rebalancing into equities this month is well-timed. Same signal, different consumer, different action, different risk threshold. This is why the shared platform base is architecturally correct.</w:t>
      </w:r>
    </w:p>
    <w:p>
      <w:pPr>
        <w:spacing w:before="200" w:after="0"/>
      </w:pPr>
      <w:r>
        <w:t xml:space="preserve"/>
      </w:r>
    </w:p>
    <w:p>
      <w:pPr>
        <w:pStyle w:val="Heading2"/>
        <w:spacing w:before="240" w:after="120"/>
      </w:pPr>
      <w:r>
        <w:rPr>
          <w:rFonts w:ascii="Arial" w:cs="Arial" w:eastAsia="Arial" w:hAnsi="Arial"/>
          <w:b/>
          <w:bCs/>
          <w:color w:val="2E75B6"/>
          <w:sz w:val="28"/>
          <w:szCs w:val="28"/>
        </w:rPr>
        <w:t xml:space="preserve">2.2 Investment Tab — Action Engine (Vertical 2)</w:t>
      </w:r>
    </w:p>
    <w:p>
      <w:pPr>
        <w:spacing w:before="60" w:after="80"/>
      </w:pPr>
      <w:r>
        <w:rPr>
          <w:rFonts w:ascii="Arial" w:cs="Arial" w:eastAsia="Arial" w:hAnsi="Arial"/>
          <w:sz w:val="22"/>
          <w:szCs w:val="22"/>
        </w:rPr>
        <w:t xml:space="preserve">The Investment tab is a decision assistant, not a simulator. It operates on a completely different time horizon from the Simulation tab: today, this week, this month, or this quarter rather than decades. It reads the current portfolio, current market conditions, and the user’s directional preferences, then outputs specific actionable recommendations — not projections.</w:t>
      </w:r>
    </w:p>
    <w:p>
      <w:pPr>
        <w:spacing w:before="60" w:after="80"/>
      </w:pPr>
      <w:r>
        <w:rPr>
          <w:rFonts w:ascii="Arial" w:cs="Arial" w:eastAsia="Arial" w:hAnsi="Arial"/>
          <w:sz w:val="22"/>
          <w:szCs w:val="22"/>
        </w:rPr>
        <w:t xml:space="preserve">The Investment tab is architecturally distinct from the Simulation tab. It does not use Monte Carlo. It uses regime detection, live signals (CMF, Wyckoff phase, VIX, yield curve, CAPE), and the user’s directional configuration to produce an ordered action list. The shared asset model — Layers 1-13 — is the brain underneath both tabs. The Investment tab reads the regime-adjusted parameters from the dynamic signal layer rather than the long-run static parameters used by the simulation.</w:t>
      </w:r>
    </w:p>
    <w:p>
      <w:pPr>
        <w:pStyle w:val="Heading3"/>
        <w:spacing w:before="160" w:after="80"/>
      </w:pPr>
      <w:r>
        <w:rPr>
          <w:rFonts w:ascii="Arial" w:cs="Arial" w:eastAsia="Arial" w:hAnsi="Arial"/>
          <w:b/>
          <w:bCs/>
          <w:sz w:val="24"/>
          <w:szCs w:val="24"/>
        </w:rPr>
        <w:t xml:space="preserve">Configuration Files (Investment tab only)</w:t>
      </w:r>
    </w:p>
    <w:p>
      <w:pPr>
        <w:numPr>
          <w:ilvl w:val="0"/>
          <w:numId w:val="1"/>
        </w:numPr>
        <w:spacing w:before="40" w:after="40"/>
      </w:pPr>
      <w:r>
        <w:rPr>
          <w:rFonts w:ascii="Arial" w:cs="Arial" w:eastAsia="Arial" w:hAnsi="Arial"/>
          <w:sz w:val="22"/>
          <w:szCs w:val="22"/>
        </w:rPr>
        <w:t xml:space="preserve">investment_strategy.json. Directional intent and philosophy. Risk appetite (aggressive/moderate/conservative), preferred time horizon (immediate/weekly/monthly/quarterly), sector tilts (overweight/neutral/underweight per sector), excluded sectors, tax sensitivity (high = prefer LTCG, avoid wash sales), cash reserve percentage, rebalancing trigger (drift_band / signal / manual).</w:t>
      </w:r>
    </w:p>
    <w:p>
      <w:pPr>
        <w:numPr>
          <w:ilvl w:val="0"/>
          <w:numId w:val="1"/>
        </w:numPr>
        <w:spacing w:before="40" w:after="40"/>
      </w:pPr>
      <w:r>
        <w:rPr>
          <w:rFonts w:ascii="Arial" w:cs="Arial" w:eastAsia="Arial" w:hAnsi="Arial"/>
          <w:sz w:val="22"/>
          <w:szCs w:val="22"/>
        </w:rPr>
        <w:t xml:space="preserve">market_signals.json. Auto-populated by the market_data layer weekly or on-demand. Contains: CAPE ratio, VIX level, yield curve slope, Bayesian regime posterior (expansion/slowdown/contraction/recovery), and per-ticker dynamic signals (CMF, Wyckoff phase, OBV divergence). Never edited by hand.</w:t>
      </w:r>
    </w:p>
    <w:p>
      <w:pPr>
        <w:numPr>
          <w:ilvl w:val="0"/>
          <w:numId w:val="1"/>
        </w:numPr>
        <w:spacing w:before="40" w:after="40"/>
      </w:pPr>
      <w:r>
        <w:rPr>
          <w:rFonts w:ascii="Arial" w:cs="Arial" w:eastAsia="Arial" w:hAnsi="Arial"/>
          <w:sz w:val="22"/>
          <w:szCs w:val="22"/>
        </w:rPr>
        <w:t xml:space="preserve">investment_constraints.json. Hard rules that override signal recommendations. Maximum single position size, minimum international allocation, maximum sector concentration, no-margin flag, wash sale lookback days, liquidity requirements.</w:t>
      </w:r>
    </w:p>
    <w:p>
      <w:pPr>
        <w:numPr>
          <w:ilvl w:val="0"/>
          <w:numId w:val="1"/>
        </w:numPr>
        <w:spacing w:before="40" w:after="40"/>
      </w:pPr>
      <w:r>
        <w:rPr>
          <w:rFonts w:ascii="Arial" w:cs="Arial" w:eastAsia="Arial" w:hAnsi="Arial"/>
          <w:sz w:val="22"/>
          <w:szCs w:val="22"/>
        </w:rPr>
        <w:t xml:space="preserve">cost_basis.json (Phase 2). Per-account lot tracking for brokerage accounts. Ticker, shares, purchase date, cost basis per share, lot type (long/short). Required for tax-lot optimization and wash sale detection. Not required for TRAD IRA or ROTH IRA — all IRA distributions are ordinary income regardless of underlying cost basis. See Section 2.3 for full design.</w:t>
      </w:r>
    </w:p>
    <w:p>
      <w:pPr>
        <w:pStyle w:val="Heading3"/>
        <w:spacing w:before="160" w:after="80"/>
      </w:pPr>
      <w:r>
        <w:rPr>
          <w:rFonts w:ascii="Arial" w:cs="Arial" w:eastAsia="Arial" w:hAnsi="Arial"/>
          <w:b/>
          <w:bCs/>
          <w:sz w:val="24"/>
          <w:szCs w:val="24"/>
        </w:rPr>
        <w:t xml:space="preserve">Output Format</w:t>
      </w:r>
    </w:p>
    <w:p>
      <w:pPr>
        <w:spacing w:before="60" w:after="80"/>
      </w:pPr>
      <w:r>
        <w:rPr>
          <w:rFonts w:ascii="Arial" w:cs="Arial" w:eastAsia="Arial" w:hAnsi="Arial"/>
          <w:sz w:val="22"/>
          <w:szCs w:val="22"/>
        </w:rPr>
        <w:t xml:space="preserve">The Investment tab produces an ordered action list rather than projection tables. Each action includes: action type (buy/sell/hold/rebalance), ticker, dollar amount, tax lot selection (when cost_basis.json is available), rationale (which signals drove the recommendation), expected impact on portfolio metrics, and a review-by date. Example output: “SELL QQQ $45,000 (lot 2022-03-15, LTCG eligible, gain $12k) — Wyckoff late markup + CAPE 35 signal rotation to broader market. BUY VTI $45,000 — reduces tech concentration 12%→9%. Review by 2026-06-15.”</w:t>
      </w:r>
    </w:p>
    <w:p>
      <w:pPr>
        <w:pStyle w:val="Heading3"/>
        <w:spacing w:before="160" w:after="80"/>
      </w:pPr>
      <w:r>
        <w:rPr>
          <w:rFonts w:ascii="Arial" w:cs="Arial" w:eastAsia="Arial" w:hAnsi="Arial"/>
          <w:b/>
          <w:bCs/>
          <w:sz w:val="24"/>
          <w:szCs w:val="24"/>
        </w:rPr>
        <w:t xml:space="preserve">Build Order</w:t>
      </w:r>
    </w:p>
    <w:p>
      <w:pPr>
        <w:numPr>
          <w:ilvl w:val="0"/>
          <w:numId w:val="1"/>
        </w:numPr>
        <w:spacing w:before="40" w:after="40"/>
      </w:pPr>
      <w:r>
        <w:rPr>
          <w:rFonts w:ascii="Arial" w:cs="Arial" w:eastAsia="Arial" w:hAnsi="Arial"/>
          <w:sz w:val="22"/>
          <w:szCs w:val="22"/>
        </w:rPr>
        <w:t xml:space="preserve">Phase 1: Tab + placeholder. Rename Run tab to Simulation. Add Investment tab with directional config file schemas and placeholder UI. No signal computation yet.</w:t>
      </w:r>
    </w:p>
    <w:p>
      <w:pPr>
        <w:numPr>
          <w:ilvl w:val="0"/>
          <w:numId w:val="1"/>
        </w:numPr>
        <w:spacing w:before="40" w:after="40"/>
      </w:pPr>
      <w:r>
        <w:rPr>
          <w:rFonts w:ascii="Arial" w:cs="Arial" w:eastAsia="Arial" w:hAnsi="Arial"/>
          <w:sz w:val="22"/>
          <w:szCs w:val="22"/>
        </w:rPr>
        <w:t xml:space="preserve">Phase 2: Signal computation. CMF, Wyckoff phase detection from price history in market_data cache. CAPE fetch from FRED. Regime Bayesian classifier. Populates market_signals.json automatically on weekly refresh.</w:t>
      </w:r>
    </w:p>
    <w:p>
      <w:pPr>
        <w:numPr>
          <w:ilvl w:val="0"/>
          <w:numId w:val="1"/>
        </w:numPr>
        <w:spacing w:before="40" w:after="40"/>
      </w:pPr>
      <w:r>
        <w:rPr>
          <w:rFonts w:ascii="Arial" w:cs="Arial" w:eastAsia="Arial" w:hAnsi="Arial"/>
          <w:sz w:val="22"/>
          <w:szCs w:val="22"/>
        </w:rPr>
        <w:t xml:space="preserve">Phase 3: Action generator. Reads signals + strategy + constraints → produces ordered trade recommendations. Kelly criterion position sizing. Tax-lot selection (requires cost_basis.json). Wash sale detection.</w:t>
      </w:r>
    </w:p>
    <w:p>
      <w:pPr>
        <w:numPr>
          <w:ilvl w:val="0"/>
          <w:numId w:val="1"/>
        </w:numPr>
        <w:spacing w:before="40" w:after="40"/>
      </w:pPr>
      <w:r>
        <w:rPr>
          <w:rFonts w:ascii="Arial" w:cs="Arial" w:eastAsia="Arial" w:hAnsi="Arial"/>
          <w:sz w:val="22"/>
          <w:szCs w:val="22"/>
        </w:rPr>
        <w:t xml:space="preserve">Phase 4: Outcome tracking. Every recommendation recorded with market state at time of decision. Actual outcomes measured. Signal weights recalibrated. The system learns which signals predicted returns in this user’s portfolio.</w:t>
      </w:r>
    </w:p>
    <w:p>
      <w:pPr>
        <w:pStyle w:val="Heading2"/>
        <w:spacing w:before="240" w:after="120"/>
      </w:pPr>
      <w:r>
        <w:rPr>
          <w:rFonts w:ascii="Arial" w:cs="Arial" w:eastAsia="Arial" w:hAnsi="Arial"/>
          <w:b/>
          <w:bCs/>
          <w:color w:val="2E75B6"/>
          <w:sz w:val="28"/>
          <w:szCs w:val="28"/>
        </w:rPr>
        <w:t xml:space="preserve">2.3 Cost Basis — When It Matters and When It Doesn’t</w:t>
      </w:r>
    </w:p>
    <w:p>
      <w:pPr>
        <w:spacing w:before="60" w:after="80"/>
      </w:pPr>
      <w:r>
        <w:rPr>
          <w:rFonts w:ascii="Arial" w:cs="Arial" w:eastAsia="Arial" w:hAnsi="Arial"/>
          <w:sz w:val="22"/>
          <w:szCs w:val="22"/>
        </w:rPr>
        <w:t xml:space="preserve">Cost basis is irrelevant for tax-advantaged accounts. Traditional IRA withdrawals are taxed as ordinary income regardless of what was purchased inside the account or at what price. Roth IRA withdrawals are tax-free regardless. The cost basis of underlying holdings inside these wrappers has no tax consequence.</w:t>
      </w:r>
    </w:p>
    <w:p>
      <w:pPr>
        <w:spacing w:before="60" w:after="80"/>
      </w:pPr>
      <w:r>
        <w:rPr>
          <w:rFonts w:ascii="Arial" w:cs="Arial" w:eastAsia="Arial" w:hAnsi="Arial"/>
          <w:sz w:val="22"/>
          <w:szCs w:val="22"/>
        </w:rPr>
        <w:t xml:space="preserve">Cost basis matters only in taxable brokerage accounts. Every sale in a brokerage account is a taxable event. The gain or loss depends on the cost basis and holding period. Long-term capital gains (held &gt; 1 year) are taxed at preferential rates (0%, 15%, or 20%). Short-term gains are taxed as ordinary income. Rebalancing inside a brokerage account triggers capital gains. A Roth conversion funded by a brokerage sale creates a double tax event if the sold position has a short-term gain.</w:t>
      </w:r>
    </w:p>
    <w:p>
      <w:pPr>
        <w:spacing w:before="60" w:after="80"/>
      </w:pPr>
      <w:r>
        <w:rPr>
          <w:rFonts w:ascii="Arial" w:cs="Arial" w:eastAsia="Arial" w:hAnsi="Arial"/>
          <w:sz w:val="22"/>
          <w:szCs w:val="22"/>
        </w:rPr>
        <w:t xml:space="preserve">Current model accuracy: The retirement simulation estimates brokerage capital gains using a blended gain rate derived from asset class yield and implied appreciation. This is a reasonable approximation for 30-50 year Monte Carlo planning where income-based taxes (RMDs, conversions, salary) dominate. For a portfolio where Traditional IRA represents the majority of assets, the capital gains approximation is a small source of error in the overall tax picture.</w:t>
      </w:r>
    </w:p>
    <w:p>
      <w:pPr>
        <w:spacing w:before="60" w:after="80"/>
      </w:pPr>
      <w:r>
        <w:rPr>
          <w:rFonts w:ascii="Arial" w:cs="Arial" w:eastAsia="Arial" w:hAnsi="Arial"/>
          <w:sz w:val="22"/>
          <w:szCs w:val="22"/>
        </w:rPr>
        <w:t xml:space="preserve">When to introduce cost_basis.json: Phase 2 of the Investment tab, when the action generator needs to recommend specific trades in brokerage accounts. Not required for retirement simulation. Not required for Phase 1 of the Investment tab. Required for: tax-lot optimization (which lot to sell for minimum tax), tax-loss harvesting (finding unrealized losses to realize), wash sale detection (30-day lookback on sold positions), and estate planning (step-up in basis at death for inherited brokerage accounts).</w:t>
      </w:r>
    </w:p>
    <w:p>
      <w:pPr>
        <w:spacing w:before="60" w:after="80"/>
      </w:pPr>
      <w:r>
        <w:rPr>
          <w:rFonts w:ascii="Arial" w:cs="Arial" w:eastAsia="Arial" w:hAnsi="Arial"/>
          <w:sz w:val="22"/>
          <w:szCs w:val="22"/>
        </w:rPr>
        <w:t xml:space="preserve">cost_basis.json schema (for future implementation): per-account lot entries containing ticker, shares, purchase date, cost basis per share, and lot type (long/short). IRA accounts are annotated as ordinary-income accounts with no lot tracking needed. The file is user-maintained or imported from brokerage CSV exports.</w:t>
      </w:r>
    </w:p>
    <w:p>
      <w:pPr>
        <w:pStyle w:val="Heading1"/>
        <w:spacing w:before="360" w:after="120"/>
      </w:pPr>
      <w:r>
        <w:rPr>
          <w:rFonts w:ascii="Arial" w:cs="Arial" w:eastAsia="Arial" w:hAnsi="Arial"/>
          <w:b/>
          <w:bCs/>
          <w:color w:val="1F4E79"/>
          <w:sz w:val="36"/>
          <w:szCs w:val="36"/>
        </w:rPr>
        <w:t xml:space="preserve">3. Platform Core Architecture</w:t>
      </w:r>
    </w:p>
    <w:p>
      <w:pPr>
        <w:spacing w:before="60" w:after="80"/>
      </w:pPr>
      <w:r>
        <w:rPr>
          <w:rFonts w:ascii="Arial" w:cs="Arial" w:eastAsia="Arial" w:hAnsi="Arial"/>
          <w:sz w:val="22"/>
          <w:szCs w:val="22"/>
        </w:rPr>
        <w:t xml:space="preserve">The platform core is the shared infrastructure that makes both verticals possible. It consists of five layers, each with clean boundaries and a single responsibility.</w:t>
      </w:r>
    </w:p>
    <w:p>
      <w:pPr>
        <w:spacing w:before="80" w:after="0"/>
      </w:pPr>
      <w:r>
        <w:t xml:space="preserve"/>
      </w:r>
    </w:p>
    <w:p>
      <w:pPr>
        <w:pStyle w:val="Heading2"/>
        <w:spacing w:before="280" w:after="80"/>
      </w:pPr>
      <w:r>
        <w:rPr>
          <w:rFonts w:ascii="Arial" w:cs="Arial" w:eastAsia="Arial" w:hAnsi="Arial"/>
          <w:b/>
          <w:bCs/>
          <w:color w:val="2E75B6"/>
          <w:sz w:val="28"/>
          <w:szCs w:val="28"/>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1F4E79"/>
                <w:sz w:val="20"/>
                <w:szCs w:val="20"/>
              </w:rPr>
              <w:t xml:space="preserve">TRAINING PIPELINE</w:t>
            </w:r>
          </w:p>
          <w:p>
            <w:pPr>
              <w:spacing w:before="40" w:after="40"/>
              <w:ind w:left="720"/>
            </w:pPr>
            <w:r>
              <w:rPr>
                <w:rFonts w:ascii="Courier New" w:cs="Courier New" w:eastAsia="Courier New" w:hAnsi="Courier New"/>
                <w:color w:val="1a1a2e"/>
                <w:sz w:val="18"/>
                <w:szCs w:val="18"/>
              </w:rPr>
              <w:t xml:space="preserve">  Live data + events + geopolitics + volume/price signals</w:t>
            </w:r>
          </w:p>
          <w:p>
            <w:pPr>
              <w:spacing w:before="40" w:after="40"/>
              <w:ind w:left="720"/>
            </w:pPr>
            <w:r>
              <w:rPr>
                <w:rFonts w:ascii="Courier New" w:cs="Courier New" w:eastAsia="Courier New" w:hAnsi="Courier New"/>
                <w:color w:val="1a1a2e"/>
                <w:sz w:val="18"/>
                <w:szCs w:val="18"/>
              </w:rPr>
              <w:t xml:space="preserve">         ↓</w:t>
            </w:r>
          </w:p>
          <w:p>
            <w:pPr>
              <w:spacing w:before="40" w:after="40"/>
              <w:ind w:left="720"/>
            </w:pPr>
            <w:r>
              <w:rPr>
                <w:rFonts w:ascii="Courier New" w:cs="Courier New" w:eastAsia="Courier New" w:hAnsi="Courier New"/>
                <w:color w:val="1a1a2e"/>
                <w:sz w:val="18"/>
                <w:szCs w:val="18"/>
              </w:rPr>
              <w:t xml:space="preserve">  asset_model_agent.py  (continuous training)</w:t>
            </w:r>
          </w:p>
          <w:p>
            <w:pPr>
              <w:spacing w:before="40" w:after="40"/>
              <w:ind w:left="720"/>
            </w:pPr>
            <w:r>
              <w:rPr>
                <w:rFonts w:ascii="Courier New" w:cs="Courier New" w:eastAsia="Courier New" w:hAnsi="Courier New"/>
                <w:color w:val="1a1a2e"/>
                <w:sz w:val="18"/>
                <w:szCs w:val="18"/>
              </w:rPr>
              <w:t xml:space="preserve">         ↓</w:t>
            </w:r>
          </w:p>
          <w:p>
            <w:pPr>
              <w:spacing w:before="40" w:after="40"/>
              <w:ind w:left="720"/>
            </w:pPr>
            <w:r>
              <w:rPr>
                <w:rFonts w:ascii="Courier New" w:cs="Courier New" w:eastAsia="Courier New" w:hAnsi="Courier New"/>
                <w:color w:val="1a1a2e"/>
                <w:sz w:val="18"/>
                <w:szCs w:val="18"/>
              </w:rPr>
              <w:t xml:space="preserve">  model_trainer.py      (calibrates signal weights from outcome history)</w:t>
            </w:r>
          </w:p>
          <w:p>
            <w:pPr>
              <w:spacing w:before="40" w:after="40"/>
              <w:ind w:left="720"/>
            </w:pPr>
            <w:r>
              <w:rPr>
                <w:rFonts w:ascii="Courier New" w:cs="Courier New" w:eastAsia="Courier New" w:hAnsi="Courier New"/>
                <w:color w:val="1a1a2e"/>
                <w:sz w:val="18"/>
                <w:szCs w:val="18"/>
              </w:rPr>
              <w:t xml:space="preserve">         ↓</w:t>
            </w:r>
          </w:p>
          <w:p>
            <w:pPr>
              <w:spacing w:before="40" w:after="40"/>
              <w:ind w:left="720"/>
            </w:pPr>
            <w:r>
              <w:rPr>
                <w:rFonts w:ascii="Courier New" w:cs="Courier New" w:eastAsia="Courier New" w:hAnsi="Courier New"/>
                <w:color w:val="1a1a2e"/>
                <w:sz w:val="18"/>
                <w:szCs w:val="18"/>
              </w:rPr>
              <w:t xml:space="preserve">  asset-model/vX.Y.Z/   (candidate model artifact)</w:t>
            </w:r>
          </w:p>
          <w:p>
            <w:pPr>
              <w:spacing w:before="40" w:after="40"/>
              <w:ind w:left="720"/>
            </w:pPr>
            <w:r>
              <w:rPr>
                <w:rFonts w:ascii="Courier New" w:cs="Courier New" w:eastAsia="Courier New" w:hAnsi="Courier New"/>
                <w:color w:val="1a1a2e"/>
                <w:sz w:val="18"/>
                <w:szCs w:val="18"/>
              </w:rPr>
              <w:t xml:space="preserve">         ↓  [human review + validation gate]</w:t>
            </w:r>
          </w:p>
          <w:p>
            <w:pPr>
              <w:spacing w:before="40" w:after="40"/>
              <w:ind w:left="720"/>
            </w:pPr>
            <w:r>
              <w:rPr>
                <w:rFonts w:ascii="Courier New" w:cs="Courier New" w:eastAsia="Courier New" w:hAnsi="Courier New"/>
                <w:color w:val="1a1a2e"/>
                <w:sz w:val="18"/>
                <w:szCs w:val="18"/>
              </w:rPr>
              <w:t xml:space="preserve">  promote_model.py      (promote to src/config/assets.json)</w:t>
            </w:r>
          </w:p>
          <w:p>
            <w:pPr>
              <w:spacing w:before="40" w:after="0"/>
            </w:pPr>
            <w:r>
              <w:t xml:space="preserve"/>
            </w:r>
          </w:p>
          <w:p>
            <w:pPr>
              <w:spacing w:before="0" w:after="60"/>
            </w:pPr>
            <w:r>
              <w:rPr>
                <w:rFonts w:ascii="Courier New" w:cs="Courier New" w:eastAsia="Courier New" w:hAnsi="Courier New"/>
                <w:b/>
                <w:bCs/>
                <w:color w:val="1F4E79"/>
                <w:sz w:val="20"/>
                <w:szCs w:val="20"/>
              </w:rPr>
              <w:t xml:space="preserve">PLATFORM CORE</w:t>
            </w:r>
          </w:p>
          <w:p>
            <w:pPr>
              <w:spacing w:before="40" w:after="40"/>
              <w:ind w:left="720"/>
            </w:pPr>
            <w:r>
              <w:rPr>
                <w:rFonts w:ascii="Courier New" w:cs="Courier New" w:eastAsia="Courier New" w:hAnsi="Courier New"/>
                <w:color w:val="1a1a2e"/>
                <w:sz w:val="18"/>
                <w:szCs w:val="18"/>
              </w:rPr>
              <w:t xml:space="preserve">  asset-model/          Static model artifact (versioned)</w:t>
            </w:r>
          </w:p>
          <w:p>
            <w:pPr>
              <w:spacing w:before="40" w:after="40"/>
              <w:ind w:left="720"/>
            </w:pPr>
            <w:r>
              <w:rPr>
                <w:rFonts w:ascii="Courier New" w:cs="Courier New" w:eastAsia="Courier New" w:hAnsi="Courier New"/>
                <w:color w:val="1a1a2e"/>
                <w:sz w:val="18"/>
                <w:szCs w:val="18"/>
              </w:rPr>
              <w:t xml:space="preserve">  signals/YYYY-MM-DD/   Dynamic signal archive (daily)</w:t>
            </w:r>
          </w:p>
          <w:p>
            <w:pPr>
              <w:spacing w:before="40" w:after="40"/>
              <w:ind w:left="720"/>
            </w:pPr>
            <w:r>
              <w:rPr>
                <w:rFonts w:ascii="Courier New" w:cs="Courier New" w:eastAsia="Courier New" w:hAnsi="Courier New"/>
                <w:color w:val="1a1a2e"/>
                <w:sz w:val="18"/>
                <w:szCs w:val="18"/>
              </w:rPr>
              <w:t xml:space="preserve">  signal_combiner.py    Static + dynamic → combined signal</w:t>
            </w:r>
          </w:p>
          <w:p>
            <w:pPr>
              <w:spacing w:before="40" w:after="40"/>
              <w:ind w:left="720"/>
            </w:pPr>
            <w:r>
              <w:rPr>
                <w:rFonts w:ascii="Courier New" w:cs="Courier New" w:eastAsia="Courier New" w:hAnsi="Courier New"/>
                <w:color w:val="1a1a2e"/>
                <w:sz w:val="18"/>
                <w:szCs w:val="18"/>
              </w:rPr>
              <w:t xml:space="preserve">  simulation_core.py    Stochastic path generator</w:t>
            </w:r>
          </w:p>
          <w:p>
            <w:pPr>
              <w:spacing w:before="40" w:after="0"/>
            </w:pPr>
            <w:r>
              <w:t xml:space="preserve"/>
            </w:r>
          </w:p>
          <w:p>
            <w:pPr>
              <w:spacing w:before="0" w:after="60"/>
            </w:pPr>
            <w:r>
              <w:rPr>
                <w:rFonts w:ascii="Courier New" w:cs="Courier New" w:eastAsia="Courier New" w:hAnsi="Courier New"/>
                <w:b/>
                <w:bCs/>
                <w:color w:val="1F4E79"/>
                <w:sz w:val="20"/>
                <w:szCs w:val="20"/>
              </w:rPr>
              <w:t xml:space="preserve">VERTICALS</w:t>
            </w:r>
          </w:p>
          <w:p>
            <w:pPr>
              <w:spacing w:before="40" w:after="40"/>
              <w:ind w:left="720"/>
            </w:pPr>
            <w:r>
              <w:rPr>
                <w:rFonts w:ascii="Courier New" w:cs="Courier New" w:eastAsia="Courier New" w:hAnsi="Courier New"/>
                <w:color w:val="1a1a2e"/>
                <w:sz w:val="18"/>
                <w:szCs w:val="18"/>
              </w:rPr>
              <w:t xml:space="preserve">  Vertical 1: simulator_new.py  (retirement guardian)</w:t>
            </w:r>
          </w:p>
          <w:p>
            <w:pPr>
              <w:spacing w:before="40" w:after="40"/>
              <w:ind w:left="720"/>
            </w:pPr>
            <w:r>
              <w:rPr>
                <w:rFonts w:ascii="Courier New" w:cs="Courier New" w:eastAsia="Courier New" w:hAnsi="Courier New"/>
                <w:color w:val="1a1a2e"/>
                <w:sz w:val="18"/>
                <w:szCs w:val="18"/>
              </w:rPr>
              <w:t xml:space="preserve">  Vertical 2: fund_engine.py    (fund management) [future]</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4. Asset Model Architecture</w:t>
      </w:r>
    </w:p>
    <w:p>
      <w:pPr>
        <w:spacing w:before="60" w:after="80"/>
      </w:pPr>
      <w:r>
        <w:rPr>
          <w:rFonts w:ascii="Arial" w:cs="Arial" w:eastAsia="Arial" w:hAnsi="Arial"/>
          <w:sz w:val="22"/>
          <w:szCs w:val="22"/>
        </w:rPr>
        <w:t xml:space="preserve">The asset model is the foundation of the entire platform. It is not a config file — it is a continuously improving model artifact, analogous to trained model weights. Each version is immutable, versioned, and promoted explicitly after validation.</w:t>
      </w:r>
    </w:p>
    <w:p>
      <w:pPr>
        <w:spacing w:before="80" w:after="0"/>
      </w:pPr>
      <w:r>
        <w:t xml:space="preserve"/>
      </w:r>
    </w:p>
    <w:p>
      <w:pPr>
        <w:pStyle w:val="Heading2"/>
        <w:spacing w:before="280" w:after="80"/>
      </w:pPr>
      <w:r>
        <w:rPr>
          <w:rFonts w:ascii="Arial" w:cs="Arial" w:eastAsia="Arial" w:hAnsi="Arial"/>
          <w:b/>
          <w:bCs/>
          <w:color w:val="2E75B6"/>
          <w:sz w:val="28"/>
          <w:szCs w:val="28"/>
        </w:rPr>
        <w:t xml:space="preserve">4.1 Model Artifact Structure</w:t>
      </w:r>
    </w:p>
    <w:p>
      <w:pPr>
        <w:spacing w:before="40" w:after="40"/>
        <w:ind w:left="720"/>
      </w:pPr>
      <w:r>
        <w:rPr>
          <w:rFonts w:ascii="Courier New" w:cs="Courier New" w:eastAsia="Courier New" w:hAnsi="Courier New"/>
          <w:color w:val="1a1a2e"/>
          <w:sz w:val="18"/>
          <w:szCs w:val="18"/>
        </w:rPr>
        <w:t xml:space="preserve">asset-model/</w:t>
      </w:r>
    </w:p>
    <w:p>
      <w:pPr>
        <w:spacing w:before="40" w:after="40"/>
        <w:ind w:left="720"/>
      </w:pPr>
      <w:r>
        <w:rPr>
          <w:rFonts w:ascii="Courier New" w:cs="Courier New" w:eastAsia="Courier New" w:hAnsi="Courier New"/>
          <w:color w:val="1a1a2e"/>
          <w:sz w:val="18"/>
          <w:szCs w:val="18"/>
        </w:rPr>
        <w:t xml:space="preserve">  v1.0.0/</w:t>
      </w:r>
    </w:p>
    <w:p>
      <w:pPr>
        <w:spacing w:before="40" w:after="40"/>
        <w:ind w:left="720"/>
      </w:pPr>
      <w:r>
        <w:rPr>
          <w:rFonts w:ascii="Courier New" w:cs="Courier New" w:eastAsia="Courier New" w:hAnsi="Courier New"/>
          <w:color w:val="1a1a2e"/>
          <w:sz w:val="18"/>
          <w:szCs w:val="18"/>
        </w:rPr>
        <w:t xml:space="preserve">    assets.json       ← Layers 1-4 + simulation hints (readable)</w:t>
      </w:r>
    </w:p>
    <w:p>
      <w:pPr>
        <w:spacing w:before="40" w:after="40"/>
        <w:ind w:left="720"/>
      </w:pPr>
      <w:r>
        <w:rPr>
          <w:rFonts w:ascii="Courier New" w:cs="Courier New" w:eastAsia="Courier New" w:hAnsi="Courier New"/>
          <w:color w:val="1a1a2e"/>
          <w:sz w:val="18"/>
          <w:szCs w:val="18"/>
        </w:rPr>
        <w:t xml:space="preserve">    features.msgpack  ← Layers 5-11 (binary, compact)</w:t>
      </w:r>
    </w:p>
    <w:p>
      <w:pPr>
        <w:spacing w:before="40" w:after="40"/>
        <w:ind w:left="720"/>
      </w:pPr>
      <w:r>
        <w:rPr>
          <w:rFonts w:ascii="Courier New" w:cs="Courier New" w:eastAsia="Courier New" w:hAnsi="Courier New"/>
          <w:color w:val="1a1a2e"/>
          <w:sz w:val="18"/>
          <w:szCs w:val="18"/>
        </w:rPr>
        <w:t xml:space="preserve">    features.sha256   ← Per-section SHA-256 checksums</w:t>
      </w:r>
    </w:p>
    <w:p>
      <w:pPr>
        <w:spacing w:before="40" w:after="40"/>
        <w:ind w:left="720"/>
      </w:pPr>
      <w:r>
        <w:rPr>
          <w:rFonts w:ascii="Courier New" w:cs="Courier New" w:eastAsia="Courier New" w:hAnsi="Courier New"/>
          <w:color w:val="1a1a2e"/>
          <w:sz w:val="18"/>
          <w:szCs w:val="18"/>
        </w:rPr>
        <w:t xml:space="preserve">    manifest.json     ← Who promoted, when, validation results</w:t>
      </w:r>
    </w:p>
    <w:p>
      <w:pPr>
        <w:spacing w:before="40" w:after="40"/>
        <w:ind w:left="720"/>
      </w:pPr>
      <w:r>
        <w:rPr>
          <w:rFonts w:ascii="Courier New" w:cs="Courier New" w:eastAsia="Courier New" w:hAnsi="Courier New"/>
          <w:color w:val="1a1a2e"/>
          <w:sz w:val="18"/>
          <w:szCs w:val="18"/>
        </w:rPr>
        <w:t xml:space="preserve">  v1.1.0/</w:t>
      </w:r>
    </w:p>
    <w:p>
      <w:pPr>
        <w:spacing w:before="40" w:after="40"/>
        <w:ind w:left="720"/>
      </w:pPr>
      <w:r>
        <w:rPr>
          <w:rFonts w:ascii="Courier New" w:cs="Courier New" w:eastAsia="Courier New" w:hAnsi="Courier New"/>
          <w:color w:val="1a1a2e"/>
          <w:sz w:val="18"/>
          <w:szCs w:val="18"/>
        </w:rPr>
        <w:t xml:space="preserve">    ...</w:t>
      </w:r>
    </w:p>
    <w:p>
      <w:pPr>
        <w:spacing w:before="40" w:after="40"/>
        <w:ind w:left="720"/>
      </w:pPr>
      <w:r>
        <w:rPr>
          <w:rFonts w:ascii="Courier New" w:cs="Courier New" w:eastAsia="Courier New" w:hAnsi="Courier New"/>
          <w:color w:val="1a1a2e"/>
          <w:sz w:val="18"/>
          <w:szCs w:val="18"/>
        </w:rPr>
        <w:t xml:space="preserve">  promotion_log.json  ← Full audit trail of all promotions</w:t>
      </w:r>
    </w:p>
    <w:p>
      <w:pPr>
        <w:spacing w:before="120" w:after="0"/>
      </w:pPr>
      <w:r>
        <w:t xml:space="preserve"/>
      </w:r>
    </w:p>
    <w:p>
      <w:pPr>
        <w:spacing w:before="60" w:after="80"/>
      </w:pPr>
      <w:r>
        <w:rPr>
          <w:rFonts w:ascii="Arial" w:cs="Arial" w:eastAsia="Arial" w:hAnsi="Arial"/>
          <w:sz w:val="22"/>
          <w:szCs w:val="22"/>
        </w:rPr>
        <w:t xml:space="preserve">The two-format storage is intentional. assets.json stays readable and git-diffable. features.msgpack is loaded on-demand, verified against its SHA-256 checksum before any data is accessed, and handles the full extended feature taxonomy efficiently.</w:t>
      </w:r>
    </w:p>
    <w:p>
      <w:pPr>
        <w:spacing w:before="80" w:after="0"/>
      </w:pPr>
      <w:r>
        <w:t xml:space="preserve"/>
      </w:r>
    </w:p>
    <w:p>
      <w:pPr>
        <w:pStyle w:val="Heading2"/>
        <w:spacing w:before="280" w:after="80"/>
      </w:pPr>
      <w:r>
        <w:rPr>
          <w:rFonts w:ascii="Arial" w:cs="Arial" w:eastAsia="Arial" w:hAnsi="Arial"/>
          <w:b/>
          <w:bCs/>
          <w:color w:val="2E75B6"/>
          <w:sz w:val="28"/>
          <w:szCs w:val="28"/>
        </w:rPr>
        <w:t xml:space="preserve">4.2 Full Feature Taxonomy</w:t>
      </w:r>
    </w:p>
    <w:p>
      <w:pPr>
        <w:spacing w:before="60" w:after="80"/>
      </w:pPr>
      <w:r>
        <w:rPr>
          <w:rFonts w:ascii="Arial" w:cs="Arial" w:eastAsia="Arial" w:hAnsi="Arial"/>
          <w:sz w:val="22"/>
          <w:szCs w:val="22"/>
        </w:rPr>
        <w:t xml:space="preserve">Twelve layers of asset characteristics, organized by how they are used:</w:t>
      </w:r>
    </w:p>
    <w:p>
      <w:pPr>
        <w:spacing w:before="80" w:after="0"/>
      </w:pPr>
      <w:r>
        <w:t xml:space="preserve"/>
      </w:r>
    </w:p>
    <w:p>
      <w:pPr>
        <w:pStyle w:val="Heading3"/>
        <w:spacing w:before="200" w:after="60"/>
      </w:pPr>
      <w:r>
        <w:rPr>
          <w:rFonts w:ascii="Arial" w:cs="Arial" w:eastAsia="Arial" w:hAnsi="Arial"/>
          <w:b/>
          <w:bCs/>
          <w:color w:val="404040"/>
          <w:sz w:val="24"/>
          <w:szCs w:val="24"/>
        </w:rPr>
        <w:t xml:space="preserve">Layers 1-4: Simulation Inputs (assets.json)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 Return Distribution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 sigma, skewness, kurtosis, autocorrelation, Hurst exponent, VaR, CVaR, max drawdown, recovery time, downside deviation, beta, alpha, Sharpe, Sortino, Calmar</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Regime-Conditional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Per-regime mu, sigma, beta, correlation shift, drawdown, recovery time, flight-to-safety score — for: bull, bear, recession, recovery, stagflation, rate rising/falling, high/low inflation, liquidity crisis, geopolitical shock, VIX spike/crush</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 Cost Structure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 ratio, tracking error, bid-ask spread (normal + stress), market impact by size, securities lending revenue, tax drag, turnover, creation/redemption spread, short interest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Distribution / Income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Yield, yield growth (1yr/5yr/10yr), qualified ratio, return of capital, payout frequency, consistency score, coverage ratio, special dividend history, ex-dividend price impact</w:t>
            </w:r>
          </w:p>
        </w:tc>
      </w:tr>
    </w:tbl>
    <w:p>
      <w:pPr>
        <w:spacing w:before="80" w:after="0"/>
      </w:pPr>
      <w:r>
        <w:t xml:space="preserve"/>
      </w:r>
    </w:p>
    <w:p>
      <w:pPr>
        <w:pStyle w:val="Heading3"/>
        <w:spacing w:before="200" w:after="60"/>
      </w:pPr>
      <w:r>
        <w:rPr>
          <w:rFonts w:ascii="Arial" w:cs="Arial" w:eastAsia="Arial" w:hAnsi="Arial"/>
          <w:b/>
          <w:bCs/>
          <w:color w:val="404040"/>
          <w:sz w:val="24"/>
          <w:szCs w:val="24"/>
        </w:rPr>
        <w:t xml:space="preserve">Layers 5-11: Extended Features (features.msgpack)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 Calendar Effects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return bias [12], day-of-week bias [5], quarter-end flows, January effect, tax-loss harvesting season, options expiry effect, index reconstitution, earnings season vol lift, pre-FOMC drift, treasury auction effect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 Earnings Sensitivity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 reporting dates, surprise magnitude, pre-earnings vol expansion, post-earnings vol crush. Economic release sensitivity (CPI, PCE, NFP, FOMC, GDP, ISM, retail sales, PMI) with score + direction + lag. Cross-asset contagion (other assets' earnings that move this one)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 — Cross-Asset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Lead-lag relationships, cointegration (pairs), Fama-French / Carhart / AQR factor exposures, sector rotation cycle sensitivity, geopolitical exposure (oil, dollar, China, EM)</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 — Liquidity / Market Structure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AUM, ADV, liquidity tier, market depth, institutional/retail ownership, short interest, dark pool fraction, options liquidity, ETF premium/discount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 — Fund / Instrument Quality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provider, replication method, manager score, active share, information ratio, strategy capacity, style drift, inception date, structure, domicile, currency, leverage, ESG score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Macro Sensitivity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Duration, convexity, inflation beta, real rate sensitivity, credit spread sensitivity, yield curve (flattening/inversion), GDP beta, dollar sensitivity, oil sensitivity, VIX sensitivity, credit cycle position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11 — Behavioral / Sentiment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sentiment sensitivity, institutional herding, analyst coverage + accuracy, earnings whisper sensitivity, social media correlation, news sentiment sensitivity, options skew, gamma exposure</w:t>
            </w:r>
          </w:p>
        </w:tc>
      </w:tr>
    </w:tbl>
    <w:p>
      <w:pPr>
        <w:spacing w:before="80" w:after="0"/>
      </w:pPr>
      <w:r>
        <w:t xml:space="preserve"/>
      </w:r>
    </w:p>
    <w:p>
      <w:pPr>
        <w:pStyle w:val="Heading3"/>
        <w:spacing w:before="200" w:after="60"/>
      </w:pPr>
      <w:r>
        <w:rPr>
          <w:rFonts w:ascii="Arial" w:cs="Arial" w:eastAsia="Arial" w:hAnsi="Arial"/>
          <w:b/>
          <w:bCs/>
          <w:color w:val="404040"/>
          <w:sz w:val="24"/>
          <w:szCs w:val="24"/>
        </w:rPr>
        <w:t xml:space="preserve">Layer 12: Simulation Hints (assets.json)</w:t>
      </w:r>
    </w:p>
    <w:p>
      <w:pPr>
        <w:pStyle w:val="ListParagraph"/>
        <w:numPr>
          <w:ilvl w:val="0"/>
          <w:numId w:val="2"/>
        </w:numPr>
        <w:spacing w:before="40" w:after="40"/>
      </w:pPr>
      <w:r>
        <w:rPr>
          <w:rFonts w:ascii="Arial" w:cs="Arial" w:eastAsia="Arial" w:hAnsi="Arial"/>
          <w:b/>
          <w:bCs/>
          <w:sz w:val="22"/>
          <w:szCs w:val="22"/>
        </w:rPr>
        <w:t xml:space="preserve">Preferred return model: </w:t>
      </w:r>
      <w:r>
        <w:rPr>
          <w:rFonts w:ascii="Arial" w:cs="Arial" w:eastAsia="Arial" w:hAnsi="Arial"/>
          <w:sz w:val="22"/>
          <w:szCs w:val="22"/>
        </w:rPr>
        <w:t xml:space="preserve">GBM / jump diffusion / regime switching / Heston — per asset</w:t>
      </w:r>
    </w:p>
    <w:p>
      <w:pPr>
        <w:pStyle w:val="ListParagraph"/>
        <w:numPr>
          <w:ilvl w:val="0"/>
          <w:numId w:val="2"/>
        </w:numPr>
        <w:spacing w:before="40" w:after="40"/>
      </w:pPr>
      <w:r>
        <w:rPr>
          <w:rFonts w:ascii="Arial" w:cs="Arial" w:eastAsia="Arial" w:hAnsi="Arial"/>
          <w:b/>
          <w:bCs/>
          <w:sz w:val="22"/>
          <w:szCs w:val="22"/>
        </w:rPr>
        <w:t xml:space="preserve">Jump parameters: </w:t>
      </w:r>
      <w:r>
        <w:rPr>
          <w:rFonts w:ascii="Arial" w:cs="Arial" w:eastAsia="Arial" w:hAnsi="Arial"/>
          <w:sz w:val="22"/>
          <w:szCs w:val="22"/>
        </w:rPr>
        <w:t xml:space="preserve">Intensity, mean, sigma — for Poisson jump diffusion</w:t>
      </w:r>
    </w:p>
    <w:p>
      <w:pPr>
        <w:pStyle w:val="ListParagraph"/>
        <w:numPr>
          <w:ilvl w:val="0"/>
          <w:numId w:val="2"/>
        </w:numPr>
        <w:spacing w:before="40" w:after="40"/>
      </w:pPr>
      <w:r>
        <w:rPr>
          <w:rFonts w:ascii="Arial" w:cs="Arial" w:eastAsia="Arial" w:hAnsi="Arial"/>
          <w:b/>
          <w:bCs/>
          <w:sz w:val="22"/>
          <w:szCs w:val="22"/>
        </w:rPr>
        <w:t xml:space="preserve">Mean reversion: </w:t>
      </w:r>
      <w:r>
        <w:rPr>
          <w:rFonts w:ascii="Arial" w:cs="Arial" w:eastAsia="Arial" w:hAnsi="Arial"/>
          <w:sz w:val="22"/>
          <w:szCs w:val="22"/>
        </w:rPr>
        <w:t xml:space="preserve">Speed and target for Ornstein-Uhlenbeck assets (commodities, rates)</w:t>
      </w:r>
    </w:p>
    <w:p>
      <w:pPr>
        <w:pStyle w:val="ListParagraph"/>
        <w:numPr>
          <w:ilvl w:val="0"/>
          <w:numId w:val="2"/>
        </w:numPr>
        <w:spacing w:before="40" w:after="40"/>
      </w:pPr>
      <w:r>
        <w:rPr>
          <w:rFonts w:ascii="Arial" w:cs="Arial" w:eastAsia="Arial" w:hAnsi="Arial"/>
          <w:b/>
          <w:bCs/>
          <w:sz w:val="22"/>
          <w:szCs w:val="22"/>
        </w:rPr>
        <w:t xml:space="preserve">Stochastic vol: </w:t>
      </w:r>
      <w:r>
        <w:rPr>
          <w:rFonts w:ascii="Arial" w:cs="Arial" w:eastAsia="Arial" w:hAnsi="Arial"/>
          <w:sz w:val="22"/>
          <w:szCs w:val="22"/>
        </w:rPr>
        <w:t xml:space="preserve">Heston parameters (kappa, theta, xi, rho) when ready</w:t>
      </w:r>
    </w:p>
    <w:p>
      <w:pPr>
        <w:pStyle w:val="ListParagraph"/>
        <w:numPr>
          <w:ilvl w:val="0"/>
          <w:numId w:val="2"/>
        </w:numPr>
        <w:spacing w:before="40" w:after="40"/>
      </w:pPr>
      <w:r>
        <w:rPr>
          <w:rFonts w:ascii="Arial" w:cs="Arial" w:eastAsia="Arial" w:hAnsi="Arial"/>
          <w:b/>
          <w:bCs/>
          <w:sz w:val="22"/>
          <w:szCs w:val="22"/>
        </w:rPr>
        <w:t xml:space="preserve">Tax treatment: </w:t>
      </w:r>
      <w:r>
        <w:rPr>
          <w:rFonts w:ascii="Arial" w:cs="Arial" w:eastAsia="Arial" w:hAnsi="Arial"/>
          <w:sz w:val="22"/>
          <w:szCs w:val="22"/>
        </w:rPr>
        <w:t xml:space="preserve">LTCG eligible, ordinary income, collectibles rate (gold ETFs), wash sale risk</w:t>
      </w:r>
    </w:p>
    <w:p>
      <w:pPr>
        <w:spacing w:before="80" w:after="0"/>
      </w:pPr>
      <w:r>
        <w:t xml:space="preserve"/>
      </w:r>
    </w:p>
    <w:p>
      <w:pPr>
        <w:pStyle w:val="Heading3"/>
        <w:spacing w:before="200" w:after="60"/>
      </w:pPr>
      <w:r>
        <w:rPr>
          <w:rFonts w:ascii="Arial" w:cs="Arial" w:eastAsia="Arial" w:hAnsi="Arial"/>
          <w:b/>
          <w:bCs/>
          <w:color w:val="404040"/>
          <w:sz w:val="24"/>
          <w:szCs w:val="24"/>
        </w:rPr>
        <w:t xml:space="preserve">Layer 13: Volume Flow / Market Microstructure</w:t>
      </w:r>
    </w:p>
    <w:p>
      <w:pPr>
        <w:spacing w:before="60" w:after="80"/>
      </w:pPr>
      <w:r>
        <w:rPr>
          <w:rFonts w:ascii="Arial" w:cs="Arial" w:eastAsia="Arial" w:hAnsi="Arial"/>
          <w:sz w:val="22"/>
          <w:szCs w:val="22"/>
        </w:rPr>
        <w:t xml:space="preserve">Wyckoff/Chaikin framework — the 'smart money' signal layer:</w:t>
      </w:r>
    </w:p>
    <w:p>
      <w:pPr>
        <w:pStyle w:val="ListParagraph"/>
        <w:numPr>
          <w:ilvl w:val="0"/>
          <w:numId w:val="2"/>
        </w:numPr>
        <w:spacing w:before="40" w:after="40"/>
      </w:pPr>
      <w:r>
        <w:rPr>
          <w:rFonts w:ascii="Arial" w:cs="Arial" w:eastAsia="Arial" w:hAnsi="Arial"/>
          <w:b/>
          <w:bCs/>
          <w:sz w:val="22"/>
          <w:szCs w:val="22"/>
        </w:rPr>
        <w:t xml:space="preserve">Accumulation/Distribution Line: </w:t>
      </w:r>
      <w:r>
        <w:rPr>
          <w:rFonts w:ascii="Arial" w:cs="Arial" w:eastAsia="Arial" w:hAnsi="Arial"/>
          <w:sz w:val="22"/>
          <w:szCs w:val="22"/>
        </w:rPr>
        <w:t xml:space="preserve">Price + volume divergence from A/D line reveals smart money positioning disguised behind price.</w:t>
      </w:r>
    </w:p>
    <w:p>
      <w:pPr>
        <w:pStyle w:val="ListParagraph"/>
        <w:numPr>
          <w:ilvl w:val="0"/>
          <w:numId w:val="2"/>
        </w:numPr>
        <w:spacing w:before="40" w:after="40"/>
      </w:pPr>
      <w:r>
        <w:rPr>
          <w:rFonts w:ascii="Arial" w:cs="Arial" w:eastAsia="Arial" w:hAnsi="Arial"/>
          <w:b/>
          <w:bCs/>
          <w:sz w:val="22"/>
          <w:szCs w:val="22"/>
        </w:rPr>
        <w:t xml:space="preserve">Chaikin Money Flow (CMF): </w:t>
      </w:r>
      <w:r>
        <w:rPr>
          <w:rFonts w:ascii="Arial" w:cs="Arial" w:eastAsia="Arial" w:hAnsi="Arial"/>
          <w:sz w:val="22"/>
          <w:szCs w:val="22"/>
        </w:rPr>
        <w:t xml:space="preserve">21-day normalized money flow. Above +0.25 = strong accumulation. Below -0.25 = distribution. Per-asset predictive accuracy and signal lag calibrated from historical data.</w:t>
      </w:r>
    </w:p>
    <w:p>
      <w:pPr>
        <w:pStyle w:val="ListParagraph"/>
        <w:numPr>
          <w:ilvl w:val="0"/>
          <w:numId w:val="2"/>
        </w:numPr>
        <w:spacing w:before="40" w:after="40"/>
      </w:pPr>
      <w:r>
        <w:rPr>
          <w:rFonts w:ascii="Arial" w:cs="Arial" w:eastAsia="Arial" w:hAnsi="Arial"/>
          <w:b/>
          <w:bCs/>
          <w:sz w:val="22"/>
          <w:szCs w:val="22"/>
        </w:rPr>
        <w:t xml:space="preserve">Wyckoff phase detection: </w:t>
      </w:r>
      <w:r>
        <w:rPr>
          <w:rFonts w:ascii="Arial" w:cs="Arial" w:eastAsia="Arial" w:hAnsi="Arial"/>
          <w:sz w:val="22"/>
          <w:szCs w:val="22"/>
        </w:rPr>
        <w:t xml:space="preserve">Accumulation A/B/C/D, distribution A/B/C/D, markup, markdown. Spring detection (false breakdown = trap for sellers). UTAD detection (false breakout = trap for buyers).</w:t>
      </w:r>
    </w:p>
    <w:p>
      <w:pPr>
        <w:pStyle w:val="ListParagraph"/>
        <w:numPr>
          <w:ilvl w:val="0"/>
          <w:numId w:val="2"/>
        </w:numPr>
        <w:spacing w:before="40" w:after="40"/>
      </w:pPr>
      <w:r>
        <w:rPr>
          <w:rFonts w:ascii="Arial" w:cs="Arial" w:eastAsia="Arial" w:hAnsi="Arial"/>
          <w:b/>
          <w:bCs/>
          <w:sz w:val="22"/>
          <w:szCs w:val="22"/>
        </w:rPr>
        <w:t xml:space="preserve">Volume profile: </w:t>
      </w:r>
      <w:r>
        <w:rPr>
          <w:rFonts w:ascii="Arial" w:cs="Arial" w:eastAsia="Arial" w:hAnsi="Arial"/>
          <w:sz w:val="22"/>
          <w:szCs w:val="22"/>
        </w:rPr>
        <w:t xml:space="preserve">Point of control (most traded price = strong support/resistance), value area, high/low volume nodes (price magnets and vacuums).</w:t>
      </w:r>
    </w:p>
    <w:p>
      <w:pPr>
        <w:pStyle w:val="ListParagraph"/>
        <w:numPr>
          <w:ilvl w:val="0"/>
          <w:numId w:val="2"/>
        </w:numPr>
        <w:spacing w:before="40" w:after="40"/>
      </w:pPr>
      <w:r>
        <w:rPr>
          <w:rFonts w:ascii="Arial" w:cs="Arial" w:eastAsia="Arial" w:hAnsi="Arial"/>
          <w:b/>
          <w:bCs/>
          <w:sz w:val="22"/>
          <w:szCs w:val="22"/>
        </w:rPr>
        <w:t xml:space="preserve">Effort vs result: </w:t>
      </w:r>
      <w:r>
        <w:rPr>
          <w:rFonts w:ascii="Arial" w:cs="Arial" w:eastAsia="Arial" w:hAnsi="Arial"/>
          <w:sz w:val="22"/>
          <w:szCs w:val="22"/>
        </w:rPr>
        <w:t xml:space="preserve">Wide spread + high volume + little price progress = supply being absorbed. Signals impending direction change.</w:t>
      </w:r>
    </w:p>
    <w:p>
      <w:pPr>
        <w:pStyle w:val="ListParagraph"/>
        <w:numPr>
          <w:ilvl w:val="0"/>
          <w:numId w:val="2"/>
        </w:numPr>
        <w:spacing w:before="40" w:after="40"/>
      </w:pPr>
      <w:r>
        <w:rPr>
          <w:rFonts w:ascii="Arial" w:cs="Arial" w:eastAsia="Arial" w:hAnsi="Arial"/>
          <w:b/>
          <w:bCs/>
          <w:sz w:val="22"/>
          <w:szCs w:val="22"/>
        </w:rPr>
        <w:t xml:space="preserve">Options flow: </w:t>
      </w:r>
      <w:r>
        <w:rPr>
          <w:rFonts w:ascii="Arial" w:cs="Arial" w:eastAsia="Arial" w:hAnsi="Arial"/>
          <w:sz w:val="22"/>
          <w:szCs w:val="22"/>
        </w:rPr>
        <w:t xml:space="preserve">Put/call ratio, unusual options activity, gamma flip level (price where dealer hedging reverses direction).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Key Design Principle</w:t>
            </w:r>
          </w:p>
          <w:p>
            <w:pPr>
              <w:spacing w:before="0" w:after="0"/>
            </w:pPr>
            <w:r>
              <w:rPr>
                <w:rFonts w:ascii="Arial" w:cs="Arial" w:eastAsia="Arial" w:hAnsi="Arial"/>
                <w:sz w:val="21"/>
                <w:szCs w:val="21"/>
              </w:rPr>
              <w:t xml:space="preserve">The model stores the HISTORICAL PREDICTIVE ACCURACY of each volume flow signal for each specific asset — not just the current signal value. CMF has 67% predictive accuracy for VTI with a 3-day lag. This calibration is what makes the signal combiner intelligent rather than mechanical.</w:t>
            </w:r>
          </w:p>
        </w:tc>
      </w:tr>
    </w:tbl>
    <w:p>
      <w:pPr>
        <w:spacing w:before="200" w:after="0"/>
      </w:pPr>
      <w:r>
        <w:t xml:space="preserve"/>
      </w:r>
    </w:p>
    <w:p>
      <w:pPr>
        <w:pStyle w:val="Heading2"/>
        <w:spacing w:before="280" w:after="80"/>
      </w:pPr>
      <w:r>
        <w:rPr>
          <w:rFonts w:ascii="Arial" w:cs="Arial" w:eastAsia="Arial" w:hAnsi="Arial"/>
          <w:b/>
          <w:bCs/>
          <w:color w:val="2E75B6"/>
          <w:sz w:val="28"/>
          <w:szCs w:val="28"/>
        </w:rPr>
        <w:t xml:space="preserve">4.3 Model Versioning and Promotion</w:t>
      </w:r>
    </w:p>
    <w:p>
      <w:pPr>
        <w:pStyle w:val="ListParagraph"/>
        <w:numPr>
          <w:ilvl w:val="0"/>
          <w:numId w:val="2"/>
        </w:numPr>
        <w:spacing w:before="40" w:after="40"/>
      </w:pPr>
      <w:r>
        <w:rPr>
          <w:rFonts w:ascii="Arial" w:cs="Arial" w:eastAsia="Arial" w:hAnsi="Arial"/>
          <w:b/>
          <w:bCs/>
          <w:sz w:val="22"/>
          <w:szCs w:val="22"/>
        </w:rPr>
        <w:t xml:space="preserve">asset_discovery.py: </w:t>
      </w:r>
      <w:r>
        <w:rPr>
          <w:rFonts w:ascii="Arial" w:cs="Arial" w:eastAsia="Arial" w:hAnsi="Arial"/>
          <w:sz w:val="22"/>
          <w:szCs w:val="22"/>
        </w:rPr>
        <w:t xml:space="preserve">Scans all profiles → extracts {ticker: class} with no market data dependencies.</w:t>
      </w:r>
    </w:p>
    <w:p>
      <w:pPr>
        <w:pStyle w:val="ListParagraph"/>
        <w:numPr>
          <w:ilvl w:val="0"/>
          <w:numId w:val="2"/>
        </w:numPr>
        <w:spacing w:before="40" w:after="40"/>
      </w:pPr>
      <w:r>
        <w:rPr>
          <w:rFonts w:ascii="Arial" w:cs="Arial" w:eastAsia="Arial" w:hAnsi="Arial"/>
          <w:b/>
          <w:bCs/>
          <w:sz w:val="22"/>
          <w:szCs w:val="22"/>
        </w:rPr>
        <w:t xml:space="preserve">asset_calibration.py: </w:t>
      </w:r>
      <w:r>
        <w:rPr>
          <w:rFonts w:ascii="Arial" w:cs="Arial" w:eastAsia="Arial" w:hAnsi="Arial"/>
          <w:sz w:val="22"/>
          <w:szCs w:val="22"/>
        </w:rPr>
        <w:t xml:space="preserve">Fetches market data, computes multi-window geometric blend (5yr×0.15 + 10yr×0.35 + 20yr×0.30 + prior×0.20), short-history class fallback, empirical correlation matrix, writes versioned model artifact.</w:t>
      </w:r>
    </w:p>
    <w:p>
      <w:pPr>
        <w:pStyle w:val="ListParagraph"/>
        <w:numPr>
          <w:ilvl w:val="0"/>
          <w:numId w:val="2"/>
        </w:numPr>
        <w:spacing w:before="40" w:after="40"/>
      </w:pPr>
      <w:r>
        <w:rPr>
          <w:rFonts w:ascii="Arial" w:cs="Arial" w:eastAsia="Arial" w:hAnsi="Arial"/>
          <w:b/>
          <w:bCs/>
          <w:sz w:val="22"/>
          <w:szCs w:val="22"/>
        </w:rPr>
        <w:t xml:space="preserve">promote_model.py: </w:t>
      </w:r>
      <w:r>
        <w:rPr>
          <w:rFonts w:ascii="Arial" w:cs="Arial" w:eastAsia="Arial" w:hAnsi="Arial"/>
          <w:sz w:val="22"/>
          <w:szCs w:val="22"/>
        </w:rPr>
        <w:t xml:space="preserve">Validates mu/sigma bounds per class, correlation matrix SPD check, required tickers check. Requires explicit human confirmation. Writes manifest.json and appends to promotion_log.json. Only then copies to src/config/assets.json.</w:t>
      </w:r>
    </w:p>
    <w:p>
      <w:pPr>
        <w:pStyle w:val="ListParagraph"/>
        <w:numPr>
          <w:ilvl w:val="0"/>
          <w:numId w:val="2"/>
        </w:numPr>
        <w:spacing w:before="40" w:after="40"/>
      </w:pPr>
      <w:r>
        <w:rPr>
          <w:rFonts w:ascii="Arial" w:cs="Arial" w:eastAsia="Arial" w:hAnsi="Arial"/>
          <w:b/>
          <w:bCs/>
          <w:sz w:val="22"/>
          <w:szCs w:val="22"/>
        </w:rPr>
        <w:t xml:space="preserve">Auto-refresh: </w:t>
      </w:r>
      <w:r>
        <w:rPr>
          <w:rFonts w:ascii="Arial" w:cs="Arial" w:eastAsia="Arial" w:hAnsi="Arial"/>
          <w:sz w:val="22"/>
          <w:szCs w:val="22"/>
        </w:rPr>
        <w:t xml:space="preserve">DISABLED. The asset model is never automatically overwritten. Every change goes through the promotion pipeline.</w:t>
      </w:r>
    </w:p>
    <w:p>
      <w:pPr>
        <w:spacing w:before="120" w:after="0"/>
      </w:pPr>
      <w:r>
        <w:t xml:space="preserve"/>
      </w:r>
    </w:p>
    <w:p>
      <w:pPr>
        <w:spacing w:before="60" w:after="80"/>
      </w:pPr>
      <w:r>
        <w:rPr>
          <w:rFonts w:ascii="Arial" w:cs="Arial" w:eastAsia="Arial" w:hAnsi="Arial"/>
          <w:sz w:val="22"/>
          <w:szCs w:val="22"/>
        </w:rPr>
        <w:t xml:space="preserve">The multi-window blend rationale: 5yr captures the current rate/regime environment. 10yr covers a full market cycle. 20yr provides long-run historical anchor. The prior (from economicglobal.json asset_class_priors, updated annually from Vanguard/BlackRock CMAs) prevents the blend from drifting into implausible territory during exceptional historical windows.</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5. Dynamic Signal Pipeline</w:t>
      </w:r>
    </w:p>
    <w:p>
      <w:pPr>
        <w:spacing w:before="60" w:after="80"/>
      </w:pPr>
      <w:r>
        <w:rPr>
          <w:rFonts w:ascii="Arial" w:cs="Arial" w:eastAsia="Arial" w:hAnsi="Arial"/>
          <w:sz w:val="22"/>
          <w:szCs w:val="22"/>
        </w:rPr>
        <w:t xml:space="preserve">The static model captures long-run characteristics. Dynamic signals capture what is happening right now. Neither alone is sufficient — their combination produces the final input to simulation.</w:t>
      </w:r>
    </w:p>
    <w:p>
      <w:pPr>
        <w:spacing w:before="80" w:after="0"/>
      </w:pPr>
      <w:r>
        <w:t xml:space="preserve"/>
      </w:r>
    </w:p>
    <w:p>
      <w:pPr>
        <w:pStyle w:val="Heading2"/>
        <w:spacing w:before="280" w:after="80"/>
      </w:pPr>
      <w:r>
        <w:rPr>
          <w:rFonts w:ascii="Arial" w:cs="Arial" w:eastAsia="Arial" w:hAnsi="Arial"/>
          <w:b/>
          <w:bCs/>
          <w:color w:val="2E75B6"/>
          <w:sz w:val="28"/>
          <w:szCs w:val="28"/>
        </w:rPr>
        <w:t xml:space="preserve">5.1 Market Data Agent</w:t>
      </w:r>
    </w:p>
    <w:p>
      <w:pPr>
        <w:spacing w:before="60" w:after="80"/>
      </w:pPr>
      <w:r>
        <w:rPr>
          <w:rFonts w:ascii="Arial" w:cs="Arial" w:eastAsia="Arial" w:hAnsi="Arial"/>
          <w:sz w:val="22"/>
          <w:szCs w:val="22"/>
        </w:rPr>
        <w:t xml:space="preserve">market_data_agent.py runs daily and writes to signals/YYYY-MM-DD/:</w:t>
      </w:r>
    </w:p>
    <w:p>
      <w:pPr>
        <w:spacing w:before="40" w:after="0"/>
      </w:pPr>
      <w:r>
        <w:t xml:space="preserve"/>
      </w:r>
    </w:p>
    <w:p>
      <w:pPr>
        <w:spacing w:before="40" w:after="40"/>
        <w:ind w:left="720"/>
      </w:pPr>
      <w:r>
        <w:rPr>
          <w:rFonts w:ascii="Courier New" w:cs="Courier New" w:eastAsia="Courier New" w:hAnsi="Courier New"/>
          <w:color w:val="1a1a2e"/>
          <w:sz w:val="18"/>
          <w:szCs w:val="18"/>
        </w:rPr>
        <w:t xml:space="preserve">signals/</w:t>
      </w:r>
    </w:p>
    <w:p>
      <w:pPr>
        <w:spacing w:before="40" w:after="40"/>
        <w:ind w:left="720"/>
      </w:pPr>
      <w:r>
        <w:rPr>
          <w:rFonts w:ascii="Courier New" w:cs="Courier New" w:eastAsia="Courier New" w:hAnsi="Courier New"/>
          <w:color w:val="1a1a2e"/>
          <w:sz w:val="18"/>
          <w:szCs w:val="18"/>
        </w:rPr>
        <w:t xml:space="preserve">  YYYY-MM-DD/</w:t>
      </w:r>
    </w:p>
    <w:p>
      <w:pPr>
        <w:spacing w:before="40" w:after="40"/>
        <w:ind w:left="720"/>
      </w:pPr>
      <w:r>
        <w:rPr>
          <w:rFonts w:ascii="Courier New" w:cs="Courier New" w:eastAsia="Courier New" w:hAnsi="Courier New"/>
          <w:color w:val="1a1a2e"/>
          <w:sz w:val="18"/>
          <w:szCs w:val="18"/>
        </w:rPr>
        <w:t xml:space="preserve">    signals.msgpack      ← per-ticker dynamic signals</w:t>
      </w:r>
    </w:p>
    <w:p>
      <w:pPr>
        <w:spacing w:before="40" w:after="40"/>
        <w:ind w:left="720"/>
      </w:pPr>
      <w:r>
        <w:rPr>
          <w:rFonts w:ascii="Courier New" w:cs="Courier New" w:eastAsia="Courier New" w:hAnsi="Courier New"/>
          <w:color w:val="1a1a2e"/>
          <w:sz w:val="18"/>
          <w:szCs w:val="18"/>
        </w:rPr>
        <w:t xml:space="preserve">    signals.sha256       ← SHA-256 corruption check</w:t>
      </w:r>
    </w:p>
    <w:p>
      <w:pPr>
        <w:spacing w:before="40" w:after="40"/>
        <w:ind w:left="720"/>
      </w:pPr>
      <w:r>
        <w:rPr>
          <w:rFonts w:ascii="Courier New" w:cs="Courier New" w:eastAsia="Courier New" w:hAnsi="Courier New"/>
          <w:color w:val="1a1a2e"/>
          <w:sz w:val="18"/>
          <w:szCs w:val="18"/>
        </w:rPr>
        <w:t xml:space="preserve">    market_context.json  ← VIX, yield curve, macro releases</w:t>
      </w:r>
    </w:p>
    <w:p>
      <w:pPr>
        <w:spacing w:before="80" w:after="0"/>
      </w:pPr>
      <w:r>
        <w:t xml:space="preserve"/>
      </w:r>
    </w:p>
    <w:p>
      <w:pPr>
        <w:spacing w:before="60" w:after="80"/>
      </w:pPr>
      <w:r>
        <w:rPr>
          <w:rFonts w:ascii="Arial" w:cs="Arial" w:eastAsia="Arial" w:hAnsi="Arial"/>
          <w:sz w:val="22"/>
          <w:szCs w:val="22"/>
        </w:rPr>
        <w:t xml:space="preserve">Per-ticker dynamic signals captured daily:</w:t>
      </w:r>
    </w:p>
    <w:p>
      <w:pPr>
        <w:pStyle w:val="ListParagraph"/>
        <w:numPr>
          <w:ilvl w:val="0"/>
          <w:numId w:val="2"/>
        </w:numPr>
        <w:spacing w:before="40" w:after="40"/>
      </w:pPr>
      <w:r>
        <w:rPr>
          <w:rFonts w:ascii="Arial" w:cs="Arial" w:eastAsia="Arial" w:hAnsi="Arial"/>
          <w:b/>
          <w:bCs/>
          <w:sz w:val="22"/>
          <w:szCs w:val="22"/>
        </w:rPr>
        <w:t xml:space="preserve">Volume flow: </w:t>
      </w:r>
      <w:r>
        <w:rPr>
          <w:rFonts w:ascii="Arial" w:cs="Arial" w:eastAsia="Arial" w:hAnsi="Arial"/>
          <w:sz w:val="22"/>
          <w:szCs w:val="22"/>
        </w:rPr>
        <w:t xml:space="preserve">CMF current, OBV divergence, Wyckoff phase current, absorption score, effort vs result score, smart money divergence</w:t>
      </w:r>
    </w:p>
    <w:p>
      <w:pPr>
        <w:pStyle w:val="ListParagraph"/>
        <w:numPr>
          <w:ilvl w:val="0"/>
          <w:numId w:val="2"/>
        </w:numPr>
        <w:spacing w:before="40" w:after="40"/>
      </w:pPr>
      <w:r>
        <w:rPr>
          <w:rFonts w:ascii="Arial" w:cs="Arial" w:eastAsia="Arial" w:hAnsi="Arial"/>
          <w:b/>
          <w:bCs/>
          <w:sz w:val="22"/>
          <w:szCs w:val="22"/>
        </w:rPr>
        <w:t xml:space="preserve">Regime probabilities: </w:t>
      </w:r>
      <w:r>
        <w:rPr>
          <w:rFonts w:ascii="Arial" w:cs="Arial" w:eastAsia="Arial" w:hAnsi="Arial"/>
          <w:sz w:val="22"/>
          <w:szCs w:val="22"/>
        </w:rPr>
        <w:t xml:space="preserve">Bayesian posterior across all regimes based on current macro + price + flow inputs</w:t>
      </w:r>
    </w:p>
    <w:p>
      <w:pPr>
        <w:pStyle w:val="ListParagraph"/>
        <w:numPr>
          <w:ilvl w:val="0"/>
          <w:numId w:val="2"/>
        </w:numPr>
        <w:spacing w:before="40" w:after="40"/>
      </w:pPr>
      <w:r>
        <w:rPr>
          <w:rFonts w:ascii="Arial" w:cs="Arial" w:eastAsia="Arial" w:hAnsi="Arial"/>
          <w:b/>
          <w:bCs/>
          <w:sz w:val="22"/>
          <w:szCs w:val="22"/>
        </w:rPr>
        <w:t xml:space="preserve">Earnings proximity: </w:t>
      </w:r>
      <w:r>
        <w:rPr>
          <w:rFonts w:ascii="Arial" w:cs="Arial" w:eastAsia="Arial" w:hAnsi="Arial"/>
          <w:sz w:val="22"/>
          <w:szCs w:val="22"/>
        </w:rPr>
        <w:t xml:space="preserve">Days to/from earnings — drives pre-earnings vol expansion, post-earnings crush</w:t>
      </w:r>
    </w:p>
    <w:p>
      <w:pPr>
        <w:pStyle w:val="ListParagraph"/>
        <w:numPr>
          <w:ilvl w:val="0"/>
          <w:numId w:val="2"/>
        </w:numPr>
        <w:spacing w:before="40" w:after="40"/>
      </w:pPr>
      <w:r>
        <w:rPr>
          <w:rFonts w:ascii="Arial" w:cs="Arial" w:eastAsia="Arial" w:hAnsi="Arial"/>
          <w:b/>
          <w:bCs/>
          <w:sz w:val="22"/>
          <w:szCs w:val="22"/>
        </w:rPr>
        <w:t xml:space="preserve">Economic release surprises: </w:t>
      </w:r>
      <w:r>
        <w:rPr>
          <w:rFonts w:ascii="Arial" w:cs="Arial" w:eastAsia="Arial" w:hAnsi="Arial"/>
          <w:sz w:val="22"/>
          <w:szCs w:val="22"/>
        </w:rPr>
        <w:t xml:space="preserve">CPI, NFP, FOMC, GDP actual vs consensus — magnitude and direction</w:t>
      </w:r>
    </w:p>
    <w:p>
      <w:pPr>
        <w:pStyle w:val="ListParagraph"/>
        <w:numPr>
          <w:ilvl w:val="0"/>
          <w:numId w:val="2"/>
        </w:numPr>
        <w:spacing w:before="40" w:after="40"/>
      </w:pPr>
      <w:r>
        <w:rPr>
          <w:rFonts w:ascii="Arial" w:cs="Arial" w:eastAsia="Arial" w:hAnsi="Arial"/>
          <w:b/>
          <w:bCs/>
          <w:sz w:val="22"/>
          <w:szCs w:val="22"/>
        </w:rPr>
        <w:t xml:space="preserve">Sentiment: </w:t>
      </w:r>
      <w:r>
        <w:rPr>
          <w:rFonts w:ascii="Arial" w:cs="Arial" w:eastAsia="Arial" w:hAnsi="Arial"/>
          <w:sz w:val="22"/>
          <w:szCs w:val="22"/>
        </w:rPr>
        <w:t xml:space="preserve">News sentiment NLP score, options skew, put/call ratio</w:t>
      </w:r>
    </w:p>
    <w:p>
      <w:pPr>
        <w:pStyle w:val="ListParagraph"/>
        <w:numPr>
          <w:ilvl w:val="0"/>
          <w:numId w:val="2"/>
        </w:numPr>
        <w:spacing w:before="40" w:after="40"/>
      </w:pPr>
      <w:r>
        <w:rPr>
          <w:rFonts w:ascii="Arial" w:cs="Arial" w:eastAsia="Arial" w:hAnsi="Arial"/>
          <w:b/>
          <w:bCs/>
          <w:sz w:val="22"/>
          <w:szCs w:val="22"/>
        </w:rPr>
        <w:t xml:space="preserve">Macro context: </w:t>
      </w:r>
      <w:r>
        <w:rPr>
          <w:rFonts w:ascii="Arial" w:cs="Arial" w:eastAsia="Arial" w:hAnsi="Arial"/>
          <w:sz w:val="22"/>
          <w:szCs w:val="22"/>
        </w:rPr>
        <w:t xml:space="preserve">VIX level/ratio, yield curve slope/inversion, credit spreads, dollar index</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6. Signal Combiner</w:t>
      </w:r>
    </w:p>
    <w:p>
      <w:pPr>
        <w:spacing w:before="60" w:after="80"/>
      </w:pPr>
      <w:r>
        <w:rPr>
          <w:rFonts w:ascii="Arial" w:cs="Arial" w:eastAsia="Arial" w:hAnsi="Arial"/>
          <w:sz w:val="22"/>
          <w:szCs w:val="22"/>
        </w:rPr>
        <w:t xml:space="preserve">signal_combiner.py is the integration point. It takes the static model and dynamic signals and produces a single combined_signal per ticker per simulation step. simulation_core.py receives only this combined signal — it has no knowledge of the static/dynamic split.</w:t>
      </w:r>
    </w:p>
    <w:p>
      <w:pPr>
        <w:spacing w:before="80" w:after="0"/>
      </w:pPr>
      <w:r>
        <w:t xml:space="preserve"/>
      </w:r>
    </w:p>
    <w:p>
      <w:pPr>
        <w:pStyle w:val="Heading2"/>
        <w:spacing w:before="280" w:after="80"/>
      </w:pPr>
      <w:r>
        <w:rPr>
          <w:rFonts w:ascii="Arial" w:cs="Arial" w:eastAsia="Arial" w:hAnsi="Arial"/>
          <w:b/>
          <w:bCs/>
          <w:color w:val="2E75B6"/>
          <w:sz w:val="28"/>
          <w:szCs w:val="28"/>
        </w:rPr>
        <w:t xml:space="preserve">6.1 Combination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adjusts the baseline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Regime adjustment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Weighted average of static per-regime mu/sigma using dynamic regime probability distribution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 flow alpha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CMF score × static CMF predictive accuracy × scaling factor → adjusts mu</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Macro surprise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Economic release surprise × static macro sensitivity → adjusts mu</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Earnings vol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Pre-earnings: sigma × (1 + vol_expansion_pre_earnings). Post: sigma × (1 - vol_crush_post_earnings)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Sentiment overlay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Sentiment score × static news_sentiment_sensitivity → adjusts mu</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VIX scaling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sigma × (current VIX / historical avg VIX) — scales realized vol with fear</w:t>
            </w:r>
          </w:p>
        </w:tc>
      </w:tr>
    </w:tbl>
    <w:p>
      <w:pPr>
        <w:spacing w:before="80" w:after="0"/>
      </w:pPr>
      <w:r>
        <w:t xml:space="preserve"/>
      </w:r>
    </w:p>
    <w:p>
      <w:pPr>
        <w:spacing w:before="60" w:after="80"/>
      </w:pPr>
      <w:r>
        <w:rPr>
          <w:rFonts w:ascii="Arial" w:cs="Arial" w:eastAsia="Arial" w:hAnsi="Arial"/>
          <w:sz w:val="22"/>
          <w:szCs w:val="22"/>
        </w:rPr>
        <w:t xml:space="preserve">The combiner also produces a confidence score. When static model and dynamic signals disagree strongly — e.g. static says bull regime but CMF is deeply negative and regime probs are shifting — confidence is low and sigma is widened to reflect genuine uncertainty.</w:t>
      </w:r>
    </w:p>
    <w:p>
      <w:pPr>
        <w:spacing w:before="80" w:after="0"/>
      </w:pPr>
      <w:r>
        <w:t xml:space="preserve"/>
      </w:r>
    </w:p>
    <w:p>
      <w:pPr>
        <w:pStyle w:val="Heading2"/>
        <w:spacing w:before="280" w:after="80"/>
      </w:pPr>
      <w:r>
        <w:rPr>
          <w:rFonts w:ascii="Arial" w:cs="Arial" w:eastAsia="Arial" w:hAnsi="Arial"/>
          <w:b/>
          <w:bCs/>
          <w:color w:val="2E75B6"/>
          <w:sz w:val="28"/>
          <w:szCs w:val="28"/>
        </w:rPr>
        <w:t xml:space="preserve">6.2 Simulation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real dynamic signals from today. For investment engine decisions.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HISTORICAL BACKTEST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Replays signals archive from signals/YYYY-MM-DD/. Validates that combined signal would have worked historically.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(Monte Carlo)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real future signals available. Generates synthetic regime transitions (Markov chain) and synthetic flow signals consistent with static model. Used for retirement 30-year projections.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Synthetic Mode is Key for Retirement</w:t>
            </w:r>
          </w:p>
          <w:p>
            <w:pPr>
              <w:spacing w:before="0" w:after="0"/>
            </w:pPr>
            <w:r>
              <w:rPr>
                <w:rFonts w:ascii="Arial" w:cs="Arial" w:eastAsia="Arial" w:hAnsi="Arial"/>
                <w:sz w:val="21"/>
                <w:szCs w:val="21"/>
              </w:rPr>
              <w:t xml:space="preserve">Instead of GBM with fixed mu/sigma, synthetic mode simulates: regime transitions as a Markov chain (bull→bear→recession→recovery), volume flow signals as correlated noise around regime state, macro surprises as stochastic draws from historical distributions. Monte Carlo paths become richer — they include realistic crashes with volume confirmation, accumulation phases before recoveries, and stagflation periods. This is what makes 30-year projections genuinely realistic rather than just noisy straight lines.</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7. Simulation Core</w:t>
      </w:r>
    </w:p>
    <w:p>
      <w:pPr>
        <w:spacing w:before="60" w:after="80"/>
      </w:pPr>
      <w:r>
        <w:rPr>
          <w:rFonts w:ascii="Arial" w:cs="Arial" w:eastAsia="Arial" w:hAnsi="Arial"/>
          <w:sz w:val="22"/>
          <w:szCs w:val="22"/>
        </w:rPr>
        <w:t xml:space="preserve">simulation_core.py is the pure math layer. It receives the combined signal and generates stochastic asset paths. It has no knowledge of taxes, RMDs, withdrawals, retirement accounts, or the static/dynamic signal split. It only knows: here are per-asset return parameters, generate N paths over Y years.</w:t>
      </w:r>
    </w:p>
    <w:p>
      <w:pPr>
        <w:spacing w:before="80" w:after="0"/>
      </w:pPr>
      <w:r>
        <w:t xml:space="preserve"/>
      </w:r>
    </w:p>
    <w:p>
      <w:pPr>
        <w:pStyle w:val="Heading2"/>
        <w:spacing w:before="280" w:after="80"/>
      </w:pPr>
      <w:r>
        <w:rPr>
          <w:rFonts w:ascii="Arial" w:cs="Arial" w:eastAsia="Arial" w:hAnsi="Arial"/>
          <w:b/>
          <w:bCs/>
          <w:color w:val="2E75B6"/>
          <w:sz w:val="28"/>
          <w:szCs w:val="28"/>
        </w:rPr>
        <w:t xml:space="preserve">7.1 Capability Map</w:t>
      </w:r>
    </w:p>
    <w:p>
      <w:pPr>
        <w:spacing w:before="60" w:after="80"/>
      </w:pPr>
      <w:r>
        <w:rPr>
          <w:rFonts w:ascii="Arial" w:cs="Arial" w:eastAsia="Arial" w:hAnsi="Arial"/>
          <w:sz w:val="22"/>
          <w:szCs w:val="22"/>
        </w:rPr>
        <w:t xml:space="preserve">simulation_core.py uses a capability map to gracefully handle model versions with different features:</w:t>
      </w:r>
    </w:p>
    <w:p>
      <w:pPr>
        <w:spacing w:before="40" w:after="0"/>
      </w:pPr>
      <w:r>
        <w:t xml:space="preserve"/>
      </w:r>
    </w:p>
    <w:p>
      <w:pPr>
        <w:spacing w:before="40" w:after="40"/>
        <w:ind w:left="720"/>
      </w:pPr>
      <w:r>
        <w:rPr>
          <w:rFonts w:ascii="Courier New" w:cs="Courier New" w:eastAsia="Courier New" w:hAnsi="Courier New"/>
          <w:color w:val="1a1a2e"/>
          <w:sz w:val="18"/>
          <w:szCs w:val="18"/>
        </w:rPr>
        <w:t xml:space="preserve">caps = model.capabilities()</w:t>
      </w:r>
    </w:p>
    <w:p>
      <w:pPr>
        <w:spacing w:before="40" w:after="40"/>
        <w:ind w:left="720"/>
      </w:pPr>
      <w:r>
        <w:rPr>
          <w:rFonts w:ascii="Courier New" w:cs="Courier New" w:eastAsia="Courier New" w:hAnsi="Courier New"/>
          <w:color w:val="1a1a2e"/>
          <w:sz w:val="18"/>
          <w:szCs w:val="18"/>
        </w:rPr>
        <w:t xml:space="preserve"># → { 'regime_responses': True,</w:t>
      </w:r>
    </w:p>
    <w:p>
      <w:pPr>
        <w:spacing w:before="40" w:after="40"/>
        <w:ind w:left="720"/>
      </w:pPr>
      <w:r>
        <w:rPr>
          <w:rFonts w:ascii="Courier New" w:cs="Courier New" w:eastAsia="Courier New" w:hAnsi="Courier New"/>
          <w:color w:val="1a1a2e"/>
          <w:sz w:val="18"/>
          <w:szCs w:val="18"/>
        </w:rPr>
        <w:t xml:space="preserve">#     'calendar_effects': True,</w:t>
      </w:r>
    </w:p>
    <w:p>
      <w:pPr>
        <w:spacing w:before="40" w:after="40"/>
        <w:ind w:left="720"/>
      </w:pPr>
      <w:r>
        <w:rPr>
          <w:rFonts w:ascii="Courier New" w:cs="Courier New" w:eastAsia="Courier New" w:hAnsi="Courier New"/>
          <w:color w:val="1a1a2e"/>
          <w:sz w:val="18"/>
          <w:szCs w:val="18"/>
        </w:rPr>
        <w:t xml:space="preserve">#     'earnings_sensitivity': False,  ← not in this model version</w:t>
      </w:r>
    </w:p>
    <w:p>
      <w:pPr>
        <w:spacing w:before="40" w:after="40"/>
        <w:ind w:left="720"/>
      </w:pPr>
      <w:r>
        <w:rPr>
          <w:rFonts w:ascii="Courier New" w:cs="Courier New" w:eastAsia="Courier New" w:hAnsi="Courier New"/>
          <w:color w:val="1a1a2e"/>
          <w:sz w:val="18"/>
          <w:szCs w:val="18"/>
        </w:rPr>
        <w:t xml:space="preserve">#     'jump_diffusion': False }</w:t>
      </w:r>
    </w:p>
    <w:p>
      <w:pPr>
        <w:spacing w:before="60" w:after="0"/>
      </w:pPr>
      <w:r>
        <w:t xml:space="preserve"/>
      </w:r>
    </w:p>
    <w:p>
      <w:pPr>
        <w:spacing w:before="60" w:after="80"/>
      </w:pPr>
      <w:r>
        <w:rPr>
          <w:rFonts w:ascii="Arial" w:cs="Arial" w:eastAsia="Arial" w:hAnsi="Arial"/>
          <w:sz w:val="22"/>
          <w:szCs w:val="22"/>
        </w:rPr>
        <w:t xml:space="preserve">Each simulation feature is gated on capability availability. If a feature is not in the model, simulation falls back gracefully to the flat baseline. This means simulation_core.py never breaks when the model gains new features, and old model versions remain usable.</w:t>
      </w:r>
    </w:p>
    <w:p>
      <w:pPr>
        <w:spacing w:before="80" w:after="0"/>
      </w:pPr>
      <w:r>
        <w:t xml:space="preserve"/>
      </w:r>
    </w:p>
    <w:p>
      <w:pPr>
        <w:pStyle w:val="Heading2"/>
        <w:spacing w:before="280" w:after="80"/>
      </w:pPr>
      <w:r>
        <w:rPr>
          <w:rFonts w:ascii="Arial" w:cs="Arial" w:eastAsia="Arial" w:hAnsi="Arial"/>
          <w:b/>
          <w:bCs/>
          <w:color w:val="2E75B6"/>
          <w:sz w:val="28"/>
          <w:szCs w:val="28"/>
        </w:rPr>
        <w:t xml:space="preserve">7.2 Return Model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(current)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Geometric Brownian Motion with correlated log-normal returns. Multi-asset correlation matrix. Shock overlays per class.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Regime-switching: Markov chain on regime states. Per-regime mu/sigma parameters from asset model Layer 2.</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Jump diffusion: Poisson-distributed crash/rally events. Jump intensity and magnitude from asset model Layer 12.</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Stochastic volatility: Heston model. Vol of vol, price-vol correlation from asset model Layer 12.</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signal integration: synthetic dynamic signals generated per path per step from Markov regime chain.</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8. Training Pipeline</w:t>
      </w:r>
    </w:p>
    <w:p>
      <w:pPr>
        <w:spacing w:before="60" w:after="80"/>
      </w:pPr>
      <w:r>
        <w:rPr>
          <w:rFonts w:ascii="Arial" w:cs="Arial" w:eastAsia="Arial" w:hAnsi="Arial"/>
          <w:sz w:val="22"/>
          <w:szCs w:val="22"/>
        </w:rPr>
        <w:t xml:space="preserve">The training pipeline is what makes eNDinomics a living system rather than a static calculator. It continuously improves the asset model using live data and — critically — the outcomes of its own past decisions.</w:t>
      </w:r>
    </w:p>
    <w:p>
      <w:pPr>
        <w:spacing w:before="80" w:after="0"/>
      </w:pPr>
      <w:r>
        <w:t xml:space="preserve"/>
      </w:r>
    </w:p>
    <w:p>
      <w:pPr>
        <w:pStyle w:val="Heading2"/>
        <w:spacing w:before="280" w:after="80"/>
      </w:pPr>
      <w:r>
        <w:rPr>
          <w:rFonts w:ascii="Arial" w:cs="Arial" w:eastAsia="Arial" w:hAnsi="Arial"/>
          <w:b/>
          <w:bCs/>
          <w:color w:val="2E75B6"/>
          <w:sz w:val="28"/>
          <w:szCs w:val="28"/>
        </w:rPr>
        <w:t xml:space="preserve">8.1 Pipeline Components</w:t>
      </w:r>
    </w:p>
    <w:p>
      <w:pPr>
        <w:pStyle w:val="ListParagraph"/>
        <w:numPr>
          <w:ilvl w:val="0"/>
          <w:numId w:val="2"/>
        </w:numPr>
        <w:spacing w:before="40" w:after="40"/>
      </w:pPr>
      <w:r>
        <w:rPr>
          <w:rFonts w:ascii="Arial" w:cs="Arial" w:eastAsia="Arial" w:hAnsi="Arial"/>
          <w:b/>
          <w:bCs/>
          <w:sz w:val="22"/>
          <w:szCs w:val="22"/>
        </w:rPr>
        <w:t xml:space="preserve">market_data_agent.py: </w:t>
      </w:r>
      <w:r>
        <w:rPr>
          <w:rFonts w:ascii="Arial" w:cs="Arial" w:eastAsia="Arial" w:hAnsi="Arial"/>
          <w:sz w:val="22"/>
          <w:szCs w:val="22"/>
        </w:rPr>
        <w:t xml:space="preserve">Runs daily. Fetches prices, volume, dividends, earnings dates, economic releases, options flow, sentiment. Writes to signals/YYYY-MM-DD/ archive.</w:t>
      </w:r>
    </w:p>
    <w:p>
      <w:pPr>
        <w:pStyle w:val="ListParagraph"/>
        <w:numPr>
          <w:ilvl w:val="0"/>
          <w:numId w:val="2"/>
        </w:numPr>
        <w:spacing w:before="40" w:after="40"/>
      </w:pPr>
      <w:r>
        <w:rPr>
          <w:rFonts w:ascii="Arial" w:cs="Arial" w:eastAsia="Arial" w:hAnsi="Arial"/>
          <w:b/>
          <w:bCs/>
          <w:sz w:val="22"/>
          <w:szCs w:val="22"/>
        </w:rPr>
        <w:t xml:space="preserve">asset_model_agent.py: </w:t>
      </w:r>
      <w:r>
        <w:rPr>
          <w:rFonts w:ascii="Arial" w:cs="Arial" w:eastAsia="Arial" w:hAnsi="Arial"/>
          <w:sz w:val="22"/>
          <w:szCs w:val="22"/>
        </w:rPr>
        <w:t xml:space="preserve">Runs weekly or on trigger. Reads signals archive. Updates regime-conditional parameters, signal predictive accuracy calibration, correlation matrix. Writes candidate model to asset-model/vX.Y.Z/.</w:t>
      </w:r>
    </w:p>
    <w:p>
      <w:pPr>
        <w:pStyle w:val="ListParagraph"/>
        <w:numPr>
          <w:ilvl w:val="0"/>
          <w:numId w:val="2"/>
        </w:numPr>
        <w:spacing w:before="40" w:after="40"/>
      </w:pPr>
      <w:r>
        <w:rPr>
          <w:rFonts w:ascii="Arial" w:cs="Arial" w:eastAsia="Arial" w:hAnsi="Arial"/>
          <w:b/>
          <w:bCs/>
          <w:sz w:val="22"/>
          <w:szCs w:val="22"/>
        </w:rPr>
        <w:t xml:space="preserve">model_trainer.py: </w:t>
      </w:r>
      <w:r>
        <w:rPr>
          <w:rFonts w:ascii="Arial" w:cs="Arial" w:eastAsia="Arial" w:hAnsi="Arial"/>
          <w:sz w:val="22"/>
          <w:szCs w:val="22"/>
        </w:rPr>
        <w:t xml:space="preserve">Reads outcome history from execution_tracker.py. Learns which signal weights actually predicted returns. Updates combiner weights. Feeds improved parameters back into next model candidate.</w:t>
      </w:r>
    </w:p>
    <w:p>
      <w:pPr>
        <w:pStyle w:val="ListParagraph"/>
        <w:numPr>
          <w:ilvl w:val="0"/>
          <w:numId w:val="2"/>
        </w:numPr>
        <w:spacing w:before="40" w:after="40"/>
      </w:pPr>
      <w:r>
        <w:rPr>
          <w:rFonts w:ascii="Arial" w:cs="Arial" w:eastAsia="Arial" w:hAnsi="Arial"/>
          <w:b/>
          <w:bCs/>
          <w:sz w:val="22"/>
          <w:szCs w:val="22"/>
        </w:rPr>
        <w:t xml:space="preserve">execution_tracker.py: </w:t>
      </w:r>
      <w:r>
        <w:rPr>
          <w:rFonts w:ascii="Arial" w:cs="Arial" w:eastAsia="Arial" w:hAnsi="Arial"/>
          <w:sz w:val="22"/>
          <w:szCs w:val="22"/>
        </w:rPr>
        <w:t xml:space="preserve">Records every decision made by fund management engine. Stores: signal state at time of decision, action taken, outcome 30/90/180 days later. This closes the learning loop.</w:t>
      </w:r>
    </w:p>
    <w:p>
      <w:pPr>
        <w:pStyle w:val="ListParagraph"/>
        <w:numPr>
          <w:ilvl w:val="0"/>
          <w:numId w:val="2"/>
        </w:numPr>
        <w:spacing w:before="40" w:after="40"/>
      </w:pPr>
      <w:r>
        <w:rPr>
          <w:rFonts w:ascii="Arial" w:cs="Arial" w:eastAsia="Arial" w:hAnsi="Arial"/>
          <w:b/>
          <w:bCs/>
          <w:sz w:val="22"/>
          <w:szCs w:val="22"/>
        </w:rPr>
        <w:t xml:space="preserve">promote_model.py: </w:t>
      </w:r>
      <w:r>
        <w:rPr>
          <w:rFonts w:ascii="Arial" w:cs="Arial" w:eastAsia="Arial" w:hAnsi="Arial"/>
          <w:sz w:val="22"/>
          <w:szCs w:val="22"/>
        </w:rPr>
        <w:t xml:space="preserve">Human-reviewed promotion gate. Validates bounds, SPD, required tickers. Logs all promotions. Only writes to src/config/assets.json after explicit confirmation.</w:t>
      </w:r>
    </w:p>
    <w:p>
      <w:pPr>
        <w:spacing w:before="80" w:after="0"/>
      </w:pPr>
      <w:r>
        <w:t xml:space="preserve"/>
      </w:r>
    </w:p>
    <w:p>
      <w:pPr>
        <w:pStyle w:val="Heading2"/>
        <w:spacing w:before="280" w:after="80"/>
      </w:pPr>
      <w:r>
        <w:rPr>
          <w:rFonts w:ascii="Arial" w:cs="Arial" w:eastAsia="Arial" w:hAnsi="Arial"/>
          <w:b/>
          <w:bCs/>
          <w:color w:val="2E75B6"/>
          <w:sz w:val="28"/>
          <w:szCs w:val="28"/>
        </w:rPr>
        <w:t xml:space="preserve">8.2 The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How the System Improves</w:t>
            </w:r>
          </w:p>
          <w:p>
            <w:pPr>
              <w:spacing w:before="0" w:after="0"/>
            </w:pPr>
            <w:r>
              <w:rPr>
                <w:rFonts w:ascii="Arial" w:cs="Arial" w:eastAsia="Arial" w:hAnsi="Arial"/>
                <w:sz w:val="21"/>
                <w:szCs w:val="21"/>
              </w:rPr>
              <w:t xml:space="preserve">1. Fund engine makes an entry decision based on CMF + regime + intent signals. 2. execution_tracker.py records the full signal state at decision time. 3. 30/90/180 days later, outcome is recorded (was the entry well-timed?). 4. model_trainer.py uses outcome history to recalibrate signal weights in the static model. 5. Next model version has better-calibrated CMF predictive accuracy, regime response curves, and combiner weights. 6. Over time the system learns which signals work for which assets in which conditions.</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9. Fraud and Scheme Detection</w:t>
      </w:r>
    </w:p>
    <w:p>
      <w:pPr>
        <w:spacing w:before="60" w:after="80"/>
      </w:pPr>
      <w:r>
        <w:rPr>
          <w:rFonts w:ascii="Arial" w:cs="Arial" w:eastAsia="Arial" w:hAnsi="Arial"/>
          <w:sz w:val="22"/>
          <w:szCs w:val="22"/>
        </w:rPr>
        <w:t xml:space="preserve">The retirement guardian includes a fraud detection module. The asset model is uniquely positioned for this — it carries ground truth on what legitimate returns look like across all asset classes.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Asset Model Cross-Reference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"Guaranteed 8% annual return"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legitimate instrument guarantees 8%. Treasury yields ~4.5%. Guarantee implies hidden risk or fraud.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 yield, low volatility, liquid"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Impossible triangle. No asset simultaneously offers high yield + safety + liquidity. At least one claim is false.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positive returns every month"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Madoff signature. No legitimate strategy achieves this. Smoothed or fabricated returns.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"Exclusive opportunity, limited 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engineering, not investment merit. Urgency manufactured to prevent due diligence.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uncorrelated with any known asset class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Either fraud, undisclosed leverage, or illiquid/marked-to-model. All are red flags.</w:t>
            </w:r>
          </w:p>
        </w:tc>
      </w:tr>
    </w:tbl>
    <w:p>
      <w:pPr>
        <w:spacing w:before="80" w:after="0"/>
      </w:pPr>
      <w:r>
        <w:t xml:space="preserve"/>
      </w:r>
    </w:p>
    <w:p>
      <w:pPr>
        <w:spacing w:before="60" w:after="80"/>
      </w:pPr>
      <w:r>
        <w:rPr>
          <w:rFonts w:ascii="Arial" w:cs="Arial" w:eastAsia="Arial" w:hAnsi="Arial"/>
          <w:sz w:val="22"/>
          <w:szCs w:val="22"/>
        </w:rPr>
        <w:t xml:space="preserve">Output per evaluation: risk score (0-1), specific flags with explanation, closest legitimate equivalent ("this resembles high-yield bonds which yield 3.2%, not 15%"), and recommendation.</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10. Current Build Status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simulation_core.py — GBM + shocks + per-class tracking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assets.json v1.0.0 — hand-calibrated 25-ticker model artifact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assets_loader.py — reads model artifact into simulator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api.py — correct path, auto-refresh disabled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loaders.py — global_allocation / begin fallback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rebalancing_core.py — drift-band + LTCG gains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 (testing)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asset_discovery.py — ticker extraction from profiles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Designed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asset_calibration.py — multi-window blend + priors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Designed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promote_model.py — validation + promotion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Designed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economicglobal.json — asset_class_priors block added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Designed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taxes_core.py — rebalancing gains fed 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Roth conversion wiring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sequencing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market_data_agent.py — daily signal fetcher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Phase 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signal_combiner.py — static + dynamic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Phase 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fund_engine.py — Vertical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Phase 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Regime-switching simulation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Phase 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Jump diffusion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Phase 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 scheme detection module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Phase 2</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11. Core Design Principles</w:t>
      </w:r>
    </w:p>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1. Simulation core stays dumb. </w:t>
      </w:r>
      <w:r>
        <w:rPr>
          <w:rFonts w:ascii="Arial" w:cs="Arial" w:eastAsia="Arial" w:hAnsi="Arial"/>
          <w:sz w:val="22"/>
          <w:szCs w:val="22"/>
        </w:rPr>
        <w:t xml:space="preserve">simulation_core.py only does math. No taxes, no account types, no retirement concepts. All intelligence lives in the layers above it.</w:t>
      </w:r>
    </w:p>
    <w:p>
      <w:pPr>
        <w:pStyle w:val="ListParagraph"/>
        <w:numPr>
          <w:ilvl w:val="0"/>
          <w:numId w:val="2"/>
        </w:numPr>
        <w:spacing w:before="40" w:after="40"/>
      </w:pPr>
      <w:r>
        <w:rPr>
          <w:rFonts w:ascii="Arial" w:cs="Arial" w:eastAsia="Arial" w:hAnsi="Arial"/>
          <w:b/>
          <w:bCs/>
          <w:sz w:val="22"/>
          <w:szCs w:val="22"/>
        </w:rPr>
        <w:t xml:space="preserve">2. Asset model is a first-class artifact. </w:t>
      </w:r>
      <w:r>
        <w:rPr>
          <w:rFonts w:ascii="Arial" w:cs="Arial" w:eastAsia="Arial" w:hAnsi="Arial"/>
          <w:sz w:val="22"/>
          <w:szCs w:val="22"/>
        </w:rPr>
        <w:t xml:space="preserve">Not a config file. Versioned, validated, promoted explicitly. Never auto-overwritten. Improves through use.</w:t>
      </w:r>
    </w:p>
    <w:p>
      <w:pPr>
        <w:pStyle w:val="ListParagraph"/>
        <w:numPr>
          <w:ilvl w:val="0"/>
          <w:numId w:val="2"/>
        </w:numPr>
        <w:spacing w:before="40" w:after="40"/>
      </w:pPr>
      <w:r>
        <w:rPr>
          <w:rFonts w:ascii="Arial" w:cs="Arial" w:eastAsia="Arial" w:hAnsi="Arial"/>
          <w:b/>
          <w:bCs/>
          <w:sz w:val="22"/>
          <w:szCs w:val="22"/>
        </w:rPr>
        <w:t xml:space="preserve">3. Capability map over hard dependencies. </w:t>
      </w:r>
      <w:r>
        <w:rPr>
          <w:rFonts w:ascii="Arial" w:cs="Arial" w:eastAsia="Arial" w:hAnsi="Arial"/>
          <w:sz w:val="22"/>
          <w:szCs w:val="22"/>
        </w:rPr>
        <w:t xml:space="preserve">simulation_core.py declares which model features it understands. Missing features degrade gracefully. Old model versions remain usable.</w:t>
      </w:r>
    </w:p>
    <w:p>
      <w:pPr>
        <w:pStyle w:val="ListParagraph"/>
        <w:numPr>
          <w:ilvl w:val="0"/>
          <w:numId w:val="2"/>
        </w:numPr>
        <w:spacing w:before="40" w:after="40"/>
      </w:pPr>
      <w:r>
        <w:rPr>
          <w:rFonts w:ascii="Arial" w:cs="Arial" w:eastAsia="Arial" w:hAnsi="Arial"/>
          <w:b/>
          <w:bCs/>
          <w:sz w:val="22"/>
          <w:szCs w:val="22"/>
        </w:rPr>
        <w:t xml:space="preserve">4. Static and dynamic are separate, combined at one point. </w:t>
      </w:r>
      <w:r>
        <w:rPr>
          <w:rFonts w:ascii="Arial" w:cs="Arial" w:eastAsia="Arial" w:hAnsi="Arial"/>
          <w:sz w:val="22"/>
          <w:szCs w:val="22"/>
        </w:rPr>
        <w:t xml:space="preserve">signal_combiner.py is the single integration point. Everything downstream sees only the combined signal.</w:t>
      </w:r>
    </w:p>
    <w:p>
      <w:pPr>
        <w:pStyle w:val="ListParagraph"/>
        <w:numPr>
          <w:ilvl w:val="0"/>
          <w:numId w:val="2"/>
        </w:numPr>
        <w:spacing w:before="40" w:after="40"/>
      </w:pPr>
      <w:r>
        <w:rPr>
          <w:rFonts w:ascii="Arial" w:cs="Arial" w:eastAsia="Arial" w:hAnsi="Arial"/>
          <w:b/>
          <w:bCs/>
          <w:sz w:val="22"/>
          <w:szCs w:val="22"/>
        </w:rPr>
        <w:t xml:space="preserve">5. Confidence is explicit. </w:t>
      </w:r>
      <w:r>
        <w:rPr>
          <w:rFonts w:ascii="Arial" w:cs="Arial" w:eastAsia="Arial" w:hAnsi="Arial"/>
          <w:sz w:val="22"/>
          <w:szCs w:val="22"/>
        </w:rPr>
        <w:t xml:space="preserve">Every combined signal carries a confidence score. The retirement guardian and fund engine consume it with different thresholds. Low confidence → widen sigma, don't act.</w:t>
      </w:r>
    </w:p>
    <w:p>
      <w:pPr>
        <w:pStyle w:val="ListParagraph"/>
        <w:numPr>
          <w:ilvl w:val="0"/>
          <w:numId w:val="2"/>
        </w:numPr>
        <w:spacing w:before="40" w:after="40"/>
      </w:pPr>
      <w:r>
        <w:rPr>
          <w:rFonts w:ascii="Arial" w:cs="Arial" w:eastAsia="Arial" w:hAnsi="Arial"/>
          <w:b/>
          <w:bCs/>
          <w:sz w:val="22"/>
          <w:szCs w:val="22"/>
        </w:rPr>
        <w:t xml:space="preserve">6. The learning loop closes. </w:t>
      </w:r>
      <w:r>
        <w:rPr>
          <w:rFonts w:ascii="Arial" w:cs="Arial" w:eastAsia="Arial" w:hAnsi="Arial"/>
          <w:sz w:val="22"/>
          <w:szCs w:val="22"/>
        </w:rPr>
        <w:t xml:space="preserve">Decisions are recorded. Outcomes are measured. Signal weights are recalibrated. The system improves through use.</w:t>
      </w:r>
    </w:p>
    <w:p>
      <w:pPr>
        <w:pStyle w:val="ListParagraph"/>
        <w:numPr>
          <w:ilvl w:val="0"/>
          <w:numId w:val="2"/>
        </w:numPr>
        <w:spacing w:before="40" w:after="40"/>
      </w:pPr>
      <w:r>
        <w:rPr>
          <w:rFonts w:ascii="Arial" w:cs="Arial" w:eastAsia="Arial" w:hAnsi="Arial"/>
          <w:b/>
          <w:bCs/>
          <w:sz w:val="22"/>
          <w:szCs w:val="22"/>
        </w:rPr>
        <w:t xml:space="preserve">7. Two confidence thresholds. </w:t>
      </w:r>
      <w:r>
        <w:rPr>
          <w:rFonts w:ascii="Arial" w:cs="Arial" w:eastAsia="Arial" w:hAnsi="Arial"/>
          <w:sz w:val="22"/>
          <w:szCs w:val="22"/>
        </w:rPr>
        <w:t xml:space="preserve">Fund engine acts on 60%+ confidence. Retirement guardian acts on 85%+. The asymmetric downside of retirement requires asymmetric caution.</w:t>
      </w:r>
    </w:p>
    <w:p>
      <w:pPr>
        <w:pStyle w:val="ListParagraph"/>
        <w:numPr>
          <w:ilvl w:val="0"/>
          <w:numId w:val="2"/>
        </w:numPr>
        <w:spacing w:before="40" w:after="40"/>
      </w:pPr>
      <w:r>
        <w:rPr>
          <w:rFonts w:ascii="Arial" w:cs="Arial" w:eastAsia="Arial" w:hAnsi="Arial"/>
          <w:b/>
          <w:bCs/>
          <w:sz w:val="22"/>
          <w:szCs w:val="22"/>
        </w:rPr>
        <w:t xml:space="preserve">8. Modularity over integration. </w:t>
      </w:r>
      <w:r>
        <w:rPr>
          <w:rFonts w:ascii="Arial" w:cs="Arial" w:eastAsia="Arial" w:hAnsi="Arial"/>
          <w:sz w:val="22"/>
          <w:szCs w:val="22"/>
        </w:rPr>
        <w:t xml:space="preserve">Each file has one job. asset_discovery knows profiles. asset_calibration knows market data. promote_model knows validation. No cross-contamination.</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12. Definitive File Map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asset-model/ (repo root)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Versioned model artifacts. Each vX.Y.Z/ contains assets.json, features.msgpack, features.sha256, manifest.json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signals/ (repo root)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dynamic signal archive. signals/YYYY-MM-DD/signals.msgpack + sha256 + market_context.json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src/config/assets.json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production model (promoted copy of latest approved version)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src/config/economicglobal.json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market settings + asset_class_priors for calibration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src/asset_discovery.py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Ticker → class extraction from profiles. No market data dependencies.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src/asset_calibration.py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data fetch + multi-window blend + write versioned model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src/promote_model.py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 human-gated promotion to src/config/assets.json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src/assets_loader.py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assets.json into simulator-ready dict. Strips _provenance metadata.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src/simulation_core.py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stochastic math. Returns acct balances + per-class balances. No retirement concepts.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src/rebalancing_core.py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Drift-band rebalancing. Brokerage LTCG. Policy from economicglobal.json.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src/simulator_new.py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Retirement use-case orchestrator. Wires simulation → rebalancing → RMDs → taxes → withdrawals → Roth.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src/taxes_core.py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 state + NIIT + excise taxes on all income types.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src/rmd_core.py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SECURE 2.0 RMD computation. Surplus reinvestment.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src/roth_conversion_core.py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Roth conversion sequencing and tax impact.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src/withdrawals_core.py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sequencing per account type. Bad market scaling.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src/api.py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server. Routes, config endpoints, run endpoint.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frontend. Configure / Run / Results views.</w:t>
            </w:r>
          </w:p>
        </w:tc>
      </w:tr>
    </w:tbl>
    <w:p>
      <w:pPr>
        <w:spacing w:before="200" w:after="0"/>
      </w:pPr>
      <w:r>
        <w:t xml:space="preserve"/>
      </w:r>
    </w:p>
    <w:p>
      <w:pPr>
        <w:pBdr>
          <w:bottom w:val="single" w:color="2E75B6" w:sz="4" w:space="1"/>
        </w:pBdr>
        <w:spacing w:before="120" w:after="120"/>
      </w:pPr>
      <w:r>
        <w:t xml:space="preserve"/>
      </w:r>
    </w:p>
    <w:p>
      <w:pPr>
        <w:spacing w:before="240" w:after="60"/>
        <w:jc w:val="center"/>
      </w:pPr>
      <w:r>
        <w:rPr>
          <w:rFonts w:ascii="Arial" w:cs="Arial" w:eastAsia="Arial" w:hAnsi="Arial"/>
          <w:b/>
          <w:bCs/>
          <w:color w:val="1F4E79"/>
          <w:sz w:val="24"/>
          <w:szCs w:val="24"/>
        </w:rPr>
        <w:t xml:space="preserve">eNDinomics — Grand Architecture Plan</w:t>
      </w:r>
    </w:p>
    <w:p>
      <w:pPr>
        <w:spacing w:before="0" w:after="0"/>
        <w:jc w:val="center"/>
      </w:pPr>
      <w:r>
        <w:rPr>
          <w:rFonts w:ascii="Arial" w:cs="Arial" w:eastAsia="Arial" w:hAnsi="Arial"/>
          <w:i/>
          <w:iCs/>
          <w:color w:val="808080"/>
          <w:sz w:val="18"/>
          <w:szCs w:val="18"/>
        </w:rPr>
        <w:t xml:space="preserve">Version 1.0  |  March 2026  |  Living document — update as architecture evolves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after="0"/>
    </w:pPr>
    <w:r>
      <w:rPr>
        <w:rFonts w:ascii="Arial" w:cs="Arial" w:eastAsia="Arial" w:hAnsi="Arial"/>
        <w:color w:val="808080"/>
        <w:sz w:val="18"/>
        <w:szCs w:val="18"/>
      </w:rPr>
      <w:t xml:space="preserve">March 2026</w:t>
    </w:r>
    <w:r>
      <w:rPr>
        <w:rFonts w:ascii="Arial" w:cs="Arial" w:eastAsia="Arial" w:hAnsi="Arial"/>
        <w:color w:val="808080"/>
        <w:sz w:val="18"/>
        <w:szCs w:val="18"/>
      </w:rPr>
      <w:t xml:space="preserve">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i/>
        <w:iCs/>
        <w:color w:val="808080"/>
        <w:sz w:val="18"/>
        <w:szCs w:val="18"/>
      </w:rPr>
      <w:t xml:space="preserve">eNDinomics — Grand Architecture Plan</w:t>
    </w:r>
    <w:r>
      <w:rPr>
        <w:rFonts w:ascii="Arial" w:cs="Arial" w:eastAsia="Arial" w:hAnsi="Arial"/>
        <w:b/>
        <w:bCs/>
        <w:color w:val="8080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2026-03-08T04:07:28.781Z</dcterms:created>
  <dcterms:modified xsi:type="dcterms:W3CDTF">2026-03-08T04:07:28.781Z</dcterms:modified>
</cp:coreProperties>
</file>

<file path=docProps/custom.xml><?xml version="1.0" encoding="utf-8"?>
<Properties xmlns="http://schemas.openxmlformats.org/officeDocument/2006/custom-properties" xmlns:vt="http://schemas.openxmlformats.org/officeDocument/2006/docPropsVTypes"/>
</file>