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eNDinomics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Investment Platform — Grand Architecture Plan</w:t>
      </w:r>
    </w:p>
    <w:p>
      <w:pPr>
        <w:spacing w:before="0" w:after="96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Version 1.0  |  March 2026  |  CONFIDENTIAL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North Star Vision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eNDinomics is being built to answer a question that no existing tool answers well: given realistic, time-varying market conditions — not static averages — will a specific retirement plan survive, and what should be done about it today?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Origin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mainstream retirement tool assumes static market conditions: x% average return, fixed inflation, smooth distributions. None allows you to model sequence-of-returns risk with precision — the scenario where markets tank in year 2 vs year 15, with bad inflation at specific points, is categorically different in outcome even if the 30-year average return is identical. eNDinomics was built to model exactly that.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scope has grown organically because the problem is genuinely complex. The asset model required to do this well is not a config file — it is a continuously improving model artifact. The simulation engine required to consume it is not a retirement calculator — it is a general-purpose stochastic market simulator. And the outputs of that simulator can serve multiple verticals beyond retirement planning.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Two Verticals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serves two distinct applications built on a shared infrastructure core. Both consume the same asset model and simulation engine but answer fundamentally different questions.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Vertical 1 — Retirement Guardian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Question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"Will the plan hold over 30 years — and is it being executed with discipline today?"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serves an individual retiree or near-retiree. Its mandate is defensive: preserve capital, minimize tax drag, execute withdrawals in the right sequence, and protect against behavioral errors and financial exploitation.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Monte Carlo projections: </w:t>
      </w:r>
      <w:r>
        <w:rPr>
          <w:rFonts w:ascii="Arial" w:cs="Arial" w:eastAsia="Arial" w:hAnsi="Arial"/>
          <w:sz w:val="22"/>
          <w:szCs w:val="22"/>
        </w:rPr>
        <w:t xml:space="preserve">30-year stochastic paths across thousands of market scenarios, not averages.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Sequence-of-returns modeling: </w:t>
      </w:r>
      <w:r>
        <w:rPr>
          <w:rFonts w:ascii="Arial" w:cs="Arial" w:eastAsia="Arial" w:hAnsi="Arial"/>
          <w:sz w:val="22"/>
          <w:szCs w:val="22"/>
        </w:rPr>
        <w:t xml:space="preserve">Specific bad conditions (crash, inflation spike) injected at specific years — the feature that motivated building this tool.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optimization: </w:t>
      </w:r>
      <w:r>
        <w:rPr>
          <w:rFonts w:ascii="Arial" w:cs="Arial" w:eastAsia="Arial" w:hAnsi="Arial"/>
          <w:sz w:val="22"/>
          <w:szCs w:val="22"/>
        </w:rPr>
        <w:t xml:space="preserve">Roth conversions, withdrawal sequencing (brokerage → Traditional IRA → Roth), LTCG harvesting.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RMD management: </w:t>
      </w:r>
      <w:r>
        <w:rPr>
          <w:rFonts w:ascii="Arial" w:cs="Arial" w:eastAsia="Arial" w:hAnsi="Arial"/>
          <w:sz w:val="22"/>
          <w:szCs w:val="22"/>
        </w:rPr>
        <w:t xml:space="preserve">SECURE 2.0 brackets, reinvestment of surplus RMDs, Roth conversion interaction.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Rebalancing discipline: </w:t>
      </w:r>
      <w:r>
        <w:rPr>
          <w:rFonts w:ascii="Arial" w:cs="Arial" w:eastAsia="Arial" w:hAnsi="Arial"/>
          <w:sz w:val="22"/>
          <w:szCs w:val="22"/>
        </w:rPr>
        <w:t xml:space="preserve">Drift-band rebalancing with policy suppression during bad markets, LTCG cap on brokerage rebalancing.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guardrails: </w:t>
      </w:r>
      <w:r>
        <w:rPr>
          <w:rFonts w:ascii="Arial" w:cs="Arial" w:eastAsia="Arial" w:hAnsi="Arial"/>
          <w:sz w:val="22"/>
          <w:szCs w:val="22"/>
        </w:rPr>
        <w:t xml:space="preserve">Show the Monte Carlo impact of reactive decisions ("move everything to cash") before acting.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Fraud / scheme detection: </w:t>
      </w:r>
      <w:r>
        <w:rPr>
          <w:rFonts w:ascii="Arial" w:cs="Arial" w:eastAsia="Arial" w:hAnsi="Arial"/>
          <w:sz w:val="22"/>
          <w:szCs w:val="22"/>
        </w:rPr>
        <w:t xml:space="preserve">Cross-reference any proposed investment against the asset model. No legitimate asset delivers guaranteed above-market returns at stated risk levels. Flag Ponzi-like return profiles explicitly.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has an asymmetric risk mandate: it cannot afford to be systematically wrong. A retiree at 75 cannot recover from a bad call. The confidence threshold for action is higher here than in the fund management vertical.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Retirement Guardian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years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Defensive, tax-aware, drawdown-sensitive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85%+ signal confidence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no recovery time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 bias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Fewer, broader, cheaper instruments preferred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risk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of returns + behavioral errors + exploitation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Vertical 2 — Fund Management Engine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Question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"What should I do TODAY, and WHEN — given intent, signal, and constraints?"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fund management engine serves a professional or sophisticated investor. Its mandate is active: generate alpha, time entries and exits using volume flow and regime signals, optimize execution for tax efficiency, and track outcomes to improve future decisions.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 parsing: </w:t>
      </w:r>
      <w:r>
        <w:rPr>
          <w:rFonts w:ascii="Arial" w:cs="Arial" w:eastAsia="Arial" w:hAnsi="Arial"/>
          <w:sz w:val="22"/>
          <w:szCs w:val="22"/>
        </w:rPr>
        <w:t xml:space="preserve">Natural language investment intent → structured goal. "I have $500k to deploy, want growth, worried about recession in 18 months, avoid China exposure" → actionable allocation parameters.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Entry/exit timing: </w:t>
      </w:r>
      <w:r>
        <w:rPr>
          <w:rFonts w:ascii="Arial" w:cs="Arial" w:eastAsia="Arial" w:hAnsi="Arial"/>
          <w:sz w:val="22"/>
          <w:szCs w:val="22"/>
        </w:rPr>
        <w:t xml:space="preserve">Wyckoff accumulation/distribution phase detection, Chaikin Money Flow, volume profile, regime-conditional signals — combined to produce entry timing scores per asset.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sizing: </w:t>
      </w:r>
      <w:r>
        <w:rPr>
          <w:rFonts w:ascii="Arial" w:cs="Arial" w:eastAsia="Arial" w:hAnsi="Arial"/>
          <w:sz w:val="22"/>
          <w:szCs w:val="22"/>
        </w:rPr>
        <w:t xml:space="preserve">Kelly criterion, risk parity, or user-specified. Sized against risk budget and conviction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timing: </w:t>
      </w:r>
      <w:r>
        <w:rPr>
          <w:rFonts w:ascii="Arial" w:cs="Arial" w:eastAsia="Arial" w:hAnsi="Arial"/>
          <w:sz w:val="22"/>
          <w:szCs w:val="22"/>
        </w:rPr>
        <w:t xml:space="preserve">Avoid earnings windows, FOMC proximity, low-liquidity periods. Scale-in vs immediate deployment based on signal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Tax-lot optimization: </w:t>
      </w:r>
      <w:r>
        <w:rPr>
          <w:rFonts w:ascii="Arial" w:cs="Arial" w:eastAsia="Arial" w:hAnsi="Arial"/>
          <w:sz w:val="22"/>
          <w:szCs w:val="22"/>
        </w:rPr>
        <w:t xml:space="preserve">LTCG vs short-term treatment, wash sale avoidance, lot selection for minimum tax impact on large taxable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 tracking: </w:t>
      </w:r>
      <w:r>
        <w:rPr>
          <w:rFonts w:ascii="Arial" w:cs="Arial" w:eastAsia="Arial" w:hAnsi="Arial"/>
          <w:sz w:val="22"/>
          <w:szCs w:val="22"/>
        </w:rPr>
        <w:t xml:space="preserve">Every decision recorded. Outcomes feed back into model training. The system learns from its own decisions over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 Management Engine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to years (intent-dependent)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Active, opportunistic, return-maximizing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60%+ signal confidence (expected value positive even with errors)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position sizing manages downside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 bias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Options, sector rotation, factor tilts all valid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risk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Overconfidence, crowded trades, timing errors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same Wyckoff accumulation signal that tells the fund manager to buy NOW tells the retirement guardian that rebalancing into equities this month is well-timed. Same signal, different consumer, different action, different risk threshold. This is why the shared platform base is architecturally correct.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Platform Core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core is the shared infrastructure that makes both verticals possible. It consists of five layers, each with clean boundaries and a single responsibility.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TRAINING PIPELINE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Live data + events + geopolitics + volume/price signals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asset_model_agent.py  (continuous training)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model_trainer.py      (calibrates signal weights from outcome history)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asset-model/vX.Y.Z/   (candidate model artifact)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  [human review + validation gate]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promote_model.py      (promote to src/config/assets.json)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PLATFORM CORE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asset-model/          Static model artifact (versioned)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signals/YYYY-MM-DD/   Dynamic signal archive (daily)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signal_combiner.py    Static + dynamic → combined signal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simulation_core.py    Stochastic path generator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VERTICALS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Vertical 1: simulator_new.py  (retirement guardian)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Vertical 2: fund_engine.py    (fund management) [future]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Asset Model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asset model is the foundation of the entire platform. It is not a config file — it is a continuously improving model artifact, analogous to trained model weights. Each version is immutable, versioned, and promoted explicitly after validation.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Model Artifact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asset-model/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v1.0.0/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assets.json       ← Layers 1-4 + simulation hints (readable)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features.msgpack  ← Layers 5-11 (binary, compact)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features.sha256   ← Per-section SHA-256 checksums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manifest.json     ← Who promoted, when, validation results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v1.1.0/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promotion_log.json  ← Full audit trail of all promotions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two-format storage is intentional. assets.json stays readable and git-diffable. features.msgpack is loaded on-demand, verified against its SHA-256 checksum before any data is accessed, and handles the full extended feature taxonomy efficiently.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Full Feature Taxonomy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Twelve layers of asset characteristics, organized by how they are used: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Layers 1-4: Simulation Inputs (assets.json)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Return Distribution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mu, sigma, skewness, kurtosis, autocorrelation, Hurst exponent, VaR, CVaR, max drawdown, recovery time, downside deviation, beta, alpha, Sharpe, Sortino, Calmar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Regime-Conditional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Per-regime mu, sigma, beta, correlation shift, drawdown, recovery time, flight-to-safety score — for: bull, bear, recession, recovery, stagflation, rate rising/falling, high/low inflation, liquidity crisis, geopolitical shock, VIX spike/crush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Cost 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ratio, tracking error, bid-ask spread (normal + stress), market impact by size, securities lending revenue, tax drag, turnover, creation/redemption spread, short interest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Distribution / Income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Yield, yield growth (1yr/5yr/10yr), qualified ratio, return of capital, payout frequency, consistency score, coverage ratio, special dividend history, ex-dividend price impact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Layers 5-11: Extended Features (features.msgpack)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Calendar Effects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return bias [12], day-of-week bias [5], quarter-end flows, January effect, tax-loss harvesting season, options expiry effect, index reconstitution, earnings season vol lift, pre-FOMC drift, treasury auction effect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— Earnings Sensitivity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reporting dates, surprise magnitude, pre-earnings vol expansion, post-earnings vol crush. Economic release sensitivity (CPI, PCE, NFP, FOMC, GDP, ISM, retail sales, PMI) with score + direction + lag. Cross-asset contagion (other assets' earnings that move this one)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— Cross-Asset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Lead-lag relationships, cointegration (pairs), Fama-French / Carhart / AQR factor exposures, sector rotation cycle sensitivity, geopolitical exposure (oil, dollar, China, EM)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— Liquidity / Market 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AUM, ADV, liquidity tier, market depth, institutional/retail ownership, short interest, dark pool fraction, options liquidity, ETF premium/discount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— Fund / Instrument Quality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provider, replication method, manager score, active share, information ratio, strategy capacity, style drift, inception date, structure, domicile, currency, leverage, ESG score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— Macro Sensitivity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Duration, convexity, inflation beta, real rate sensitivity, credit spread sensitivity, yield curve (flattening/inversion), GDP beta, dollar sensitivity, oil sensitivity, VIX sensitivity, credit cycle position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— Behavioral / Sentiment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 sentiment sensitivity, institutional herding, analyst coverage + accuracy, earnings whisper sensitivity, social media correlation, news sentiment sensitivity, options skew, gamma exposure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12: Simulation Hints (assets.json)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return model: </w:t>
      </w:r>
      <w:r>
        <w:rPr>
          <w:rFonts w:ascii="Arial" w:cs="Arial" w:eastAsia="Arial" w:hAnsi="Arial"/>
          <w:sz w:val="22"/>
          <w:szCs w:val="22"/>
        </w:rPr>
        <w:t xml:space="preserve">GBM / jump diffusion / regime switching / Heston — per asset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Jump parameters: </w:t>
      </w:r>
      <w:r>
        <w:rPr>
          <w:rFonts w:ascii="Arial" w:cs="Arial" w:eastAsia="Arial" w:hAnsi="Arial"/>
          <w:sz w:val="22"/>
          <w:szCs w:val="22"/>
        </w:rPr>
        <w:t xml:space="preserve">Intensity, mean, sigma — for Poisson jump diffusion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 reversion: </w:t>
      </w:r>
      <w:r>
        <w:rPr>
          <w:rFonts w:ascii="Arial" w:cs="Arial" w:eastAsia="Arial" w:hAnsi="Arial"/>
          <w:sz w:val="22"/>
          <w:szCs w:val="22"/>
        </w:rPr>
        <w:t xml:space="preserve">Speed and target for Ornstein-Uhlenbeck assets (commodities, rates)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Stochastic vol: </w:t>
      </w:r>
      <w:r>
        <w:rPr>
          <w:rFonts w:ascii="Arial" w:cs="Arial" w:eastAsia="Arial" w:hAnsi="Arial"/>
          <w:sz w:val="22"/>
          <w:szCs w:val="22"/>
        </w:rPr>
        <w:t xml:space="preserve">Heston parameters (kappa, theta, xi, rho) when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treatment: </w:t>
      </w:r>
      <w:r>
        <w:rPr>
          <w:rFonts w:ascii="Arial" w:cs="Arial" w:eastAsia="Arial" w:hAnsi="Arial"/>
          <w:sz w:val="22"/>
          <w:szCs w:val="22"/>
        </w:rPr>
        <w:t xml:space="preserve">LTCG eligible, ordinary income, collectibles rate (gold ETFs), wash sale risk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13: Volume Flow / Market Microstructure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Wyckoff/Chaikin framework — the 'smart money' signal layer: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Accumulation/Distribution Line: </w:t>
      </w:r>
      <w:r>
        <w:rPr>
          <w:rFonts w:ascii="Arial" w:cs="Arial" w:eastAsia="Arial" w:hAnsi="Arial"/>
          <w:sz w:val="22"/>
          <w:szCs w:val="22"/>
        </w:rPr>
        <w:t xml:space="preserve">Price + volume divergence from A/D line reveals smart money positioning disguised behind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Chaikin Money Flow (CMF): </w:t>
      </w:r>
      <w:r>
        <w:rPr>
          <w:rFonts w:ascii="Arial" w:cs="Arial" w:eastAsia="Arial" w:hAnsi="Arial"/>
          <w:sz w:val="22"/>
          <w:szCs w:val="22"/>
        </w:rPr>
        <w:t xml:space="preserve">21-day normalized money flow. Above +0.25 = strong accumulation. Below -0.25 = distribution. Per-asset predictive accuracy and signal lag calibrated from historical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Wyckoff phase detection: </w:t>
      </w:r>
      <w:r>
        <w:rPr>
          <w:rFonts w:ascii="Arial" w:cs="Arial" w:eastAsia="Arial" w:hAnsi="Arial"/>
          <w:sz w:val="22"/>
          <w:szCs w:val="22"/>
        </w:rPr>
        <w:t xml:space="preserve">Accumulation A/B/C/D, distribution A/B/C/D, markup, markdown. Spring detection (false breakdown = trap for sellers). UTAD detection (false breakout = trap for buyers).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profile: </w:t>
      </w:r>
      <w:r>
        <w:rPr>
          <w:rFonts w:ascii="Arial" w:cs="Arial" w:eastAsia="Arial" w:hAnsi="Arial"/>
          <w:sz w:val="22"/>
          <w:szCs w:val="22"/>
        </w:rPr>
        <w:t xml:space="preserve">Point of control (most traded price = strong support/resistance), value area, high/low volume nodes (price magnets and vacuums).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 vs result: </w:t>
      </w:r>
      <w:r>
        <w:rPr>
          <w:rFonts w:ascii="Arial" w:cs="Arial" w:eastAsia="Arial" w:hAnsi="Arial"/>
          <w:sz w:val="22"/>
          <w:szCs w:val="22"/>
        </w:rPr>
        <w:t xml:space="preserve">Wide spread + high volume + little price progress = supply being absorbed. Signals impending direction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 flow: </w:t>
      </w:r>
      <w:r>
        <w:rPr>
          <w:rFonts w:ascii="Arial" w:cs="Arial" w:eastAsia="Arial" w:hAnsi="Arial"/>
          <w:sz w:val="22"/>
          <w:szCs w:val="22"/>
        </w:rPr>
        <w:t xml:space="preserve">Put/call ratio, unusual options activity, gamma flip level (price where dealer hedging reverses direction).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Design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model stores the HISTORICAL PREDICTIVE ACCURACY of each volume flow signal for each specific asset — not just the current signal value. CMF has 67% predictive accuracy for VTI with a 3-day lag. This calibration is what makes the signal combiner intelligent rather than mechanical.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Model Versioning and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asset_discovery.py: </w:t>
      </w:r>
      <w:r>
        <w:rPr>
          <w:rFonts w:ascii="Arial" w:cs="Arial" w:eastAsia="Arial" w:hAnsi="Arial"/>
          <w:sz w:val="22"/>
          <w:szCs w:val="22"/>
        </w:rPr>
        <w:t xml:space="preserve">Scans all profiles → extracts {ticker: class} with no market data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asset_calibration.py: </w:t>
      </w:r>
      <w:r>
        <w:rPr>
          <w:rFonts w:ascii="Arial" w:cs="Arial" w:eastAsia="Arial" w:hAnsi="Arial"/>
          <w:sz w:val="22"/>
          <w:szCs w:val="22"/>
        </w:rPr>
        <w:t xml:space="preserve">Fetches market data, computes multi-window geometric blend (5yr×0.15 + 10yr×0.35 + 20yr×0.30 + prior×0.20), short-history class fallback, empirical correlation matrix, writes versioned model artifact.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promote_model.py: </w:t>
      </w:r>
      <w:r>
        <w:rPr>
          <w:rFonts w:ascii="Arial" w:cs="Arial" w:eastAsia="Arial" w:hAnsi="Arial"/>
          <w:sz w:val="22"/>
          <w:szCs w:val="22"/>
        </w:rPr>
        <w:t xml:space="preserve">Validates mu/sigma bounds per class, correlation matrix SPD check, required tickers check. Requires explicit human confirmation. Writes manifest.json and appends to promotion_log.json. Only then copies to src/config/assets.json.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Auto-refresh: </w:t>
      </w:r>
      <w:r>
        <w:rPr>
          <w:rFonts w:ascii="Arial" w:cs="Arial" w:eastAsia="Arial" w:hAnsi="Arial"/>
          <w:sz w:val="22"/>
          <w:szCs w:val="22"/>
        </w:rPr>
        <w:t xml:space="preserve">DISABLED. The asset model is never automatically overwritten. Every change goes through the promotion pipeline.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multi-window blend rationale: 5yr captures the current rate/regime environment. 10yr covers a full market cycle. 20yr provides long-run historical anchor. The prior (from economicglobal.json asset_class_priors, updated annually from Vanguard/BlackRock CMAs) prevents the blend from drifting into implausible territory during exceptional historical windows.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Dynamic Signal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static model captures long-run characteristics. Dynamic signals capture what is happening right now. Neither alone is sufficient — their combination produces the final input to simulation.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Market Data Agent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market_data_agent.py runs daily and writes to signals/YYYY-MM-DD/: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signals/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YYYY-MM-DD/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signals.msgpack      ← per-ticker dynamic signals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signals.sha256       ← SHA-256 corruption check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market_context.json  ← VIX, yield curve, macro releases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Per-ticker dynamic signals captured daily: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flow: </w:t>
      </w:r>
      <w:r>
        <w:rPr>
          <w:rFonts w:ascii="Arial" w:cs="Arial" w:eastAsia="Arial" w:hAnsi="Arial"/>
          <w:sz w:val="22"/>
          <w:szCs w:val="22"/>
        </w:rPr>
        <w:t xml:space="preserve">CMF current, OBV divergence, Wyckoff phase current, absorption score, effort vs result score, smart money divergence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 probabilities: </w:t>
      </w:r>
      <w:r>
        <w:rPr>
          <w:rFonts w:ascii="Arial" w:cs="Arial" w:eastAsia="Arial" w:hAnsi="Arial"/>
          <w:sz w:val="22"/>
          <w:szCs w:val="22"/>
        </w:rPr>
        <w:t xml:space="preserve">Bayesian posterior across all regimes based on current macro + price + flow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proximity: </w:t>
      </w:r>
      <w:r>
        <w:rPr>
          <w:rFonts w:ascii="Arial" w:cs="Arial" w:eastAsia="Arial" w:hAnsi="Arial"/>
          <w:sz w:val="22"/>
          <w:szCs w:val="22"/>
        </w:rPr>
        <w:t xml:space="preserve">Days to/from earnings — drives pre-earnings vol expansion, post-earnings crush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Economic release surprises: </w:t>
      </w:r>
      <w:r>
        <w:rPr>
          <w:rFonts w:ascii="Arial" w:cs="Arial" w:eastAsia="Arial" w:hAnsi="Arial"/>
          <w:sz w:val="22"/>
          <w:szCs w:val="22"/>
        </w:rPr>
        <w:t xml:space="preserve">CPI, NFP, FOMC, GDP actual vs consensus — magnitude and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Sentiment: </w:t>
      </w:r>
      <w:r>
        <w:rPr>
          <w:rFonts w:ascii="Arial" w:cs="Arial" w:eastAsia="Arial" w:hAnsi="Arial"/>
          <w:sz w:val="22"/>
          <w:szCs w:val="22"/>
        </w:rPr>
        <w:t xml:space="preserve">News sentiment NLP score, options skew, put/call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 context: </w:t>
      </w:r>
      <w:r>
        <w:rPr>
          <w:rFonts w:ascii="Arial" w:cs="Arial" w:eastAsia="Arial" w:hAnsi="Arial"/>
          <w:sz w:val="22"/>
          <w:szCs w:val="22"/>
        </w:rPr>
        <w:t xml:space="preserve">VIX level/ratio, yield curve slope/inversion, credit spreads, dollar index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Signal Combiner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signal_combiner.py is the integration point. It takes the static model and dynamic signals and produces a single combined_signal per ticker per simulation step. simulation_core.py receives only this combined signal — it has no knowledge of the static/dynamic split.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Combination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adjusts the baseline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adjustment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average of static per-regime mu/sigma using dynamic regime probability distribution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flow alpha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CMF score × static CMF predictive accuracy × scaling factor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surprise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Economic release surprise × static macro sensitivity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 vol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Pre-earnings: sigma × (1 + vol_expansion_pre_earnings). Post: sigma × (1 - vol_crush_post_earnings)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overlay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score × static news_sentiment_sensitivity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scaling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sigma × (current VIX / historical avg VIX) — scales realized vol with fear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combiner also produces a confidence score. When static model and dynamic signals disagree strongly — e.g. static says bull regime but CMF is deeply negative and regime probs are shifting — confidence is low and sigma is widened to reflect genuine uncertainty.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Simulation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real dynamic signals from today. For investment engine decisions.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BACKTEST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Replays signals archive from signals/YYYY-MM-DD/. Validates that combined signal would have worked historically.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(Monte Carlo)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 future signals available. Generates synthetic regime transitions (Markov chain) and synthetic flow signals consistent with static model. Used for retirement 30-year projections.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Synthetic Mode is Key for Retirement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Instead of GBM with fixed mu/sigma, synthetic mode simulates: regime transitions as a Markov chain (bull→bear→recession→recovery), volume flow signals as correlated noise around regime state, macro surprises as stochastic draws from historical distributions. Monte Carlo paths become richer — they include realistic crashes with volume confirmation, accumulation phases before recoveries, and stagflation periods. This is what makes 30-year projections genuinely realistic rather than just noisy straight lines.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Simulation Core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simulation_core.py is the pure math layer. It receives the combined signal and generates stochastic asset paths. It has no knowledge of taxes, RMDs, withdrawals, retirement accounts, or the static/dynamic signal split. It only knows: here are per-asset return parameters, generate N paths over Y years.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Capability Map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simulation_core.py uses a capability map to gracefully handle model versions with different features: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caps = model.capabilities()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{ 'regime_responses':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'calendar_effects':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'earnings_sensitivity': False,  ← not in this model version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'jump_diffusion': False }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simulation feature is gated on capability availability. If a feature is not in the model, simulation falls back gracefully to the flat baseline. This means simulation_core.py never breaks when the model gains new features, and old model versions remain usable.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Return Model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(current)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Geometric Brownian Motion with correlated log-normal returns. Multi-asset correlation matrix. Shock overlays per class.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Regime-switching: Markov chain on regime states. Per-regime mu/sigma parameters from asset model Layer 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diffusion: Poisson-distributed crash/rally events. Jump intensity and magnitude from asset model Layer 12.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Stochastic volatility: Heston model. Vol of vol, price-vol correlation from asset model Layer 12.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signal integration: synthetic dynamic signals generated per path per step from Markov regime chain.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Training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training pipeline is what makes eNDinomics a living system rather than a static calculator. It continuously improves the asset model using live data and — critically — the outcomes of its own past decisions.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Pipeline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market_data_agent.py: </w:t>
      </w:r>
      <w:r>
        <w:rPr>
          <w:rFonts w:ascii="Arial" w:cs="Arial" w:eastAsia="Arial" w:hAnsi="Arial"/>
          <w:sz w:val="22"/>
          <w:szCs w:val="22"/>
        </w:rPr>
        <w:t xml:space="preserve">Runs daily. Fetches prices, volume, dividends, earnings dates, economic releases, options flow, sentiment. Writes to signals/YYYY-MM-DD/ archive.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asset_model_agent.py: </w:t>
      </w:r>
      <w:r>
        <w:rPr>
          <w:rFonts w:ascii="Arial" w:cs="Arial" w:eastAsia="Arial" w:hAnsi="Arial"/>
          <w:sz w:val="22"/>
          <w:szCs w:val="22"/>
        </w:rPr>
        <w:t xml:space="preserve">Runs weekly or on trigger. Reads signals archive. Updates regime-conditional parameters, signal predictive accuracy calibration, correlation matrix. Writes candidate model to asset-model/vX.Y.Z/.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model_trainer.py: </w:t>
      </w:r>
      <w:r>
        <w:rPr>
          <w:rFonts w:ascii="Arial" w:cs="Arial" w:eastAsia="Arial" w:hAnsi="Arial"/>
          <w:sz w:val="22"/>
          <w:szCs w:val="22"/>
        </w:rPr>
        <w:t xml:space="preserve">Reads outcome history from execution_tracker.py. Learns which signal weights actually predicted returns. Updates combiner weights. Feeds improved parameters back into next model candidate.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execution_tracker.py: </w:t>
      </w:r>
      <w:r>
        <w:rPr>
          <w:rFonts w:ascii="Arial" w:cs="Arial" w:eastAsia="Arial" w:hAnsi="Arial"/>
          <w:sz w:val="22"/>
          <w:szCs w:val="22"/>
        </w:rPr>
        <w:t xml:space="preserve">Records every decision made by fund management engine. Stores: signal state at time of decision, action taken, outcome 30/90/180 days later. This closes the learning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promote_model.py: </w:t>
      </w:r>
      <w:r>
        <w:rPr>
          <w:rFonts w:ascii="Arial" w:cs="Arial" w:eastAsia="Arial" w:hAnsi="Arial"/>
          <w:sz w:val="22"/>
          <w:szCs w:val="22"/>
        </w:rPr>
        <w:t xml:space="preserve">Human-reviewed promotion gate. Validates bounds, SPD, required tickers. Logs all promotions. Only writes to src/config/assets.json after explicit confirmation.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The Learning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the System Improves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Fund engine makes an entry decision based on CMF + regime + intent signals. 2. execution_tracker.py records the full signal state at decision time. 3. 30/90/180 days later, outcome is recorded (was the entry well-timed?). 4. model_trainer.py uses outcome history to recalibrate signal weights in the static model. 5. Next model version has better-calibrated CMF predictive accuracy, regime response curves, and combiner weights. 6. Over time the system learns which signals work for which assets in which conditions.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Fraud and Scheme Detection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includes a fraud detection module. The asset model is uniquely positioned for this — it carries ground truth on what legitimate returns look like across all asset classes.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Model Cross-Reference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"Guaranteed 8% annual return"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legitimate instrument guarantees 8%. Treasury yields ~4.5%. Guarantee implies hidden risk or fraud.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"15% yield, low volatility, liquid"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Impossible triangle. No asset simultaneously offers high yield + safety + liquidity. At least one claim is false.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"Consistent positive returns every month"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Madoff signature. No legitimate strategy achieves this. Smoothed or fabricated returns.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"Exclusive opportunity, limited time"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engineering, not investment merit. Urgency manufactured to prevent due diligence.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uncorrelated with any known asset class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Either fraud, undisclosed leverage, or illiquid/marked-to-model. All are red flags.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Output per evaluation: risk score (0-1), specific flags with explanation, closest legitimate equivalent ("this resembles high-yield bonds which yield 3.2%, not 15%"), and recommendation.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Current Build Status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simulation_core.py — GBM + shocks + per-class tracking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bug fixed (asset weight = pf × cls × ticker)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assets.json v1.3.0 — 25-ticker model artifact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multi-window blend + CAPE adjustment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asset_calibration.py — multi-window blend + CAPE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CAPE=35.0 adjusts VTI, QQQ, NVDA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promote_model.py — validation + promotion gate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refresh_model.sh — full pipeline (fetch→calibrate→promote)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market_data/ — holdings, prices, sectors (Phase 1)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16/21 ETFs with look-through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portfolio_analysis.py — Layer 5 look-through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true stock exposure + sector breakdown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taxes_core.py — fed/state/NIIT/excise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roth_conversion_core.py — bracket-fill conversions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rmd_core.py — SECURE 2.0 schedule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birth-year-based start age (73 or 75)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rebalancing_core.py — drift-band + LTCG gains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simulator_new.py — Monte Carlo orchestrator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Simulation mode transformer — compute_mode_weights()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wired in simulator_new.py (session 20)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App.tsx — Run tab renamed to Simulation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session 20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Investment tab — Phase 1 placeholder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config stub + roadmap (session 20)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roth_optimizer.py — Roth conversion optimizer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bracket-fill, IRMAA/NIIT guards (session 20)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test_flags.py — G1–G21 test suite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378/378 Python + 16/16 Playwright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Grand Plan v1.5 — Section 10 updated</w:t>
            </w:r>
          </w:p>
        </w:tc>
        <w:tc>
          <w:tcPr>
            <w:tcW w:type="dxa" w:w="5760"/>
          </w:tcPr>
          <w:p>
            <w:r>
              <w:rPr>
                <w:b/>
                <w:color w:val="16732A"/>
                <w:sz w:val="18"/>
              </w:rPr>
              <w:t>✓ Complete — session 20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signal_computation.py — CMF/Wyckoff/regime</w:t>
            </w:r>
          </w:p>
        </w:tc>
        <w:tc>
          <w:tcPr>
            <w:tcW w:type="dxa" w:w="5760"/>
          </w:tcPr>
          <w:p>
            <w:r>
              <w:rPr>
                <w:color w:val="1A5CB8"/>
                <w:sz w:val="18"/>
              </w:rPr>
              <w:t>Phase 2 — reads market_data cache → market_signals.json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investment_engine.py — action generator</w:t>
            </w:r>
          </w:p>
        </w:tc>
        <w:tc>
          <w:tcPr>
            <w:tcW w:type="dxa" w:w="5760"/>
          </w:tcPr>
          <w:p>
            <w:r>
              <w:rPr>
                <w:color w:val="6B7280"/>
                <w:sz w:val="18"/>
              </w:rPr>
              <w:t>Phase 3 — signals + constraints → ordered action list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cost_basis.json — tax-lot tracking</w:t>
            </w:r>
          </w:p>
        </w:tc>
        <w:tc>
          <w:tcPr>
            <w:tcW w:type="dxa" w:w="5760"/>
          </w:tcPr>
          <w:p>
            <w:r>
              <w:rPr>
                <w:color w:val="6B7280"/>
                <w:sz w:val="18"/>
              </w:rPr>
              <w:t>Phase 3 — brokerage only; required for wash-sale + TLH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Outcome tracking / signal recalibration</w:t>
            </w:r>
          </w:p>
        </w:tc>
        <w:tc>
          <w:tcPr>
            <w:tcW w:type="dxa" w:w="5760"/>
          </w:tcPr>
          <w:p>
            <w:r>
              <w:rPr>
                <w:color w:val="6B7280"/>
                <w:sz w:val="18"/>
              </w:rPr>
              <w:t>Phase 4 — records decisions; recalibrates signal weights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Core Design Principles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Simulation core stays dumb. </w:t>
      </w:r>
      <w:r>
        <w:rPr>
          <w:rFonts w:ascii="Arial" w:cs="Arial" w:eastAsia="Arial" w:hAnsi="Arial"/>
          <w:sz w:val="22"/>
          <w:szCs w:val="22"/>
        </w:rPr>
        <w:t xml:space="preserve">simulation_core.py only does math. No taxes, no account types, no retirement concepts. All intelligence lives in the layers above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Asset model is a first-class artifact. </w:t>
      </w:r>
      <w:r>
        <w:rPr>
          <w:rFonts w:ascii="Arial" w:cs="Arial" w:eastAsia="Arial" w:hAnsi="Arial"/>
          <w:sz w:val="22"/>
          <w:szCs w:val="22"/>
        </w:rPr>
        <w:t xml:space="preserve">Not a config file. Versioned, validated, promoted explicitly. Never auto-overwritten. Improves through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Capability map over hard dependencies. </w:t>
      </w:r>
      <w:r>
        <w:rPr>
          <w:rFonts w:ascii="Arial" w:cs="Arial" w:eastAsia="Arial" w:hAnsi="Arial"/>
          <w:sz w:val="22"/>
          <w:szCs w:val="22"/>
        </w:rPr>
        <w:t xml:space="preserve">simulation_core.py declares which model features it understands. Missing features degrade gracefully. Old model versions remain usable.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Static and dynamic are separate, combined at one point. </w:t>
      </w:r>
      <w:r>
        <w:rPr>
          <w:rFonts w:ascii="Arial" w:cs="Arial" w:eastAsia="Arial" w:hAnsi="Arial"/>
          <w:sz w:val="22"/>
          <w:szCs w:val="22"/>
        </w:rPr>
        <w:t xml:space="preserve">signal_combiner.py is the single integration point. Everything downstream sees only the combined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Confidence is explicit. </w:t>
      </w:r>
      <w:r>
        <w:rPr>
          <w:rFonts w:ascii="Arial" w:cs="Arial" w:eastAsia="Arial" w:hAnsi="Arial"/>
          <w:sz w:val="22"/>
          <w:szCs w:val="22"/>
        </w:rPr>
        <w:t xml:space="preserve">Every combined signal carries a confidence score. The retirement guardian and fund engine consume it with different thresholds. Low confidence → widen sigma, don't 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The learning loop closes. </w:t>
      </w:r>
      <w:r>
        <w:rPr>
          <w:rFonts w:ascii="Arial" w:cs="Arial" w:eastAsia="Arial" w:hAnsi="Arial"/>
          <w:sz w:val="22"/>
          <w:szCs w:val="22"/>
        </w:rPr>
        <w:t xml:space="preserve">Decisions are recorded. Outcomes are measured. Signal weights are recalibrated. The system improves through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Two confidence thresholds. </w:t>
      </w:r>
      <w:r>
        <w:rPr>
          <w:rFonts w:ascii="Arial" w:cs="Arial" w:eastAsia="Arial" w:hAnsi="Arial"/>
          <w:sz w:val="22"/>
          <w:szCs w:val="22"/>
        </w:rPr>
        <w:t xml:space="preserve">Fund engine acts on 60%+ confidence. Retirement guardian acts on 85%+. The asymmetric downside of retirement requires asymmetric caution.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Modularity over integration. </w:t>
      </w:r>
      <w:r>
        <w:rPr>
          <w:rFonts w:ascii="Arial" w:cs="Arial" w:eastAsia="Arial" w:hAnsi="Arial"/>
          <w:sz w:val="22"/>
          <w:szCs w:val="22"/>
        </w:rPr>
        <w:t xml:space="preserve">Each file has one job. asset_discovery knows profiles. asset_calibration knows market data. promote_model knows validation. No cross-contamination.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Definitive File 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asset-model/ (repo root)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Versioned model artifacts. Each vX.Y.Z/ contains assets.json, features.msgpack, features.sha256, manifest.json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signals/ (repo root)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dynamic signal archive. signals/YYYY-MM-DD/signals.msgpack + sha256 + market_context.json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src/config/assets.json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production model (promoted copy of latest approved version)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src/config/economicglobal.json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market settings + asset_class_priors for calibration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src/asset_discovery.py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Ticker → class extraction from profiles. No market data dependencies.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src/asset_calibration.py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data fetch + multi-window blend + write versioned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src/promote_model.py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+ human-gated promotion to src/config/assets.json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src/assets_loader.py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assets.json into simulator-ready dict. Strips _provenance metadata.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src/simulation_core.py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stochastic math. Returns acct balances + per-class balances. No retirement concepts.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src/rebalancing_core.py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Drift-band rebalancing. Brokerage LTCG. Policy from economicglobal.json.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src/simulator_new.py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Retirement use-case orchestrator. Wires simulation → rebalancing → RMDs → taxes → withdrawals → Roth.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src/taxes_core.py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+ state + NIIT + excise taxes on all income types.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src/rmd_core.py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2.0 RMD computation. Surplus reinvestment.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src/roth_conversion_core.py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 conversion sequencing and tax impact.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src/withdrawals_core.py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Withdrawal sequencing per account type. Bad market scaling.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server. Routes, config endpoints, run endpoint.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src/ui/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frontend. Configure / Run / Results views.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eNDinomics — Grand Architecture Plan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>Version 1.5  |  March 2026  |  Living document — update as architecture evolves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08080"/>
        <w:sz w:val="18"/>
        <w:szCs w:val="18"/>
      </w:rPr>
      <w:t xml:space="preserve">March 2026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  <w:r>
      <w:rPr>
        <w:rFonts w:ascii="Arial" w:cs="Arial" w:eastAsia="Arial" w:hAnsi="Arial"/>
        <w:color w:val="8080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eNDinomics — Grand Architecture Plan</w:t>
    </w:r>
    <w:r>
      <w:rPr>
        <w:rFonts w:ascii="Arial" w:cs="Arial" w:eastAsia="Arial" w:hAnsi="Arial"/>
        <w:b/>
        <w:bCs/>
        <w:color w:val="80808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2026-03-08T04:07:28.781Z</dcterms:created>
  <dcterms:modified xsi:type="dcterms:W3CDTF">2026-03-08T04:07:28.781Z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