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56"/>
          <w:szCs w:val="56"/>
        </w:rPr>
        <w:t xml:space="preserve">eNDinomics</w:t>
      </w:r>
    </w:p>
    <w:p>
      <w:pPr>
        <w:spacing w:after="120"/>
        <w:jc w:val="center"/>
      </w:pPr>
      <w:r>
        <w:rPr>
          <w:rFonts w:ascii="Arial" w:cs="Arial" w:eastAsia="Arial" w:hAnsi="Arial"/>
          <w:color w:val="2E75B6"/>
          <w:sz w:val="28"/>
          <w:szCs w:val="28"/>
        </w:rPr>
        <w:t xml:space="preserve">Investment Platform — Grand Architecture Plan</w:t>
      </w:r>
    </w:p>
    <w:p>
      <w:pPr>
        <w:spacing w:after="2880"/>
        <w:jc w:val="center"/>
      </w:pPr>
      <w:r>
        <w:rPr>
          <w:rFonts w:ascii="Arial" w:cs="Arial" w:eastAsia="Arial" w:hAnsi="Arial"/>
          <w:i/>
          <w:iCs/>
          <w:color w:val="595959"/>
          <w:sz w:val="22"/>
          <w:szCs w:val="22"/>
        </w:rPr>
        <w:t xml:space="preserve">Version 1.6  |  March 2026  |  CONFIDENTIAL</w:t>
      </w:r>
    </w:p>
    <w:p>
      <w:pPr>
        <w:pStyle w:val="Heading1"/>
      </w:pPr>
      <w:r>
        <w:rPr>
          <w:rFonts w:ascii="Arial" w:cs="Arial" w:eastAsia="Arial" w:hAnsi="Arial"/>
          <w:b/>
          <w:bCs/>
          <w:color w:val="1F3864"/>
          <w:sz w:val="32"/>
          <w:szCs w:val="32"/>
        </w:rPr>
        <w:t xml:space="preserve">1. North Star Vision</w:t>
      </w:r>
    </w:p>
    <w:p>
      <w:pPr>
        <w:spacing w:after="120"/>
      </w:pPr>
      <w:r>
        <w:rPr>
          <w:rFonts w:ascii="Arial" w:cs="Arial" w:eastAsia="Arial" w:hAnsi="Arial"/>
          <w:sz w:val="22"/>
          <w:szCs w:val="22"/>
        </w:rPr>
        <w:t xml:space="preserve">eNDinomics is being built to answer a question that no existing tool answers well: given realistic, time-varying market conditions — not static averages — will a specific retirement plan survive, and what should be done about it today?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1F3864"/>
                <w:sz w:val="22"/>
                <w:szCs w:val="22"/>
              </w:rPr>
              <w:t xml:space="preserve">Origin</w:t>
            </w:r>
          </w:p>
          <w:p>
            <w:pPr>
              <w:spacing w:after="0"/>
            </w:pPr>
            <w:r>
              <w:rPr>
                <w:rFonts w:ascii="Arial" w:cs="Arial" w:eastAsia="Arial" w:hAnsi="Arial"/>
                <w:sz w:val="20"/>
                <w:szCs w:val="20"/>
              </w:rPr>
              <w:t xml:space="preserve">Every mainstream retirement tool assumes static market conditions: x% average return, fixed inflation, smooth distributions. None allows you to model sequence-of-returns risk with precision — the scenario where markets tank in year 2 vs year 15, with bad inflation at specific points, is categorically different in outcome even if the 30-year average return is identical. eNDinomics was built to model exactly that.</w:t>
            </w:r>
          </w:p>
        </w:tc>
      </w:tr>
    </w:tbl>
    <w:p>
      <w:r>
        <w:t xml:space="preserve"/>
      </w:r>
    </w:p>
    <w:p>
      <w:pPr>
        <w:spacing w:after="120"/>
      </w:pPr>
      <w:r>
        <w:rPr>
          <w:rFonts w:ascii="Arial" w:cs="Arial" w:eastAsia="Arial" w:hAnsi="Arial"/>
          <w:sz w:val="22"/>
          <w:szCs w:val="22"/>
        </w:rPr>
        <w:t xml:space="preserve">The scope has grown organically because the problem is genuinely complex. The asset model required to do this well is not a config file — it is a continuously improving model artifact. The simulation engine required to consume it is not a retirement calculator — it is a general-purpose stochastic market simulator. And the outputs of that simulator can serve multiple verticals beyond retirement planning.</w:t>
      </w:r>
    </w:p>
    <w:p>
      <w:pPr>
        <w:pStyle w:val="Heading1"/>
      </w:pPr>
      <w:r>
        <w:rPr>
          <w:rFonts w:ascii="Arial" w:cs="Arial" w:eastAsia="Arial" w:hAnsi="Arial"/>
          <w:b/>
          <w:bCs/>
          <w:color w:val="1F3864"/>
          <w:sz w:val="32"/>
          <w:szCs w:val="32"/>
        </w:rPr>
        <w:t xml:space="preserve">2. The Two Verticals</w:t>
      </w:r>
    </w:p>
    <w:p>
      <w:pPr>
        <w:spacing w:after="120"/>
      </w:pPr>
      <w:r>
        <w:rPr>
          <w:rFonts w:ascii="Arial" w:cs="Arial" w:eastAsia="Arial" w:hAnsi="Arial"/>
          <w:sz w:val="22"/>
          <w:szCs w:val="22"/>
        </w:rPr>
        <w:t xml:space="preserve">The platform serves two distinct applications built on a shared infrastructure core. Both consume the same asset model and simulation engine but answer fundamentally different questions.</w:t>
      </w:r>
    </w:p>
    <w:p>
      <w:pPr>
        <w:pStyle w:val="Heading2"/>
      </w:pPr>
      <w:r>
        <w:rPr>
          <w:rFonts w:ascii="Arial" w:cs="Arial" w:eastAsia="Arial" w:hAnsi="Arial"/>
          <w:b/>
          <w:bCs/>
          <w:color w:val="2E75B6"/>
          <w:sz w:val="26"/>
          <w:szCs w:val="26"/>
        </w:rPr>
        <w:t xml:space="preserve">2.1 Vertical 1 — Retirement Guardian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1F3864"/>
                <w:sz w:val="22"/>
                <w:szCs w:val="22"/>
              </w:rPr>
              <w:t xml:space="preserve">Primary Question</w:t>
            </w:r>
          </w:p>
          <w:p>
            <w:pPr>
              <w:spacing w:after="0"/>
            </w:pPr>
            <w:r>
              <w:rPr>
                <w:rFonts w:ascii="Arial" w:cs="Arial" w:eastAsia="Arial" w:hAnsi="Arial"/>
                <w:sz w:val="20"/>
                <w:szCs w:val="20"/>
              </w:rPr>
              <w:t xml:space="preserve">"Will the plan hold over 30 years — and is it being executed with discipline today?"</w:t>
            </w:r>
          </w:p>
        </w:tc>
      </w:tr>
    </w:tbl>
    <w:p>
      <w:r>
        <w:t xml:space="preserve"/>
      </w:r>
    </w:p>
    <w:p>
      <w:pPr>
        <w:spacing w:after="120"/>
      </w:pPr>
      <w:r>
        <w:rPr>
          <w:rFonts w:ascii="Arial" w:cs="Arial" w:eastAsia="Arial" w:hAnsi="Arial"/>
          <w:sz w:val="22"/>
          <w:szCs w:val="22"/>
        </w:rPr>
        <w:t xml:space="preserve">The retirement guardian serves an individual retiree or near-retiree. Its mandate is defensive: preserve capital, minimize tax drag, execute withdrawals in the right sequence, and protect against behavioral errors and financial exploitation.</w:t>
      </w:r>
    </w:p>
    <w:p>
      <w:r>
        <w:t xml:space="preserve"/>
      </w:r>
    </w:p>
    <w:p>
      <w:pPr>
        <w:pStyle w:val="ListParagraph"/>
        <w:numPr>
          <w:ilvl w:val="0"/>
          <w:numId w:val="2"/>
        </w:numPr>
        <w:spacing w:after="80"/>
      </w:pPr>
      <w:r>
        <w:rPr>
          <w:rFonts w:ascii="Arial" w:cs="Arial" w:eastAsia="Arial" w:hAnsi="Arial"/>
          <w:b w:val="false"/>
          <w:bCs w:val="false"/>
          <w:sz w:val="22"/>
          <w:szCs w:val="22"/>
        </w:rPr>
        <w:t xml:space="preserve">Monte Carlo projections: 30-year stochastic paths across thousands of market scenarios, not averages.</w:t>
      </w:r>
    </w:p>
    <w:p>
      <w:pPr>
        <w:pStyle w:val="ListParagraph"/>
        <w:numPr>
          <w:ilvl w:val="0"/>
          <w:numId w:val="2"/>
        </w:numPr>
        <w:spacing w:after="80"/>
      </w:pPr>
      <w:r>
        <w:rPr>
          <w:rFonts w:ascii="Arial" w:cs="Arial" w:eastAsia="Arial" w:hAnsi="Arial"/>
          <w:b w:val="false"/>
          <w:bCs w:val="false"/>
          <w:sz w:val="22"/>
          <w:szCs w:val="22"/>
        </w:rPr>
        <w:t xml:space="preserve">Sequence-of-returns modeling: Specific bad conditions (crash, inflation spike) injected at specific years.</w:t>
      </w:r>
    </w:p>
    <w:p>
      <w:pPr>
        <w:pStyle w:val="ListParagraph"/>
        <w:numPr>
          <w:ilvl w:val="0"/>
          <w:numId w:val="2"/>
        </w:numPr>
        <w:spacing w:after="80"/>
      </w:pPr>
      <w:r>
        <w:rPr>
          <w:rFonts w:ascii="Arial" w:cs="Arial" w:eastAsia="Arial" w:hAnsi="Arial"/>
          <w:b w:val="false"/>
          <w:bCs w:val="false"/>
          <w:sz w:val="22"/>
          <w:szCs w:val="22"/>
        </w:rPr>
        <w:t xml:space="preserve">Tax optimization: Roth conversions, withdrawal sequencing (brokerage → Traditional IRA → Roth), LTCG harvesting.</w:t>
      </w:r>
    </w:p>
    <w:p>
      <w:pPr>
        <w:pStyle w:val="ListParagraph"/>
        <w:numPr>
          <w:ilvl w:val="0"/>
          <w:numId w:val="2"/>
        </w:numPr>
        <w:spacing w:after="80"/>
      </w:pPr>
      <w:r>
        <w:rPr>
          <w:rFonts w:ascii="Arial" w:cs="Arial" w:eastAsia="Arial" w:hAnsi="Arial"/>
          <w:b w:val="false"/>
          <w:bCs w:val="false"/>
          <w:sz w:val="22"/>
          <w:szCs w:val="22"/>
        </w:rPr>
        <w:t xml:space="preserve">Multi-generational tax planning: Survivor/single-filer cliff, inherited IRA 10-year rule, BETR analysis. See Section 4a.</w:t>
      </w:r>
    </w:p>
    <w:p>
      <w:pPr>
        <w:pStyle w:val="ListParagraph"/>
        <w:numPr>
          <w:ilvl w:val="0"/>
          <w:numId w:val="2"/>
        </w:numPr>
        <w:spacing w:after="80"/>
      </w:pPr>
      <w:r>
        <w:rPr>
          <w:rFonts w:ascii="Arial" w:cs="Arial" w:eastAsia="Arial" w:hAnsi="Arial"/>
          <w:b w:val="false"/>
          <w:bCs w:val="false"/>
          <w:sz w:val="22"/>
          <w:szCs w:val="22"/>
        </w:rPr>
        <w:t xml:space="preserve">RMD management: SECURE 2.0 brackets, reinvestment of surplus RMDs, Roth conversion interaction.</w:t>
      </w:r>
    </w:p>
    <w:p>
      <w:pPr>
        <w:pStyle w:val="ListParagraph"/>
        <w:numPr>
          <w:ilvl w:val="0"/>
          <w:numId w:val="2"/>
        </w:numPr>
        <w:spacing w:after="80"/>
      </w:pPr>
      <w:r>
        <w:rPr>
          <w:rFonts w:ascii="Arial" w:cs="Arial" w:eastAsia="Arial" w:hAnsi="Arial"/>
          <w:b w:val="false"/>
          <w:bCs w:val="false"/>
          <w:sz w:val="22"/>
          <w:szCs w:val="22"/>
        </w:rPr>
        <w:t xml:space="preserve">Rebalancing discipline: Drift-band rebalancing with policy suppression during bad markets.</w:t>
      </w:r>
    </w:p>
    <w:p>
      <w:pPr>
        <w:pStyle w:val="ListParagraph"/>
        <w:numPr>
          <w:ilvl w:val="0"/>
          <w:numId w:val="2"/>
        </w:numPr>
        <w:spacing w:after="80"/>
      </w:pPr>
      <w:r>
        <w:rPr>
          <w:rFonts w:ascii="Arial" w:cs="Arial" w:eastAsia="Arial" w:hAnsi="Arial"/>
          <w:b w:val="false"/>
          <w:bCs w:val="false"/>
          <w:sz w:val="22"/>
          <w:szCs w:val="22"/>
        </w:rPr>
        <w:t xml:space="preserve">Behavioral guardrails: Show the Monte Carlo impact of reactive decisions before acting.</w:t>
      </w:r>
    </w:p>
    <w:p>
      <w:pPr>
        <w:pStyle w:val="ListParagraph"/>
        <w:numPr>
          <w:ilvl w:val="0"/>
          <w:numId w:val="2"/>
        </w:numPr>
        <w:spacing w:after="80"/>
      </w:pPr>
      <w:r>
        <w:rPr>
          <w:rFonts w:ascii="Arial" w:cs="Arial" w:eastAsia="Arial" w:hAnsi="Arial"/>
          <w:b w:val="false"/>
          <w:bCs w:val="false"/>
          <w:sz w:val="22"/>
          <w:szCs w:val="22"/>
        </w:rPr>
        <w:t xml:space="preserve">Fraud / scheme detection: Cross-reference any proposed investment against the asset model.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1F3864"/>
                <w:sz w:val="20"/>
                <w:szCs w:val="20"/>
              </w:rPr>
              <w:t xml:space="preserve">Characteristic</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1F3864"/>
                <w:sz w:val="20"/>
                <w:szCs w:val="20"/>
              </w:rPr>
              <w:t xml:space="preserve">Retirement Guardian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Horizon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30 years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Mindset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Defensive, tax-aware, drawdown-sensitive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Action threshold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85%+ signal confidence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Error tolerance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Very low — no recovery time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Complexity bias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Fewer, broader, cheaper instruments preferred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Key 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Sequence of returns + behavioral errors + exploitation</w:t>
            </w:r>
          </w:p>
        </w:tc>
      </w:tr>
    </w:tbl>
    <w:p>
      <w:r>
        <w:t xml:space="preserve"/>
      </w:r>
    </w:p>
    <w:p>
      <w:pPr>
        <w:pStyle w:val="Heading2"/>
      </w:pPr>
      <w:r>
        <w:rPr>
          <w:rFonts w:ascii="Arial" w:cs="Arial" w:eastAsia="Arial" w:hAnsi="Arial"/>
          <w:b/>
          <w:bCs/>
          <w:color w:val="2E75B6"/>
          <w:sz w:val="26"/>
          <w:szCs w:val="26"/>
        </w:rPr>
        <w:t xml:space="preserve">2.2 Vertical 2 — Fund Management Engine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1F3864"/>
                <w:sz w:val="22"/>
                <w:szCs w:val="22"/>
              </w:rPr>
              <w:t xml:space="preserve">Primary Question</w:t>
            </w:r>
          </w:p>
          <w:p>
            <w:pPr>
              <w:spacing w:after="0"/>
            </w:pPr>
            <w:r>
              <w:rPr>
                <w:rFonts w:ascii="Arial" w:cs="Arial" w:eastAsia="Arial" w:hAnsi="Arial"/>
                <w:sz w:val="20"/>
                <w:szCs w:val="20"/>
              </w:rPr>
              <w:t xml:space="preserve">"What should I do TODAY, and WHEN — given intent, signal, and constraints?"</w:t>
            </w:r>
          </w:p>
        </w:tc>
      </w:tr>
    </w:tbl>
    <w:p>
      <w:r>
        <w:t xml:space="preserve"/>
      </w:r>
    </w:p>
    <w:p>
      <w:pPr>
        <w:spacing w:after="120"/>
      </w:pPr>
      <w:r>
        <w:rPr>
          <w:rFonts w:ascii="Arial" w:cs="Arial" w:eastAsia="Arial" w:hAnsi="Arial"/>
          <w:sz w:val="22"/>
          <w:szCs w:val="22"/>
        </w:rPr>
        <w:t xml:space="preserve">The fund management engine serves a professional or sophisticated investor. Its mandate is active: generate alpha, time entries and exits using volume flow and regime signals, optimize execution for tax efficiency, and track outcomes to improve future decisions.</w:t>
      </w:r>
    </w:p>
    <w:p>
      <w:r>
        <w:t xml:space="preserve"/>
      </w:r>
    </w:p>
    <w:p>
      <w:pPr>
        <w:pStyle w:val="ListParagraph"/>
        <w:numPr>
          <w:ilvl w:val="0"/>
          <w:numId w:val="2"/>
        </w:numPr>
        <w:spacing w:after="80"/>
      </w:pPr>
      <w:r>
        <w:rPr>
          <w:rFonts w:ascii="Arial" w:cs="Arial" w:eastAsia="Arial" w:hAnsi="Arial"/>
          <w:b w:val="false"/>
          <w:bCs w:val="false"/>
          <w:sz w:val="22"/>
          <w:szCs w:val="22"/>
        </w:rPr>
        <w:t xml:space="preserve">Intent parsing: Natural language investment intent → structured goal.</w:t>
      </w:r>
    </w:p>
    <w:p>
      <w:pPr>
        <w:pStyle w:val="ListParagraph"/>
        <w:numPr>
          <w:ilvl w:val="0"/>
          <w:numId w:val="2"/>
        </w:numPr>
        <w:spacing w:after="80"/>
      </w:pPr>
      <w:r>
        <w:rPr>
          <w:rFonts w:ascii="Arial" w:cs="Arial" w:eastAsia="Arial" w:hAnsi="Arial"/>
          <w:b w:val="false"/>
          <w:bCs w:val="false"/>
          <w:sz w:val="22"/>
          <w:szCs w:val="22"/>
        </w:rPr>
        <w:t xml:space="preserve">Entry/exit timing: Wyckoff accumulation/distribution phase detection, Chaikin Money Flow, volume profile.</w:t>
      </w:r>
    </w:p>
    <w:p>
      <w:pPr>
        <w:pStyle w:val="ListParagraph"/>
        <w:numPr>
          <w:ilvl w:val="0"/>
          <w:numId w:val="2"/>
        </w:numPr>
        <w:spacing w:after="80"/>
      </w:pPr>
      <w:r>
        <w:rPr>
          <w:rFonts w:ascii="Arial" w:cs="Arial" w:eastAsia="Arial" w:hAnsi="Arial"/>
          <w:b w:val="false"/>
          <w:bCs w:val="false"/>
          <w:sz w:val="22"/>
          <w:szCs w:val="22"/>
        </w:rPr>
        <w:t xml:space="preserve">Position sizing: Kelly criterion, risk parity, or user-specified.</w:t>
      </w:r>
    </w:p>
    <w:p>
      <w:pPr>
        <w:pStyle w:val="ListParagraph"/>
        <w:numPr>
          <w:ilvl w:val="0"/>
          <w:numId w:val="2"/>
        </w:numPr>
        <w:spacing w:after="80"/>
      </w:pPr>
      <w:r>
        <w:rPr>
          <w:rFonts w:ascii="Arial" w:cs="Arial" w:eastAsia="Arial" w:hAnsi="Arial"/>
          <w:b w:val="false"/>
          <w:bCs w:val="false"/>
          <w:sz w:val="22"/>
          <w:szCs w:val="22"/>
        </w:rPr>
        <w:t xml:space="preserve">Tax-lot optimization: LTCG vs short-term treatment, wash sale avoidance.</w:t>
      </w:r>
    </w:p>
    <w:p>
      <w:pPr>
        <w:pStyle w:val="ListParagraph"/>
        <w:numPr>
          <w:ilvl w:val="0"/>
          <w:numId w:val="2"/>
        </w:numPr>
        <w:spacing w:after="80"/>
      </w:pPr>
      <w:r>
        <w:rPr>
          <w:rFonts w:ascii="Arial" w:cs="Arial" w:eastAsia="Arial" w:hAnsi="Arial"/>
          <w:b w:val="false"/>
          <w:bCs w:val="false"/>
          <w:sz w:val="22"/>
          <w:szCs w:val="22"/>
        </w:rPr>
        <w:t xml:space="preserve">Outcome tracking: Every decision recorded. Outcomes feed back into model training.</w:t>
      </w:r>
    </w:p>
    <w:p>
      <w:pPr>
        <w:pStyle w:val="Heading1"/>
      </w:pPr>
      <w:r>
        <w:rPr>
          <w:rFonts w:ascii="Arial" w:cs="Arial" w:eastAsia="Arial" w:hAnsi="Arial"/>
          <w:b/>
          <w:bCs/>
          <w:color w:val="1F3864"/>
          <w:sz w:val="32"/>
          <w:szCs w:val="32"/>
        </w:rPr>
        <w:t xml:space="preserve">4a. Multi-Generational Tax Planning</w:t>
      </w:r>
    </w:p>
    <w:p>
      <w:pPr>
        <w:spacing w:after="120"/>
      </w:pPr>
      <w:r>
        <w:rPr>
          <w:rFonts w:ascii="Arial" w:cs="Arial" w:eastAsia="Arial" w:hAnsi="Arial"/>
          <w:sz w:val="22"/>
          <w:szCs w:val="22"/>
        </w:rPr>
        <w:t xml:space="preserve">Tax optimization in eNDinomics is not limited to the account holder's lifetime. The platform models three distinct tax risk horizons that interact with each other. Each is addressable through Roth conversion strategy — but the optimal conversion rate differs significantly depending on which horizon dominates.</w:t>
      </w:r>
    </w:p>
    <w:p>
      <w:pPr>
        <w:pStyle w:val="Heading2"/>
      </w:pPr>
      <w:r>
        <w:rPr>
          <w:rFonts w:ascii="Arial" w:cs="Arial" w:eastAsia="Arial" w:hAnsi="Arial"/>
          <w:b/>
          <w:bCs/>
          <w:color w:val="2E75B6"/>
          <w:sz w:val="26"/>
          <w:szCs w:val="26"/>
        </w:rPr>
        <w:t xml:space="preserve">4a.1 The Three Tax Risk Horizons</w:t>
      </w:r>
    </w:p>
    <w:p>
      <w:pPr>
        <w:pStyle w:val="Heading3"/>
      </w:pPr>
      <w:r>
        <w:rPr>
          <w:rFonts w:ascii="Arial" w:cs="Arial" w:eastAsia="Arial" w:hAnsi="Arial"/>
          <w:b/>
          <w:bCs/>
          <w:color w:val="595959"/>
          <w:sz w:val="24"/>
          <w:szCs w:val="24"/>
        </w:rPr>
        <w:t xml:space="preserve">Horizon 1 — Lifetime RMD Timebomb</w:t>
      </w:r>
    </w:p>
    <w:p>
      <w:pPr>
        <w:spacing w:after="120"/>
      </w:pPr>
      <w:r>
        <w:rPr>
          <w:rFonts w:ascii="Arial" w:cs="Arial" w:eastAsia="Arial" w:hAnsi="Arial"/>
          <w:sz w:val="22"/>
          <w:szCs w:val="22"/>
        </w:rPr>
        <w:t xml:space="preserve">When a Traditional IRA is large relative to retirement income, Required Minimum Distributions at age 73/75 will force large amounts of ordinary income regardless of spending needs. The optimizer classifies severity: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39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1F3864"/>
                <w:sz w:val="20"/>
                <w:szCs w:val="20"/>
              </w:rPr>
              <w:t xml:space="preserve">Severity</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1F3864"/>
                <w:sz w:val="20"/>
                <w:szCs w:val="20"/>
              </w:rPr>
              <w:t xml:space="preserve">RMD Year 1 Est.</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1F3864"/>
                <w:sz w:val="20"/>
                <w:szCs w:val="20"/>
              </w:rPr>
              <w:t xml:space="preserve">Likely Bracket</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1F3864"/>
                <w:sz w:val="20"/>
                <w:szCs w:val="20"/>
              </w:rPr>
              <w:t xml:space="preserve">Primary Action</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MANAGEABLE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&lt; $100K/yr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22–24%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Bracket-fill conversions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MODERATE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$100K–$200K/yr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24–32%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Aggressive pre-retirement conversion</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SEVERE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$200K–$500K/yr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32–35%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Maximum conversion window</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CRITICAL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&gt; $500K/yr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37% lock-in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Convert at any rate below 37%</w:t>
            </w:r>
          </w:p>
        </w:tc>
      </w:tr>
    </w:tbl>
    <w:p>
      <w:r>
        <w:t xml:space="preserve"/>
      </w:r>
    </w:p>
    <w:p>
      <w:pPr>
        <w:spacing w:after="120"/>
      </w:pPr>
      <w:r>
        <w:rPr>
          <w:rFonts w:ascii="Arial" w:cs="Arial" w:eastAsia="Arial" w:hAnsi="Arial"/>
          <w:sz w:val="22"/>
          <w:szCs w:val="22"/>
        </w:rPr>
        <w:t xml:space="preserve">The severity classification uses the simulation's projected IRA balance at RMD age (Monte Carlo median path) — not a simple compound growth assumption. This is a key differentiator: the projected balance reflects actual allocation, withdrawal history, and CAPE-adjusted returns.</w:t>
      </w:r>
    </w:p>
    <w:p>
      <w:pPr>
        <w:pStyle w:val="Heading3"/>
      </w:pPr>
      <w:r>
        <w:rPr>
          <w:rFonts w:ascii="Arial" w:cs="Arial" w:eastAsia="Arial" w:hAnsi="Arial"/>
          <w:b/>
          <w:bCs/>
          <w:color w:val="595959"/>
          <w:sz w:val="24"/>
          <w:szCs w:val="24"/>
        </w:rPr>
        <w:t xml:space="preserve">Horizon 2 — Survivor / Single-Filer Cliff</w:t>
      </w:r>
    </w:p>
    <w:p>
      <w:pPr>
        <w:spacing w:after="120"/>
      </w:pPr>
      <w:r>
        <w:rPr>
          <w:rFonts w:ascii="Arial" w:cs="Arial" w:eastAsia="Arial" w:hAnsi="Arial"/>
          <w:sz w:val="22"/>
          <w:szCs w:val="22"/>
        </w:rPr>
        <w:t xml:space="preserve">When a spouse predeceases, the surviving spouse faces the same income but halved tax brackets. For a couple in the 24% bracket with a large IRA, the survivor can jump to 32–37% with no change in spending.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r>
              <w:rPr>
                <w:rFonts w:ascii="Arial" w:cs="Arial" w:eastAsia="Arial" w:hAnsi="Arial"/>
                <w:b/>
                <w:bCs/>
                <w:color w:val="7A5C00"/>
                <w:sz w:val="22"/>
                <w:szCs w:val="22"/>
              </w:rPr>
              <w:t xml:space="preserve">The Survivor Cliff — Example</w:t>
            </w:r>
          </w:p>
          <w:p>
            <w:pPr>
              <w:spacing w:after="0"/>
            </w:pPr>
            <w:r>
              <w:rPr>
                <w:rFonts w:ascii="Arial" w:cs="Arial" w:eastAsia="Arial" w:hAnsi="Arial"/>
                <w:sz w:val="20"/>
                <w:szCs w:val="20"/>
              </w:rPr>
              <w:t xml:space="preserve">MFJ 24% bracket top: $383,900. Single 24% bracket top: $191,950. Same RMD income of $300K/yr: comfortable 24% as MFJ, forced into 32% as single. For a $15M projected IRA, the survivor faces an estimated $180K–$250K in additional lifetime taxes vs converting aggressively while both spouses are alive.</w:t>
            </w:r>
          </w:p>
        </w:tc>
      </w:tr>
    </w:tbl>
    <w:p>
      <w:r>
        <w:t xml:space="preserve"/>
      </w:r>
    </w:p>
    <w:p>
      <w:pPr>
        <w:spacing w:after="120"/>
      </w:pPr>
      <w:r>
        <w:rPr>
          <w:rFonts w:ascii="Arial" w:cs="Arial" w:eastAsia="Arial" w:hAnsi="Arial"/>
          <w:sz w:val="22"/>
          <w:szCs w:val="22"/>
        </w:rPr>
        <w:t xml:space="preserve">The optimizer models a user-specified survivor age and recomputes the BETR using single-filer brackets from that year forward. The delta in lifetime tax savings between "both alive" and "survivor" scenarios quantifies the conversion urgency.</w:t>
      </w:r>
    </w:p>
    <w:p>
      <w:pPr>
        <w:pStyle w:val="Heading3"/>
      </w:pPr>
      <w:r>
        <w:rPr>
          <w:rFonts w:ascii="Arial" w:cs="Arial" w:eastAsia="Arial" w:hAnsi="Arial"/>
          <w:b/>
          <w:bCs/>
          <w:color w:val="595959"/>
          <w:sz w:val="24"/>
          <w:szCs w:val="24"/>
        </w:rPr>
        <w:t xml:space="preserve">Horizon 3 — Inherited IRA 10-Year Liquidation (SECURE Act 2.0)</w:t>
      </w:r>
    </w:p>
    <w:p>
      <w:pPr>
        <w:spacing w:after="120"/>
      </w:pPr>
      <w:r>
        <w:rPr>
          <w:rFonts w:ascii="Arial" w:cs="Arial" w:eastAsia="Arial" w:hAnsi="Arial"/>
          <w:sz w:val="22"/>
          <w:szCs w:val="22"/>
        </w:rPr>
        <w:t xml:space="preserve">Non-spouse beneficiaries (children, other heirs) must fully distribute an inherited IRA within 10 years of the account holder's death. There is no annual RMD schedule — the entire balance must be out by year 10. For a high-earning heir, this forces the inherited IRA balance onto their already-high income: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80"/>
              <w:bottom w:type="dxa" w:w="100"/>
              <w:right w:type="dxa" w:w="180"/>
            </w:tcMar>
          </w:tcPr>
          <w:p>
            <w:r>
              <w:rPr>
                <w:rFonts w:ascii="Arial" w:cs="Arial" w:eastAsia="Arial" w:hAnsi="Arial"/>
                <w:b/>
                <w:bCs/>
                <w:color w:val="7B1515"/>
                <w:sz w:val="22"/>
                <w:szCs w:val="22"/>
              </w:rPr>
              <w:t xml:space="preserve">Heir Scenario — Example</w:t>
            </w:r>
          </w:p>
          <w:p>
            <w:pPr>
              <w:spacing w:after="0"/>
            </w:pPr>
            <w:r>
              <w:rPr>
                <w:rFonts w:ascii="Arial" w:cs="Arial" w:eastAsia="Arial" w:hAnsi="Arial"/>
                <w:sz w:val="20"/>
                <w:szCs w:val="20"/>
              </w:rPr>
              <w:t xml:space="preserve">Projected IRA at death age 85: $20M. Heir income: $300K/yr (37% bracket). 10-year forced liquidation: $2M/yr added on top of $300K. Effective rate on inherited IRA: 37%+. vs. Converting at 22–24% now: estimated $2.5M–$4M in tax savings passed to heirs. The inherited IRA is not an inheritance — it is a tax bill delivered to your children.</w:t>
            </w:r>
          </w:p>
        </w:tc>
      </w:tr>
    </w:tbl>
    <w:p>
      <w:r>
        <w:t xml:space="preserve"/>
      </w:r>
    </w:p>
    <w:p>
      <w:pPr>
        <w:spacing w:after="120"/>
      </w:pPr>
      <w:r>
        <w:rPr>
          <w:rFonts w:ascii="Arial" w:cs="Arial" w:eastAsia="Arial" w:hAnsi="Arial"/>
          <w:sz w:val="22"/>
          <w:szCs w:val="22"/>
        </w:rPr>
        <w:t xml:space="preserve">The optimizer uses the heir's estimated income and filing status to compute their marginal rate on the forced 10-year liquidation. This becomes the "future rate" in the BETR calculation — replacing the account holder's own RMD rate when the heir scenario dominates.</w:t>
      </w:r>
    </w:p>
    <w:p>
      <w:pPr>
        <w:pStyle w:val="Heading2"/>
      </w:pPr>
      <w:r>
        <w:rPr>
          <w:rFonts w:ascii="Arial" w:cs="Arial" w:eastAsia="Arial" w:hAnsi="Arial"/>
          <w:b/>
          <w:bCs/>
          <w:color w:val="2E75B6"/>
          <w:sz w:val="26"/>
          <w:szCs w:val="26"/>
        </w:rPr>
        <w:t xml:space="preserve">4a.2 Break-Even Tax Rate (BETR) — 2-Pass Model</w:t>
      </w:r>
    </w:p>
    <w:p>
      <w:pPr>
        <w:spacing w:after="120"/>
      </w:pPr>
      <w:r>
        <w:rPr>
          <w:rFonts w:ascii="Arial" w:cs="Arial" w:eastAsia="Arial" w:hAnsi="Arial"/>
          <w:sz w:val="22"/>
          <w:szCs w:val="22"/>
        </w:rPr>
        <w:t xml:space="preserve">The BETR answers: at what future rate would converting today break even? Converting makes sense when today's marginal rate is below BETR.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1F3864"/>
                <w:sz w:val="22"/>
                <w:szCs w:val="22"/>
              </w:rPr>
              <w:t xml:space="preserve">BETR Formula</w:t>
            </w:r>
          </w:p>
          <w:p>
            <w:pPr>
              <w:spacing w:after="0"/>
            </w:pPr>
            <w:r>
              <w:rPr>
                <w:rFonts w:ascii="Arial" w:cs="Arial" w:eastAsia="Arial" w:hAnsi="Arial"/>
                <w:sz w:val="20"/>
                <w:szCs w:val="20"/>
              </w:rPr>
              <w:t xml:space="preserve">BETR = future_rate × (1 + after_tax_return)^n
Where: future_rate = projected marginal rate when money comes out (RMD rate, survivor rate, or heir rate — whichever is highest). after_tax_return = expected return on the tax payment if invested instead. n = years until distribution.
Convert now if: current_marginal_rate &lt; BETR</w:t>
            </w:r>
          </w:p>
        </w:tc>
      </w:tr>
    </w:tbl>
    <w:p>
      <w:r>
        <w:t xml:space="preserve"/>
      </w:r>
    </w:p>
    <w:p>
      <w:pPr>
        <w:spacing w:after="120"/>
      </w:pPr>
      <w:r>
        <w:rPr>
          <w:rFonts w:ascii="Arial" w:cs="Arial" w:eastAsia="Arial" w:hAnsi="Arial"/>
          <w:sz w:val="22"/>
          <w:szCs w:val="22"/>
        </w:rPr>
        <w:t xml:space="preserve">Pass 1 — Current rate: What is the marginal rate on the next dollar converted this year? Accounts for IRMAA cliff at age 63 (2-year Medicare lookback), NIIT threshold, and SS taxation threshold.</w:t>
      </w:r>
    </w:p>
    <w:p>
      <w:r>
        <w:t xml:space="preserve"/>
      </w:r>
    </w:p>
    <w:p>
      <w:pPr>
        <w:spacing w:after="120"/>
      </w:pPr>
      <w:r>
        <w:rPr>
          <w:rFonts w:ascii="Arial" w:cs="Arial" w:eastAsia="Arial" w:hAnsi="Arial"/>
          <w:sz w:val="22"/>
          <w:szCs w:val="22"/>
        </w:rPr>
        <w:t xml:space="preserve">Pass 2 — Future rate: What rate will apply when this money comes out? Uses the simulation's projected IRA balance at RMD age for the account holder scenario, single-filer brackets for the survivor scenario, and heir income + 10-year forced liquidation for the heir scenario.</w:t>
      </w:r>
    </w:p>
    <w:p>
      <w:pPr>
        <w:pStyle w:val="Heading2"/>
      </w:pPr>
      <w:r>
        <w:rPr>
          <w:rFonts w:ascii="Arial" w:cs="Arial" w:eastAsia="Arial" w:hAnsi="Arial"/>
          <w:b/>
          <w:bCs/>
          <w:color w:val="2E75B6"/>
          <w:sz w:val="26"/>
          <w:szCs w:val="26"/>
        </w:rPr>
        <w:t xml:space="preserve">4a.3 IRMAA — Age 63 Guard, Not 65</w:t>
      </w:r>
    </w:p>
    <w:p>
      <w:pPr>
        <w:spacing w:after="120"/>
      </w:pPr>
      <w:r>
        <w:rPr>
          <w:rFonts w:ascii="Arial" w:cs="Arial" w:eastAsia="Arial" w:hAnsi="Arial"/>
          <w:sz w:val="22"/>
          <w:szCs w:val="22"/>
        </w:rPr>
        <w:t xml:space="preserve">IRMAA (Income-Related Monthly Adjustment Amount) applies a Medicare premium surcharge based on MAGI from 2 years prior. A large Roth conversion in 2026 at age 63 increases MAGI in 2026, which determines Medicare Part B/D premiums in 2028 (age 65). The guard is correctly placed at age 63.</w:t>
      </w:r>
    </w:p>
    <w:p>
      <w:r>
        <w:t xml:space="preserve"/>
      </w:r>
    </w:p>
    <w:p>
      <w:pPr>
        <w:spacing w:after="120"/>
      </w:pPr>
      <w:r>
        <w:rPr>
          <w:rFonts w:ascii="Arial" w:cs="Arial" w:eastAsia="Arial" w:hAnsi="Arial"/>
          <w:sz w:val="22"/>
          <w:szCs w:val="22"/>
        </w:rPr>
        <w:t xml:space="preserve">For large IRA balances, IRMAA ($4K–$14K/yr depending on tier) is typically a secondary concern — the bracket savings from converting dwarf the premium increase. The optimizer flags IRMAA impact per strategy but does not block conversions based on it. The user's irmaa_sensitivity setting controls whether IRMAA tips the recommendation.</w:t>
      </w:r>
    </w:p>
    <w:p>
      <w:pPr>
        <w:pStyle w:val="Heading2"/>
      </w:pPr>
      <w:r>
        <w:rPr>
          <w:rFonts w:ascii="Arial" w:cs="Arial" w:eastAsia="Arial" w:hAnsi="Arial"/>
          <w:b/>
          <w:bCs/>
          <w:color w:val="2E75B6"/>
          <w:sz w:val="26"/>
          <w:szCs w:val="26"/>
        </w:rPr>
        <w:t xml:space="preserve">4a.4 New person.json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1F3864"/>
                <w:sz w:val="20"/>
                <w:szCs w:val="20"/>
              </w:rPr>
              <w:t xml:space="preserve">Field</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1F3864"/>
                <w:sz w:val="20"/>
                <w:szCs w:val="20"/>
              </w:rPr>
              <w:t xml:space="preserve">Purpose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spouse.age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Spouse current age — used for survivor scenario modeling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spouse.expected_longevity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Age at which survivor scenario activates in BETR projection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inheritors[].relationship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child | grandchild | other — affects 10-year rule applicability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inheritors[].estimated_income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Heir's annual income — sets their marginal rate for BETR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inheritors[].filing_status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MFJ | Single — heir's filing status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inheritors[].age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Heir's current age — sets their bracket trajectory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roth_optimizer_config.include_survivor_scenario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true/false — model single-filer cliff</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roth_optimizer_config.include_heir_scenario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true/false — model 10-year liquidation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roth_optimizer_config.irmaa_sensitivity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low | medium | high — how much IRMAA tips recommendation</w:t>
            </w:r>
          </w:p>
        </w:tc>
      </w:tr>
    </w:tbl>
    <w:p>
      <w:pPr>
        <w:pStyle w:val="Heading2"/>
      </w:pPr>
      <w:r>
        <w:rPr>
          <w:rFonts w:ascii="Arial" w:cs="Arial" w:eastAsia="Arial" w:hAnsi="Arial"/>
          <w:b/>
          <w:bCs/>
          <w:color w:val="2E75B6"/>
          <w:sz w:val="26"/>
          <w:szCs w:val="26"/>
        </w:rPr>
        <w:t xml:space="preserve">4a.5 Optimizer Output — 4 Strategies × 4 Scenarios</w:t>
      </w:r>
    </w:p>
    <w:p>
      <w:pPr>
        <w:spacing w:after="120"/>
      </w:pPr>
      <w:r>
        <w:rPr>
          <w:rFonts w:ascii="Arial" w:cs="Arial" w:eastAsia="Arial" w:hAnsi="Arial"/>
          <w:sz w:val="22"/>
          <w:szCs w:val="22"/>
        </w:rPr>
        <w:t xml:space="preserve">Rather than a single "optimal" conversion amount, the optimizer surfaces four named strategies with full BETR analysis for each, across four scenarios: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1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1F3864"/>
                <w:sz w:val="20"/>
                <w:szCs w:val="20"/>
              </w:rPr>
              <w:t xml:space="preserve">Strategy</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1F3864"/>
                <w:sz w:val="20"/>
                <w:szCs w:val="20"/>
              </w:rPr>
              <w:t xml:space="preserve">Annual Convert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1F3864"/>
                <w:sz w:val="20"/>
                <w:szCs w:val="20"/>
              </w:rPr>
              <w:t xml:space="preserve">Rationale</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1F3864"/>
                <w:sz w:val="20"/>
                <w:szCs w:val="20"/>
              </w:rPr>
              <w:t xml:space="preserve">Who It Fits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Conservative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Fill to top of 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IRMAA-safe, minimal bracket leakage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Near Medicare, IRMAA-sensitive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Balanced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Fill to top of 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Standard bracket arbitrage, respect IRMAA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Moderate IRA, mixed concerns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Aggressive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Fill to top of 32–35%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IRMAA acceptable cost, large IRA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Large IRA timebomb</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Maximum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Fill to top of 37%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Convert at any rate below locked-in future rate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CRITICAL timebomb, high heir exposure</w:t>
            </w:r>
          </w:p>
        </w:tc>
      </w:tr>
    </w:tbl>
    <w:p>
      <w:r>
        <w:t xml:space="preserve"/>
      </w:r>
    </w:p>
    <w:p>
      <w:pPr>
        <w:spacing w:after="120"/>
      </w:pPr>
      <w:r>
        <w:rPr>
          <w:rFonts w:ascii="Arial" w:cs="Arial" w:eastAsia="Arial" w:hAnsi="Arial"/>
          <w:sz w:val="22"/>
          <w:szCs w:val="22"/>
        </w:rPr>
        <w:t xml:space="preserve">Each strategy is evaluated across: Self (MFJ), Self (Survivor/Single), Heir (moderate earner), Heir (high earner). The matrix shows annual conversion, tax cost, BETR, and estimated lifetime savings per cell. The highest-impact cell is highlighted as the primary recommendation.</w:t>
      </w:r>
    </w:p>
    <w:p>
      <w:pPr>
        <w:pStyle w:val="Heading1"/>
      </w:pPr>
      <w:r>
        <w:rPr>
          <w:rFonts w:ascii="Arial" w:cs="Arial" w:eastAsia="Arial" w:hAnsi="Arial"/>
          <w:b/>
          <w:bCs/>
          <w:color w:val="1F3864"/>
          <w:sz w:val="32"/>
          <w:szCs w:val="32"/>
        </w:rPr>
        <w:t xml:space="preserve">10. Current Build Status</w:t>
      </w:r>
    </w:p>
    <w:p>
      <w:pPr>
        <w:spacing w:after="120"/>
      </w:pPr>
      <w:r>
        <w:rPr>
          <w:rFonts w:ascii="Arial" w:cs="Arial" w:eastAsia="Arial" w:hAnsi="Arial"/>
          <w:sz w:val="22"/>
          <w:szCs w:val="22"/>
        </w:rPr>
        <w:t xml:space="preserve">Tests as of Session 21: 424/424 Python (21 groups) + 16/16 Playwright. All green.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Component</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Status</w:t>
            </w:r>
          </w:p>
        </w:tc>
      </w:tr>
      <w:tr>
        <w:trPr>
          <w:tblHeader w:val="false"/>
        </w:trPr>
        <w:tc>
          <w:tcPr>
            <w:tcW w:type="dxa" w:w="36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simulation_core.py — GBM + shocks + per-class tracking</w:t>
            </w:r>
          </w:p>
        </w:tc>
        <w:tc>
          <w:tcPr>
            <w:tcW w:type="dxa" w:w="57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Complete — bug fixed (asset weight = pf × cls × ticker)</w:t>
            </w:r>
          </w:p>
        </w:tc>
      </w:tr>
      <w:tr>
        <w:trPr>
          <w:tblHeader w:val="false"/>
        </w:trPr>
        <w:tc>
          <w:tcPr>
            <w:tcW w:type="dxa" w:w="36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assets.json v1.3.0 — 25-ticker model artifact</w:t>
            </w:r>
          </w:p>
        </w:tc>
        <w:tc>
          <w:tcPr>
            <w:tcW w:type="dxa" w:w="57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Complete — multi-window blend + CAPE adjustment</w:t>
            </w:r>
          </w:p>
        </w:tc>
      </w:tr>
      <w:tr>
        <w:trPr>
          <w:tblHeader w:val="false"/>
        </w:trPr>
        <w:tc>
          <w:tcPr>
            <w:tcW w:type="dxa" w:w="36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asset_calibration.py — multi-window blend + CAPE</w:t>
            </w:r>
          </w:p>
        </w:tc>
        <w:tc>
          <w:tcPr>
            <w:tcW w:type="dxa" w:w="57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Complete — CAPE=35.0 adjusts VTI, QQQ, NVDA</w:t>
            </w:r>
          </w:p>
        </w:tc>
      </w:tr>
      <w:tr>
        <w:trPr>
          <w:tblHeader w:val="false"/>
        </w:trPr>
        <w:tc>
          <w:tcPr>
            <w:tcW w:type="dxa" w:w="36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promote_model.py — validation + promotion gate</w:t>
            </w:r>
          </w:p>
        </w:tc>
        <w:tc>
          <w:tcPr>
            <w:tcW w:type="dxa" w:w="57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Complete</w:t>
            </w:r>
          </w:p>
        </w:tc>
      </w:tr>
      <w:tr>
        <w:trPr>
          <w:tblHeader w:val="false"/>
        </w:trPr>
        <w:tc>
          <w:tcPr>
            <w:tcW w:type="dxa" w:w="36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refresh_model.sh — full pipeline (fetch→calibrate→promote)</w:t>
            </w:r>
          </w:p>
        </w:tc>
        <w:tc>
          <w:tcPr>
            <w:tcW w:type="dxa" w:w="57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Complete</w:t>
            </w:r>
          </w:p>
        </w:tc>
      </w:tr>
      <w:tr>
        <w:trPr>
          <w:tblHeader w:val="false"/>
        </w:trPr>
        <w:tc>
          <w:tcPr>
            <w:tcW w:type="dxa" w:w="36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market_data/ — holdings, prices, sectors (Phase 1)</w:t>
            </w:r>
          </w:p>
        </w:tc>
        <w:tc>
          <w:tcPr>
            <w:tcW w:type="dxa" w:w="57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Complete — 16/21 ETFs with look-through</w:t>
            </w:r>
          </w:p>
        </w:tc>
      </w:tr>
      <w:tr>
        <w:trPr>
          <w:tblHeader w:val="false"/>
        </w:trPr>
        <w:tc>
          <w:tcPr>
            <w:tcW w:type="dxa" w:w="36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portfolio_analysis.py — Layer 5 look-through</w:t>
            </w:r>
          </w:p>
        </w:tc>
        <w:tc>
          <w:tcPr>
            <w:tcW w:type="dxa" w:w="57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Complete — true stock exposure + sector breakdown</w:t>
            </w:r>
          </w:p>
        </w:tc>
      </w:tr>
      <w:tr>
        <w:trPr>
          <w:tblHeader w:val="false"/>
        </w:trPr>
        <w:tc>
          <w:tcPr>
            <w:tcW w:type="dxa" w:w="36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taxes_core.py — fed/state/NIIT/excise</w:t>
            </w:r>
          </w:p>
        </w:tc>
        <w:tc>
          <w:tcPr>
            <w:tcW w:type="dxa" w:w="57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Complete</w:t>
            </w:r>
          </w:p>
        </w:tc>
      </w:tr>
      <w:tr>
        <w:trPr>
          <w:tblHeader w:val="false"/>
        </w:trPr>
        <w:tc>
          <w:tcPr>
            <w:tcW w:type="dxa" w:w="36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roth_conversion_core.py — bracket-fill conversions</w:t>
            </w:r>
          </w:p>
        </w:tc>
        <w:tc>
          <w:tcPr>
            <w:tcW w:type="dxa" w:w="57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Complete</w:t>
            </w:r>
          </w:p>
        </w:tc>
      </w:tr>
      <w:tr>
        <w:trPr>
          <w:tblHeader w:val="false"/>
        </w:trPr>
        <w:tc>
          <w:tcPr>
            <w:tcW w:type="dxa" w:w="36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rmd_core.py — SECURE 2.0 schedule</w:t>
            </w:r>
          </w:p>
        </w:tc>
        <w:tc>
          <w:tcPr>
            <w:tcW w:type="dxa" w:w="57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Complete — birth-year-based start age (73 or 75)</w:t>
            </w:r>
          </w:p>
        </w:tc>
      </w:tr>
      <w:tr>
        <w:trPr>
          <w:tblHeader w:val="false"/>
        </w:trPr>
        <w:tc>
          <w:tcPr>
            <w:tcW w:type="dxa" w:w="36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rebalancing_core.py — drift-band + LTCG gains</w:t>
            </w:r>
          </w:p>
        </w:tc>
        <w:tc>
          <w:tcPr>
            <w:tcW w:type="dxa" w:w="57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Complete</w:t>
            </w:r>
          </w:p>
        </w:tc>
      </w:tr>
      <w:tr>
        <w:trPr>
          <w:tblHeader w:val="false"/>
        </w:trPr>
        <w:tc>
          <w:tcPr>
            <w:tcW w:type="dxa" w:w="36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simulator_new.py — Monte Carlo orchestrator</w:t>
            </w:r>
          </w:p>
        </w:tc>
        <w:tc>
          <w:tcPr>
            <w:tcW w:type="dxa" w:w="57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Complete</w:t>
            </w:r>
          </w:p>
        </w:tc>
      </w:tr>
      <w:tr>
        <w:trPr>
          <w:tblHeader w:val="false"/>
        </w:trPr>
        <w:tc>
          <w:tcPr>
            <w:tcW w:type="dxa" w:w="36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compute_mode_weights() — simulation mode transformer</w:t>
            </w:r>
          </w:p>
        </w:tc>
        <w:tc>
          <w:tcPr>
            <w:tcW w:type="dxa" w:w="57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Complete — retirement/investment/balanced/automatic (S20)</w:t>
            </w:r>
          </w:p>
        </w:tc>
      </w:tr>
      <w:tr>
        <w:trPr>
          <w:tblHeader w:val="false"/>
        </w:trPr>
        <w:tc>
          <w:tcPr>
            <w:tcW w:type="dxa" w:w="36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App.tsx — 4 tabs: Configure/Simulation/Investment/Results</w:t>
            </w:r>
          </w:p>
        </w:tc>
        <w:tc>
          <w:tcPr>
            <w:tcW w:type="dxa" w:w="57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Complete — Investment tab Phase 1 placeholder (S20)</w:t>
            </w:r>
          </w:p>
        </w:tc>
      </w:tr>
      <w:tr>
        <w:trPr>
          <w:tblHeader w:val="false"/>
        </w:trPr>
        <w:tc>
          <w:tcPr>
            <w:tcW w:type="dxa" w:w="36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roth_optimizer.py — bracket-fill + IRMAA/NIIT guards</w:t>
            </w:r>
          </w:p>
        </w:tc>
        <w:tc>
          <w:tcPr>
            <w:tcW w:type="dxa" w:w="57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Complete — Phase 1 only; BETR upgrade in S22</w:t>
            </w:r>
          </w:p>
        </w:tc>
      </w:tr>
      <w:tr>
        <w:trPr>
          <w:tblHeader w:val="false"/>
        </w:trPr>
        <w:tc>
          <w:tcPr>
            <w:tcW w:type="dxa" w:w="36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CAPE Scenario Bands chart — Portfolio Projection</w:t>
            </w:r>
          </w:p>
        </w:tc>
        <w:tc>
          <w:tcPr>
            <w:tcW w:type="dxa" w:w="57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Complete — 4 scenario lines + MC fan, placed after Summary (S21)</w:t>
            </w:r>
          </w:p>
        </w:tc>
      </w:tr>
      <w:tr>
        <w:trPr>
          <w:tblHeader w:val="false"/>
        </w:trPr>
        <w:tc>
          <w:tcPr>
            <w:tcW w:type="dxa" w:w="36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Drawdown Over Time chart — mode-aware</w:t>
            </w:r>
          </w:p>
        </w:tc>
        <w:tc>
          <w:tcPr>
            <w:tcW w:type="dxa" w:w="57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Complete — sequence risk zone in retirement mode (S21)</w:t>
            </w:r>
          </w:p>
        </w:tc>
      </w:tr>
      <w:tr>
        <w:trPr>
          <w:tblHeader w:val="false"/>
        </w:trPr>
        <w:tc>
          <w:tcPr>
            <w:tcW w:type="dxa" w:w="36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Summary table — simulation mode behavioral wiring</w:t>
            </w:r>
          </w:p>
        </w:tc>
        <w:tc>
          <w:tcPr>
            <w:tcW w:type="dxa" w:w="57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Complete — floor vs full-plan success rate by mode (S21)</w:t>
            </w:r>
          </w:p>
        </w:tc>
      </w:tr>
      <w:tr>
        <w:trPr>
          <w:tblHeader w:val="false"/>
        </w:trPr>
        <w:tc>
          <w:tcPr>
            <w:tcW w:type="dxa" w:w="36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P10/P90/P50 renamed throughout UI</w:t>
            </w:r>
          </w:p>
        </w:tc>
        <w:tc>
          <w:tcPr>
            <w:tcW w:type="dxa" w:w="57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Complete — Floor/Ceiling/Stress/Upside/Typical (S21)</w:t>
            </w:r>
          </w:p>
        </w:tc>
      </w:tr>
      <w:tr>
        <w:trPr>
          <w:tblHeader w:val="false"/>
        </w:trPr>
        <w:tc>
          <w:tcPr>
            <w:tcW w:type="dxa" w:w="36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test_flags.py — G1–G21, 424 checks</w:t>
            </w:r>
          </w:p>
        </w:tc>
        <w:tc>
          <w:tcPr>
            <w:tcW w:type="dxa" w:w="57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Complete — G1 restored + G17j (13 new checks) (S21)</w:t>
            </w:r>
          </w:p>
        </w:tc>
      </w:tr>
      <w:tr>
        <w:trPr>
          <w:tblHeader w:val="false"/>
        </w:trPr>
        <w:tc>
          <w:tcPr>
            <w:tcW w:type="dxa" w:w="36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smoke.spec.ts — 16 Playwright tests</w:t>
            </w:r>
          </w:p>
        </w:tc>
        <w:tc>
          <w:tcPr>
            <w:tcW w:type="dxa" w:w="57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Complete — dynamic labels, Investment tab, timeout fixes (S21)</w:t>
            </w:r>
          </w:p>
        </w:tc>
      </w:tr>
      <w:tr>
        <w:trPr>
          <w:tblHeader w:val="false"/>
        </w:trPr>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roth_optimizer.py — BETR 2-pass + severity classifier</w:t>
            </w:r>
          </w:p>
        </w:tc>
        <w:tc>
          <w:tcPr>
            <w:tcW w:type="dxa" w:w="5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Session 22 — uses simulation projected balances</w:t>
            </w:r>
          </w:p>
        </w:tc>
      </w:tr>
      <w:tr>
        <w:trPr>
          <w:tblHeader w:val="false"/>
        </w:trPr>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person.json — spouse/inheritors/roth_optimizer_config</w:t>
            </w:r>
          </w:p>
        </w:tc>
        <w:tc>
          <w:tcPr>
            <w:tcW w:type="dxa" w:w="5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Session 22 — new fields for multi-generational modeling</w:t>
            </w:r>
          </w:p>
        </w:tc>
      </w:tr>
      <w:tr>
        <w:trPr>
          <w:tblHeader w:val="false"/>
        </w:trPr>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api.py — inline optimizer call → snapshot</w:t>
            </w:r>
          </w:p>
        </w:tc>
        <w:tc>
          <w:tcPr>
            <w:tcW w:type="dxa" w:w="5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Session 22 — attach roth_optimizer output to run snapshot</w:t>
            </w:r>
          </w:p>
        </w:tc>
      </w:tr>
      <w:tr>
        <w:trPr>
          <w:tblHeader w:val="false"/>
        </w:trPr>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Results tab — Roth Optimizer section (Option A)</w:t>
            </w:r>
          </w:p>
        </w:tc>
        <w:tc>
          <w:tcPr>
            <w:tcW w:type="dxa" w:w="5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Session 22 — 4×4 strategy/scenario matrix + BETR table</w:t>
            </w:r>
          </w:p>
        </w:tc>
      </w:tr>
      <w:tr>
        <w:trPr>
          <w:tblHeader w:val="false"/>
        </w:trPr>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Simulation tab — Roth Optimizer on-demand (Option B)</w:t>
            </w:r>
          </w:p>
        </w:tc>
        <w:tc>
          <w:tcPr>
            <w:tcW w:type="dxa" w:w="5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Session 23</w:t>
            </w:r>
          </w:p>
        </w:tc>
      </w:tr>
      <w:tr>
        <w:trPr>
          <w:tblHeader w:val="false"/>
        </w:trPr>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Investment tab — persistent tax recommendations (Option C)</w:t>
            </w:r>
          </w:p>
        </w:tc>
        <w:tc>
          <w:tcPr>
            <w:tcW w:type="dxa" w:w="5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Session 23</w:t>
            </w:r>
          </w:p>
        </w:tc>
      </w:tr>
      <w:tr>
        <w:trPr>
          <w:tblHeader w:val="false"/>
        </w:trPr>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G22 test group — optimizer output validation</w:t>
            </w:r>
          </w:p>
        </w:tc>
        <w:tc>
          <w:tcPr>
            <w:tcW w:type="dxa" w:w="5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Session 22</w:t>
            </w:r>
          </w:p>
        </w:tc>
      </w:tr>
      <w:tr>
        <w:trPr>
          <w:tblHeader w:val="false"/>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signal_computation.py — CMF/Wyckoff/regime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Phase 2 — reads market_data cache → market_signals.json</w:t>
            </w:r>
          </w:p>
        </w:tc>
      </w:tr>
      <w:tr>
        <w:trPr>
          <w:tblHeader w:val="false"/>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investment_engine.py — action generator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Phase 3 — signals + constraints → ordered action list</w:t>
            </w:r>
          </w:p>
        </w:tc>
      </w:tr>
      <w:tr>
        <w:trPr>
          <w:tblHeader w:val="false"/>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cost_basis.json — tax-lot tracking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Phase 3 — brokerage only; required for wash-sale + TLH</w:t>
            </w:r>
          </w:p>
        </w:tc>
      </w:tr>
      <w:tr>
        <w:trPr>
          <w:tblHeader w:val="false"/>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Outcome tracking / signal recalibration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Phase 4 — records decisions; recalibrates signal weights</w:t>
            </w:r>
          </w:p>
        </w:tc>
      </w:tr>
    </w:tbl>
    <w:p>
      <w:pPr>
        <w:pStyle w:val="Heading1"/>
      </w:pPr>
      <w:r>
        <w:rPr>
          <w:rFonts w:ascii="Arial" w:cs="Arial" w:eastAsia="Arial" w:hAnsi="Arial"/>
          <w:b/>
          <w:bCs/>
          <w:color w:val="1F3864"/>
          <w:sz w:val="32"/>
          <w:szCs w:val="32"/>
        </w:rPr>
        <w:t xml:space="preserve">11. Core Design Principles</w:t>
      </w:r>
    </w:p>
    <w:p>
      <w:pPr>
        <w:pStyle w:val="ListParagraph"/>
        <w:numPr>
          <w:ilvl w:val="0"/>
          <w:numId w:val="2"/>
        </w:numPr>
        <w:spacing w:after="80"/>
      </w:pPr>
      <w:r>
        <w:rPr>
          <w:rFonts w:ascii="Arial" w:cs="Arial" w:eastAsia="Arial" w:hAnsi="Arial"/>
          <w:b w:val="false"/>
          <w:bCs w:val="false"/>
          <w:sz w:val="22"/>
          <w:szCs w:val="22"/>
        </w:rPr>
        <w:t xml:space="preserve">1. Simulation core stays dumb. simulation_core.py only does math. No taxes, no account types, no retirement concepts. All intelligence lives in the layers above it.</w:t>
      </w:r>
    </w:p>
    <w:p>
      <w:pPr>
        <w:pStyle w:val="ListParagraph"/>
        <w:numPr>
          <w:ilvl w:val="0"/>
          <w:numId w:val="2"/>
        </w:numPr>
        <w:spacing w:after="80"/>
      </w:pPr>
      <w:r>
        <w:rPr>
          <w:rFonts w:ascii="Arial" w:cs="Arial" w:eastAsia="Arial" w:hAnsi="Arial"/>
          <w:b w:val="false"/>
          <w:bCs w:val="false"/>
          <w:sz w:val="22"/>
          <w:szCs w:val="22"/>
        </w:rPr>
        <w:t xml:space="preserve">2. Asset model is a first-class artifact. Not a config file. Versioned, validated, promoted explicitly. Never auto-overwritten. Improves through use.</w:t>
      </w:r>
    </w:p>
    <w:p>
      <w:pPr>
        <w:pStyle w:val="ListParagraph"/>
        <w:numPr>
          <w:ilvl w:val="0"/>
          <w:numId w:val="2"/>
        </w:numPr>
        <w:spacing w:after="80"/>
      </w:pPr>
      <w:r>
        <w:rPr>
          <w:rFonts w:ascii="Arial" w:cs="Arial" w:eastAsia="Arial" w:hAnsi="Arial"/>
          <w:b w:val="false"/>
          <w:bCs w:val="false"/>
          <w:sz w:val="22"/>
          <w:szCs w:val="22"/>
        </w:rPr>
        <w:t xml:space="preserve">3. Capability map over hard dependencies. simulation_core.py declares which model features it understands. Missing features degrade gracefully.</w:t>
      </w:r>
    </w:p>
    <w:p>
      <w:pPr>
        <w:pStyle w:val="ListParagraph"/>
        <w:numPr>
          <w:ilvl w:val="0"/>
          <w:numId w:val="2"/>
        </w:numPr>
        <w:spacing w:after="80"/>
      </w:pPr>
      <w:r>
        <w:rPr>
          <w:rFonts w:ascii="Arial" w:cs="Arial" w:eastAsia="Arial" w:hAnsi="Arial"/>
          <w:b w:val="false"/>
          <w:bCs w:val="false"/>
          <w:sz w:val="22"/>
          <w:szCs w:val="22"/>
        </w:rPr>
        <w:t xml:space="preserve">4. Static and dynamic are separate, combined at one point. signal_combiner.py is the single integration point.</w:t>
      </w:r>
    </w:p>
    <w:p>
      <w:pPr>
        <w:pStyle w:val="ListParagraph"/>
        <w:numPr>
          <w:ilvl w:val="0"/>
          <w:numId w:val="2"/>
        </w:numPr>
        <w:spacing w:after="80"/>
      </w:pPr>
      <w:r>
        <w:rPr>
          <w:rFonts w:ascii="Arial" w:cs="Arial" w:eastAsia="Arial" w:hAnsi="Arial"/>
          <w:b w:val="false"/>
          <w:bCs w:val="false"/>
          <w:sz w:val="22"/>
          <w:szCs w:val="22"/>
        </w:rPr>
        <w:t xml:space="preserve">5. Confidence is explicit. Every combined signal carries a confidence score. Low confidence → widen sigma, don't act.</w:t>
      </w:r>
    </w:p>
    <w:p>
      <w:pPr>
        <w:pStyle w:val="ListParagraph"/>
        <w:numPr>
          <w:ilvl w:val="0"/>
          <w:numId w:val="2"/>
        </w:numPr>
        <w:spacing w:after="80"/>
      </w:pPr>
      <w:r>
        <w:rPr>
          <w:rFonts w:ascii="Arial" w:cs="Arial" w:eastAsia="Arial" w:hAnsi="Arial"/>
          <w:b w:val="false"/>
          <w:bCs w:val="false"/>
          <w:sz w:val="22"/>
          <w:szCs w:val="22"/>
        </w:rPr>
        <w:t xml:space="preserve">6. The learning loop closes. Decisions are recorded. Outcomes are measured. Signal weights are recalibrated.</w:t>
      </w:r>
    </w:p>
    <w:p>
      <w:pPr>
        <w:pStyle w:val="ListParagraph"/>
        <w:numPr>
          <w:ilvl w:val="0"/>
          <w:numId w:val="2"/>
        </w:numPr>
        <w:spacing w:after="80"/>
      </w:pPr>
      <w:r>
        <w:rPr>
          <w:rFonts w:ascii="Arial" w:cs="Arial" w:eastAsia="Arial" w:hAnsi="Arial"/>
          <w:b w:val="false"/>
          <w:bCs w:val="false"/>
          <w:sz w:val="22"/>
          <w:szCs w:val="22"/>
        </w:rPr>
        <w:t xml:space="preserve">7. Two confidence thresholds. Fund engine acts on 60%+. Retirement guardian acts on 85%+.</w:t>
      </w:r>
    </w:p>
    <w:p>
      <w:pPr>
        <w:pStyle w:val="ListParagraph"/>
        <w:numPr>
          <w:ilvl w:val="0"/>
          <w:numId w:val="2"/>
        </w:numPr>
        <w:spacing w:after="80"/>
      </w:pPr>
      <w:r>
        <w:rPr>
          <w:rFonts w:ascii="Arial" w:cs="Arial" w:eastAsia="Arial" w:hAnsi="Arial"/>
          <w:b w:val="false"/>
          <w:bCs w:val="false"/>
          <w:sz w:val="22"/>
          <w:szCs w:val="22"/>
        </w:rPr>
        <w:t xml:space="preserve">8. Modularity over integration. Each file has one job. No cross-contamination.</w:t>
      </w:r>
    </w:p>
    <w:p>
      <w:pPr>
        <w:pStyle w:val="ListParagraph"/>
        <w:numPr>
          <w:ilvl w:val="0"/>
          <w:numId w:val="2"/>
        </w:numPr>
        <w:spacing w:after="80"/>
      </w:pPr>
      <w:r>
        <w:rPr>
          <w:rFonts w:ascii="Arial" w:cs="Arial" w:eastAsia="Arial" w:hAnsi="Arial"/>
          <w:b w:val="false"/>
          <w:bCs w:val="false"/>
          <w:sz w:val="22"/>
          <w:szCs w:val="22"/>
        </w:rPr>
        <w:t xml:space="preserve">9. Tax optimization is multi-generational. The optimizer models lifetime RMD, survivor cliff, and heir exposure — not just the account holder's bracket today.</w:t>
      </w:r>
    </w:p>
    <w:p>
      <w:pPr>
        <w:pStyle w:val="Heading1"/>
      </w:pPr>
      <w:r>
        <w:rPr>
          <w:rFonts w:ascii="Arial" w:cs="Arial" w:eastAsia="Arial" w:hAnsi="Arial"/>
          <w:b/>
          <w:bCs/>
          <w:color w:val="1F3864"/>
          <w:sz w:val="32"/>
          <w:szCs w:val="32"/>
        </w:rPr>
        <w:t xml:space="preserve">12. Definitive File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1F3864"/>
                <w:sz w:val="20"/>
                <w:szCs w:val="20"/>
              </w:rPr>
              <w:t xml:space="preserve">File / Directory</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1F3864"/>
                <w:sz w:val="20"/>
                <w:szCs w:val="20"/>
              </w:rPr>
              <w:t xml:space="preserve">Responsibility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asset-model/ (repo root)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Versioned model artifacts. Each vX.Y.Z/ contains assets.json, features.msgpack, features.sha256, manifest.json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signals/ (repo root)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Daily dynamic signal archive. signals/YYYY-MM-DD/signals.msgpack + sha256 + market_context.json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src/config/assets.json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Active production model (promoted copy of latest approved version)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src/config/economicglobal.json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Global market settings + asset_class_priors for calibration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src/asset_discovery.py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Ticker → class extraction from profiles. No market data dependencies.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src/asset_calibration.py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Market data fetch + multi-window blend + write versioned model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src/promote_model.py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Validation + human-gated promotion to src/config/assets.json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src/assets_loader.py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Reads assets.json into simulator-ready dict. Strips _provenance metadata.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src/simulation_core.py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Pure stochastic math. Returns acct balances + per-class balances. No retirement concepts.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src/rebalancing_core.py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Drift-band rebalancing. Brokerage LTCG. Policy from economicglobal.json.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src/simulator_new.py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Retirement use-case orchestrator. Wires simulation → rebalancing → RMDs → taxes → withdrawals → Roth. Includes compute_mode_weights().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src/taxes_core.py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Federal + state + NIIT + excise taxes on all income types.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src/rmd_core.py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SECURE 2.0 RMD computation. Surplus reinvestment.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src/roth_conversion_core.py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Roth conversion sequencing and tax impact.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src/roth_optimizer.py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Multi-generational Roth optimizer. BETR 2-pass, IRA timebomb severity, survivor cliff, 10-year heir liquidation, 4×4 strategy/scenario matrix.</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src/withdrawals_core.py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Withdrawal sequencing per account type. Bad market scaling.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src/api.py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FastAPI server. Routes, config endpoints, run endpoint. Calls roth_optimizer inline after simulation.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src/test_flags.py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Comprehensive test suite. G1–G21, 424 checks. 21 groups.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src/ui/src/App.tsx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React frontend. Configure / Simulation / Investment / Results tabs.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src/ui/tests/smoke.spec.ts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Playwright E2E tests. 16 tests.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profiles/*/person.json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Per-profile personal config. New: spouse, inheritors, roth_optimizer_config fields in S22.</w:t>
            </w:r>
          </w:p>
        </w:tc>
      </w:tr>
    </w:tbl>
    <w:p>
      <w:r>
        <w:t xml:space="preserve"/>
      </w:r>
    </w:p>
    <w:p>
      <w:pPr>
        <w:pBdr>
          <w:top w:val="single" w:color="2E75B6" w:sz="6" w:space="4"/>
        </w:pBdr>
        <w:spacing w:before="480"/>
        <w:jc w:val="center"/>
      </w:pPr>
      <w:r>
        <w:rPr>
          <w:rFonts w:ascii="Arial" w:cs="Arial" w:eastAsia="Arial" w:hAnsi="Arial"/>
          <w:i/>
          <w:iCs/>
          <w:color w:val="595959"/>
          <w:sz w:val="20"/>
          <w:szCs w:val="20"/>
        </w:rPr>
        <w:t xml:space="preserve">eNDinomics — Grand Architecture Plan</w:t>
      </w:r>
    </w:p>
    <w:p>
      <w:pPr>
        <w:jc w:val="center"/>
      </w:pPr>
      <w:r>
        <w:rPr>
          <w:rFonts w:ascii="Arial" w:cs="Arial" w:eastAsia="Arial" w:hAnsi="Arial"/>
          <w:i/>
          <w:iCs/>
          <w:color w:val="595959"/>
          <w:sz w:val="20"/>
          <w:szCs w:val="20"/>
        </w:rPr>
        <w:t xml:space="preserve">Version 1.6  |  March 2026  |  Living document — update as architecture evolves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2026-03-19T22:12:20.890Z</dcterms:created>
  <dcterms:modified xsi:type="dcterms:W3CDTF">2026-03-19T22:12:20.891Z</dcterms:modified>
</cp:coreProperties>
</file>

<file path=docProps/custom.xml><?xml version="1.0" encoding="utf-8"?>
<Properties xmlns="http://schemas.openxmlformats.org/officeDocument/2006/custom-properties" xmlns:vt="http://schemas.openxmlformats.org/officeDocument/2006/docPropsVTypes"/>
</file>