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145FF" w14:textId="77777777" w:rsidR="00BA3375" w:rsidRPr="004C39AF" w:rsidRDefault="00000000">
      <w:pPr>
        <w:pStyle w:val="TitleStyle"/>
        <w:rPr>
          <w:rFonts w:ascii="Times New Roman" w:hAnsi="Times New Roman" w:cs="Times New Roman"/>
          <w:color w:val="auto"/>
        </w:rPr>
      </w:pPr>
      <w:r w:rsidRPr="004C39AF">
        <w:rPr>
          <w:rFonts w:ascii="Times New Roman" w:hAnsi="Times New Roman" w:cs="Times New Roman"/>
          <w:color w:val="auto"/>
          <w:sz w:val="32"/>
          <w:szCs w:val="32"/>
        </w:rPr>
        <w:t>Agentic AI for Clinical Decision Making in Healthcare Payment Integrity</w:t>
      </w:r>
    </w:p>
    <w:p w14:paraId="00F716B1" w14:textId="77777777" w:rsidR="00BA3375" w:rsidRPr="004C39AF" w:rsidRDefault="00000000">
      <w:pPr>
        <w:pStyle w:val="Subtitle"/>
        <w:rPr>
          <w:rFonts w:ascii="Times New Roman" w:hAnsi="Times New Roman" w:cs="Times New Roman"/>
        </w:rPr>
      </w:pPr>
      <w:r w:rsidRPr="004C39AF">
        <w:rPr>
          <w:rFonts w:ascii="Times New Roman" w:hAnsi="Times New Roman" w:cs="Times New Roman"/>
        </w:rPr>
        <w:t>Strategic Opportunities for Cotiviti</w:t>
      </w:r>
    </w:p>
    <w:p w14:paraId="222E299E" w14:textId="77777777" w:rsidR="00BA3375" w:rsidRPr="004C39AF" w:rsidRDefault="00000000">
      <w:pPr>
        <w:pStyle w:val="Heading1"/>
        <w:rPr>
          <w:rFonts w:ascii="Times New Roman" w:hAnsi="Times New Roman" w:cs="Times New Roman"/>
          <w:color w:val="auto"/>
        </w:rPr>
      </w:pPr>
      <w:r w:rsidRPr="004C39AF">
        <w:rPr>
          <w:rFonts w:ascii="Times New Roman" w:hAnsi="Times New Roman" w:cs="Times New Roman"/>
          <w:color w:val="auto"/>
        </w:rPr>
        <w:t>Defining the Concept</w:t>
      </w:r>
    </w:p>
    <w:p w14:paraId="5FFF5768" w14:textId="3BDC4A9A" w:rsidR="00BA3375" w:rsidRPr="004C39AF" w:rsidRDefault="00000000">
      <w:pPr>
        <w:spacing w:after="160" w:line="276" w:lineRule="auto"/>
        <w:rPr>
          <w:rFonts w:ascii="Times New Roman" w:hAnsi="Times New Roman" w:cs="Times New Roman"/>
        </w:rPr>
      </w:pPr>
      <w:r w:rsidRPr="004C39AF">
        <w:rPr>
          <w:rFonts w:ascii="Times New Roman" w:hAnsi="Times New Roman" w:cs="Times New Roman"/>
        </w:rPr>
        <w:t>Agentic generative AI refers to systems that move beyond single</w:t>
      </w:r>
      <w:r w:rsidR="008E0D3D" w:rsidRPr="004C39AF">
        <w:rPr>
          <w:rFonts w:ascii="Times New Roman" w:hAnsi="Times New Roman" w:cs="Times New Roman"/>
        </w:rPr>
        <w:t xml:space="preserve"> </w:t>
      </w:r>
      <w:r w:rsidRPr="004C39AF">
        <w:rPr>
          <w:rFonts w:ascii="Times New Roman" w:hAnsi="Times New Roman" w:cs="Times New Roman"/>
        </w:rPr>
        <w:t>turn question answering</w:t>
      </w:r>
      <w:r w:rsidR="002E5AB9" w:rsidRPr="004C39AF">
        <w:rPr>
          <w:rFonts w:ascii="Times New Roman" w:hAnsi="Times New Roman" w:cs="Times New Roman"/>
        </w:rPr>
        <w:t xml:space="preserve"> and</w:t>
      </w:r>
      <w:r w:rsidRPr="004C39AF">
        <w:rPr>
          <w:rFonts w:ascii="Times New Roman" w:hAnsi="Times New Roman" w:cs="Times New Roman"/>
        </w:rPr>
        <w:t xml:space="preserve"> toward</w:t>
      </w:r>
      <w:r w:rsidR="002E5AB9" w:rsidRPr="004C39AF">
        <w:rPr>
          <w:rFonts w:ascii="Times New Roman" w:hAnsi="Times New Roman" w:cs="Times New Roman"/>
        </w:rPr>
        <w:t>s</w:t>
      </w:r>
      <w:r w:rsidRPr="004C39AF">
        <w:rPr>
          <w:rFonts w:ascii="Times New Roman" w:hAnsi="Times New Roman" w:cs="Times New Roman"/>
        </w:rPr>
        <w:t xml:space="preserve"> multi</w:t>
      </w:r>
      <w:r w:rsidR="002E5AB9" w:rsidRPr="004C39AF">
        <w:rPr>
          <w:rFonts w:ascii="Times New Roman" w:hAnsi="Times New Roman" w:cs="Times New Roman"/>
        </w:rPr>
        <w:t xml:space="preserve"> </w:t>
      </w:r>
      <w:r w:rsidRPr="004C39AF">
        <w:rPr>
          <w:rFonts w:ascii="Times New Roman" w:hAnsi="Times New Roman" w:cs="Times New Roman"/>
        </w:rPr>
        <w:t>step, goal</w:t>
      </w:r>
      <w:r w:rsidR="002E5AB9" w:rsidRPr="004C39AF">
        <w:rPr>
          <w:rFonts w:ascii="Times New Roman" w:hAnsi="Times New Roman" w:cs="Times New Roman"/>
        </w:rPr>
        <w:t xml:space="preserve"> </w:t>
      </w:r>
      <w:r w:rsidRPr="004C39AF">
        <w:rPr>
          <w:rFonts w:ascii="Times New Roman" w:hAnsi="Times New Roman" w:cs="Times New Roman"/>
        </w:rPr>
        <w:t xml:space="preserve">directed reasoning: planning a sequence of actions, executing them, evaluating the results, and adjusting course autonomously toward an </w:t>
      </w:r>
      <w:r w:rsidR="000F58B2" w:rsidRPr="004C39AF">
        <w:rPr>
          <w:rFonts w:ascii="Times New Roman" w:hAnsi="Times New Roman" w:cs="Times New Roman"/>
        </w:rPr>
        <w:t>objective.</w:t>
      </w:r>
      <w:r w:rsidRPr="004C39AF">
        <w:rPr>
          <w:rFonts w:ascii="Times New Roman" w:hAnsi="Times New Roman" w:cs="Times New Roman"/>
        </w:rPr>
        <w:t xml:space="preserve"> In healthcare’s Treatment, Payment, and Operations context, this means systems that do not simply classify a claim or predict an outcome in isolation. Instead, they chain together classification, prediction, inference, clustering, and time-series anomaly detection into a coherent reasoning workflow that mirrors how a human analyst investigates a case.</w:t>
      </w:r>
    </w:p>
    <w:p w14:paraId="61C92149" w14:textId="59BEFC4B" w:rsidR="00BA3375" w:rsidRPr="004C39AF" w:rsidRDefault="00000000">
      <w:pPr>
        <w:spacing w:after="160" w:line="276" w:lineRule="auto"/>
        <w:rPr>
          <w:rFonts w:ascii="Times New Roman" w:hAnsi="Times New Roman" w:cs="Times New Roman"/>
        </w:rPr>
      </w:pPr>
      <w:r w:rsidRPr="004C39AF">
        <w:rPr>
          <w:rFonts w:ascii="Times New Roman" w:hAnsi="Times New Roman" w:cs="Times New Roman"/>
        </w:rPr>
        <w:t>This represents a meaningful departure from earlier clinical decision</w:t>
      </w:r>
      <w:r w:rsidR="000F58B2" w:rsidRPr="004C39AF">
        <w:rPr>
          <w:rFonts w:ascii="Times New Roman" w:hAnsi="Times New Roman" w:cs="Times New Roman"/>
        </w:rPr>
        <w:t xml:space="preserve"> </w:t>
      </w:r>
      <w:r w:rsidRPr="004C39AF">
        <w:rPr>
          <w:rFonts w:ascii="Times New Roman" w:hAnsi="Times New Roman" w:cs="Times New Roman"/>
        </w:rPr>
        <w:t xml:space="preserve">support approaches. Past generations of healthcare analytics relied on static rules engines and logistic regression </w:t>
      </w:r>
      <w:r w:rsidR="000F58B2" w:rsidRPr="004C39AF">
        <w:rPr>
          <w:rFonts w:ascii="Times New Roman" w:hAnsi="Times New Roman" w:cs="Times New Roman"/>
        </w:rPr>
        <w:t xml:space="preserve">which were </w:t>
      </w:r>
      <w:r w:rsidRPr="004C39AF">
        <w:rPr>
          <w:rFonts w:ascii="Times New Roman" w:hAnsi="Times New Roman" w:cs="Times New Roman"/>
        </w:rPr>
        <w:t>effective against known fraud patterns but brittle against novel schemes. The present generation layers machine learning classifiers onto these rules for tasks such as readmission risk and claim flagging. The emerging generation</w:t>
      </w:r>
      <w:r w:rsidR="000F58B2" w:rsidRPr="004C39AF">
        <w:rPr>
          <w:rFonts w:ascii="Times New Roman" w:hAnsi="Times New Roman" w:cs="Times New Roman"/>
        </w:rPr>
        <w:t xml:space="preserve"> of agentic</w:t>
      </w:r>
      <w:r w:rsidRPr="004C39AF">
        <w:rPr>
          <w:rFonts w:ascii="Times New Roman" w:hAnsi="Times New Roman" w:cs="Times New Roman"/>
        </w:rPr>
        <w:t xml:space="preserve"> </w:t>
      </w:r>
      <w:r w:rsidR="000F58B2" w:rsidRPr="004C39AF">
        <w:rPr>
          <w:rFonts w:ascii="Times New Roman" w:hAnsi="Times New Roman" w:cs="Times New Roman"/>
        </w:rPr>
        <w:t>AI adds</w:t>
      </w:r>
      <w:r w:rsidRPr="004C39AF">
        <w:rPr>
          <w:rFonts w:ascii="Times New Roman" w:hAnsi="Times New Roman" w:cs="Times New Roman"/>
        </w:rPr>
        <w:t xml:space="preserve"> an orchestration layer </w:t>
      </w:r>
      <w:r w:rsidR="000F58B2" w:rsidRPr="004C39AF">
        <w:rPr>
          <w:rFonts w:ascii="Times New Roman" w:hAnsi="Times New Roman" w:cs="Times New Roman"/>
        </w:rPr>
        <w:t>on top of</w:t>
      </w:r>
      <w:r w:rsidRPr="004C39AF">
        <w:rPr>
          <w:rFonts w:ascii="Times New Roman" w:hAnsi="Times New Roman" w:cs="Times New Roman"/>
        </w:rPr>
        <w:t xml:space="preserve"> large language models that can route a claim through multiple analytical steps, call external data sources, and produce an auditable chain of reasoning rather than a single opaque score (Deloitte Insights, 2026).</w:t>
      </w:r>
    </w:p>
    <w:p w14:paraId="7C0ED046" w14:textId="77777777" w:rsidR="00BA3375" w:rsidRPr="004C39AF" w:rsidRDefault="00000000">
      <w:pPr>
        <w:pStyle w:val="Heading1"/>
        <w:rPr>
          <w:rFonts w:ascii="Times New Roman" w:hAnsi="Times New Roman" w:cs="Times New Roman"/>
          <w:color w:val="auto"/>
        </w:rPr>
      </w:pPr>
      <w:r w:rsidRPr="004C39AF">
        <w:rPr>
          <w:rFonts w:ascii="Times New Roman" w:hAnsi="Times New Roman" w:cs="Times New Roman"/>
          <w:color w:val="auto"/>
        </w:rPr>
        <w:t>Trends Shaping the Field</w:t>
      </w:r>
    </w:p>
    <w:p w14:paraId="5F58F6B4" w14:textId="14E25556" w:rsidR="00BA3375" w:rsidRPr="004C39AF" w:rsidRDefault="00000000">
      <w:pPr>
        <w:spacing w:after="160" w:line="276" w:lineRule="auto"/>
        <w:rPr>
          <w:rFonts w:ascii="Times New Roman" w:hAnsi="Times New Roman" w:cs="Times New Roman"/>
        </w:rPr>
      </w:pPr>
      <w:r w:rsidRPr="004C39AF">
        <w:rPr>
          <w:rFonts w:ascii="Times New Roman" w:hAnsi="Times New Roman" w:cs="Times New Roman"/>
        </w:rPr>
        <w:t>Adoption is accelerating sharply. Deloitte’s 2026 US Health Care Outlook found that over 80% of healthcare executives now expect agentic AI to deliver moderate</w:t>
      </w:r>
      <w:r w:rsidR="000F58B2" w:rsidRPr="004C39AF">
        <w:rPr>
          <w:rFonts w:ascii="Times New Roman" w:hAnsi="Times New Roman" w:cs="Times New Roman"/>
        </w:rPr>
        <w:t xml:space="preserve"> </w:t>
      </w:r>
      <w:r w:rsidRPr="004C39AF">
        <w:rPr>
          <w:rFonts w:ascii="Times New Roman" w:hAnsi="Times New Roman" w:cs="Times New Roman"/>
        </w:rPr>
        <w:t>to</w:t>
      </w:r>
      <w:r w:rsidR="000F58B2" w:rsidRPr="004C39AF">
        <w:rPr>
          <w:rFonts w:ascii="Times New Roman" w:hAnsi="Times New Roman" w:cs="Times New Roman"/>
        </w:rPr>
        <w:t xml:space="preserve"> </w:t>
      </w:r>
      <w:r w:rsidRPr="004C39AF">
        <w:rPr>
          <w:rFonts w:ascii="Times New Roman" w:hAnsi="Times New Roman" w:cs="Times New Roman"/>
        </w:rPr>
        <w:t>significant value in 2026, up from fewer than half who expressed similar confidence in 2024 (Deloitte Insights, 2026). Industry</w:t>
      </w:r>
      <w:r w:rsidR="000F58B2" w:rsidRPr="004C39AF">
        <w:rPr>
          <w:rFonts w:ascii="Times New Roman" w:hAnsi="Times New Roman" w:cs="Times New Roman"/>
        </w:rPr>
        <w:t xml:space="preserve"> </w:t>
      </w:r>
      <w:r w:rsidRPr="004C39AF">
        <w:rPr>
          <w:rFonts w:ascii="Times New Roman" w:hAnsi="Times New Roman" w:cs="Times New Roman"/>
        </w:rPr>
        <w:t xml:space="preserve">wide, the areas expected to see the most </w:t>
      </w:r>
      <w:r w:rsidR="008C6877" w:rsidRPr="004C39AF">
        <w:rPr>
          <w:rFonts w:ascii="Times New Roman" w:hAnsi="Times New Roman" w:cs="Times New Roman"/>
        </w:rPr>
        <w:t>near-term</w:t>
      </w:r>
      <w:r w:rsidRPr="004C39AF">
        <w:rPr>
          <w:rFonts w:ascii="Times New Roman" w:hAnsi="Times New Roman" w:cs="Times New Roman"/>
        </w:rPr>
        <w:t xml:space="preserve"> return are clinical workflow automation, administrative burden reduction, and clinical decision support. Boston Consulting Group similarly projects that AI agents capable of observing, planning, and acting autonomously will reshape care delivery and operations through 2026 (Boston Consulting Group, 2026).</w:t>
      </w:r>
    </w:p>
    <w:p w14:paraId="72FD392B" w14:textId="072F64F6" w:rsidR="00BA3375" w:rsidRPr="004C39AF" w:rsidRDefault="00000000">
      <w:pPr>
        <w:spacing w:after="160" w:line="276" w:lineRule="auto"/>
        <w:rPr>
          <w:rFonts w:ascii="Times New Roman" w:hAnsi="Times New Roman" w:cs="Times New Roman"/>
        </w:rPr>
      </w:pPr>
      <w:r w:rsidRPr="004C39AF">
        <w:rPr>
          <w:rFonts w:ascii="Times New Roman" w:hAnsi="Times New Roman" w:cs="Times New Roman"/>
        </w:rPr>
        <w:t>For payment integrity specifically, the financial stakes are substantial. The National Health Care Anti-Fraud Association conservatively estimates that 3% of all U.S. healthcare spending</w:t>
      </w:r>
      <w:r w:rsidR="000F58B2" w:rsidRPr="004C39AF">
        <w:rPr>
          <w:rFonts w:ascii="Times New Roman" w:hAnsi="Times New Roman" w:cs="Times New Roman"/>
        </w:rPr>
        <w:t xml:space="preserve">, </w:t>
      </w:r>
      <w:r w:rsidRPr="004C39AF">
        <w:rPr>
          <w:rFonts w:ascii="Times New Roman" w:hAnsi="Times New Roman" w:cs="Times New Roman"/>
        </w:rPr>
        <w:t xml:space="preserve">annually is lost to fraud, with some government estimates running as high as 10%, or more than $300 billion per year (National Health Care Anti-Fraud Association, 2025). Most payers still lack the technology and staff to manually evaluate claims at scale, which is precisely the gap agentic AI is positioned to close through faster, earlier intervention in the </w:t>
      </w:r>
      <w:proofErr w:type="gramStart"/>
      <w:r w:rsidRPr="004C39AF">
        <w:rPr>
          <w:rFonts w:ascii="Times New Roman" w:hAnsi="Times New Roman" w:cs="Times New Roman"/>
        </w:rPr>
        <w:t>claims</w:t>
      </w:r>
      <w:proofErr w:type="gramEnd"/>
      <w:r w:rsidRPr="004C39AF">
        <w:rPr>
          <w:rFonts w:ascii="Times New Roman" w:hAnsi="Times New Roman" w:cs="Times New Roman"/>
        </w:rPr>
        <w:t xml:space="preserve"> lifecycle (Milliman, 2025).</w:t>
      </w:r>
    </w:p>
    <w:p w14:paraId="77872865" w14:textId="77777777" w:rsidR="00BA3375" w:rsidRPr="004C39AF" w:rsidRDefault="00000000">
      <w:pPr>
        <w:pStyle w:val="Heading1"/>
        <w:rPr>
          <w:rFonts w:ascii="Times New Roman" w:hAnsi="Times New Roman" w:cs="Times New Roman"/>
          <w:color w:val="auto"/>
        </w:rPr>
      </w:pPr>
      <w:r w:rsidRPr="004C39AF">
        <w:rPr>
          <w:rFonts w:ascii="Times New Roman" w:hAnsi="Times New Roman" w:cs="Times New Roman"/>
          <w:color w:val="auto"/>
        </w:rPr>
        <w:t>Opportunities and Threats</w:t>
      </w:r>
    </w:p>
    <w:p w14:paraId="17259B9C" w14:textId="77777777" w:rsidR="00BA3375" w:rsidRPr="004C39AF" w:rsidRDefault="00000000">
      <w:pPr>
        <w:pStyle w:val="Heading2"/>
        <w:rPr>
          <w:rFonts w:ascii="Times New Roman" w:hAnsi="Times New Roman" w:cs="Times New Roman"/>
          <w:color w:val="auto"/>
        </w:rPr>
      </w:pPr>
      <w:r w:rsidRPr="004C39AF">
        <w:rPr>
          <w:rFonts w:ascii="Times New Roman" w:hAnsi="Times New Roman" w:cs="Times New Roman"/>
          <w:color w:val="auto"/>
        </w:rPr>
        <w:t>Opportunities</w:t>
      </w:r>
    </w:p>
    <w:p w14:paraId="18CF7F53" w14:textId="427746E0" w:rsidR="00BA3375" w:rsidRPr="004C39AF" w:rsidRDefault="00000000">
      <w:pPr>
        <w:spacing w:after="160" w:line="276" w:lineRule="auto"/>
        <w:rPr>
          <w:rFonts w:ascii="Times New Roman" w:hAnsi="Times New Roman" w:cs="Times New Roman"/>
        </w:rPr>
      </w:pPr>
      <w:r w:rsidRPr="004C39AF">
        <w:rPr>
          <w:rFonts w:ascii="Times New Roman" w:hAnsi="Times New Roman" w:cs="Times New Roman"/>
        </w:rPr>
        <w:t>Multi-step agentic auditing can mirror analyst judgment more closely than static rules, catching upcoding, unbundling, and internally inconsistent claims that simple thresholds miss. It also enables earlier intervention: shifting review effort toward the front of the claims lifecycle rather than relying solely on post-payment recovery (Cotiviti, 2025d). This capability is a natural complement to Cotiviti’s recent acquisition of Edifecs, which centralizes interoperability and claims data management</w:t>
      </w:r>
      <w:r w:rsidR="008C6877" w:rsidRPr="004C39AF">
        <w:rPr>
          <w:rFonts w:ascii="Times New Roman" w:hAnsi="Times New Roman" w:cs="Times New Roman"/>
        </w:rPr>
        <w:t xml:space="preserve"> </w:t>
      </w:r>
      <w:r w:rsidRPr="004C39AF">
        <w:rPr>
          <w:rFonts w:ascii="Times New Roman" w:hAnsi="Times New Roman" w:cs="Times New Roman"/>
        </w:rPr>
        <w:t>giving an agentic reasoning layer a unified data foundation to query and reason over across the full claims lifecycle (Cotiviti, 2025b).</w:t>
      </w:r>
    </w:p>
    <w:p w14:paraId="7CD6ECD0" w14:textId="77777777" w:rsidR="00FD31CD" w:rsidRDefault="00FD31CD">
      <w:pPr>
        <w:rPr>
          <w:rFonts w:ascii="Times New Roman" w:hAnsi="Times New Roman" w:cs="Times New Roman"/>
          <w:b/>
          <w:bCs/>
          <w:sz w:val="23"/>
          <w:szCs w:val="23"/>
        </w:rPr>
      </w:pPr>
      <w:r>
        <w:rPr>
          <w:rFonts w:ascii="Times New Roman" w:hAnsi="Times New Roman" w:cs="Times New Roman"/>
        </w:rPr>
        <w:br w:type="page"/>
      </w:r>
    </w:p>
    <w:p w14:paraId="6B5449D9" w14:textId="79D50969" w:rsidR="00BA3375" w:rsidRPr="004C39AF" w:rsidRDefault="00000000">
      <w:pPr>
        <w:pStyle w:val="Heading2"/>
        <w:rPr>
          <w:rFonts w:ascii="Times New Roman" w:hAnsi="Times New Roman" w:cs="Times New Roman"/>
          <w:color w:val="auto"/>
        </w:rPr>
      </w:pPr>
      <w:r w:rsidRPr="004C39AF">
        <w:rPr>
          <w:rFonts w:ascii="Times New Roman" w:hAnsi="Times New Roman" w:cs="Times New Roman"/>
          <w:color w:val="auto"/>
        </w:rPr>
        <w:lastRenderedPageBreak/>
        <w:t>Threats</w:t>
      </w:r>
    </w:p>
    <w:p w14:paraId="1BA1FA9A" w14:textId="77777777" w:rsidR="00BA3375" w:rsidRPr="004C39AF" w:rsidRDefault="00000000">
      <w:pPr>
        <w:spacing w:after="160" w:line="276" w:lineRule="auto"/>
        <w:rPr>
          <w:rFonts w:ascii="Times New Roman" w:hAnsi="Times New Roman" w:cs="Times New Roman"/>
        </w:rPr>
      </w:pPr>
      <w:r w:rsidRPr="004C39AF">
        <w:rPr>
          <w:rFonts w:ascii="Times New Roman" w:hAnsi="Times New Roman" w:cs="Times New Roman"/>
        </w:rPr>
        <w:t xml:space="preserve">Hallucination and unverifiable reasoning chains create </w:t>
      </w:r>
      <w:proofErr w:type="gramStart"/>
      <w:r w:rsidRPr="004C39AF">
        <w:rPr>
          <w:rFonts w:ascii="Times New Roman" w:hAnsi="Times New Roman" w:cs="Times New Roman"/>
        </w:rPr>
        <w:t>real</w:t>
      </w:r>
      <w:proofErr w:type="gramEnd"/>
      <w:r w:rsidRPr="004C39AF">
        <w:rPr>
          <w:rFonts w:ascii="Times New Roman" w:hAnsi="Times New Roman" w:cs="Times New Roman"/>
        </w:rPr>
        <w:t xml:space="preserve"> regulatory and audit risk in a heavily regulated domain. CMS and state regulators require defensible rationale for claim denials, and opaque agent decisions could trigger appeals, regulatory scrutiny, or legal exposure. Poorly tuned agents that over-flag legitimate claims also risk provider abrasion, which can damage payer-provider relationships if not carefully governed (Cotiviti, 2025d). Finally, competitive pressure is rising: with over 80% of healthcare executives expecting measurable agentic AI value in 2026, organizations that delay adoption risk losing ground to competitors already formalizing AI Centers of Excellence (Cotiviti, 2025c).</w:t>
      </w:r>
    </w:p>
    <w:p w14:paraId="3017A7A9" w14:textId="77777777" w:rsidR="00BA3375" w:rsidRPr="004C39AF" w:rsidRDefault="00000000">
      <w:pPr>
        <w:pStyle w:val="Heading1"/>
        <w:rPr>
          <w:rFonts w:ascii="Times New Roman" w:hAnsi="Times New Roman" w:cs="Times New Roman"/>
          <w:color w:val="auto"/>
        </w:rPr>
      </w:pPr>
      <w:r w:rsidRPr="004C39AF">
        <w:rPr>
          <w:rFonts w:ascii="Times New Roman" w:hAnsi="Times New Roman" w:cs="Times New Roman"/>
          <w:color w:val="auto"/>
        </w:rPr>
        <w:t>Strategic Recommendations for Cotiviti</w:t>
      </w:r>
    </w:p>
    <w:p w14:paraId="1687BD56" w14:textId="60797D28" w:rsidR="00BA3375" w:rsidRPr="004C39AF" w:rsidRDefault="00000000">
      <w:pPr>
        <w:pStyle w:val="ListParagraph"/>
        <w:numPr>
          <w:ilvl w:val="0"/>
          <w:numId w:val="2"/>
        </w:numPr>
        <w:spacing w:after="140" w:line="276" w:lineRule="auto"/>
        <w:rPr>
          <w:rFonts w:ascii="Times New Roman" w:hAnsi="Times New Roman" w:cs="Times New Roman"/>
        </w:rPr>
      </w:pPr>
      <w:r w:rsidRPr="004C39AF">
        <w:rPr>
          <w:rFonts w:ascii="Times New Roman" w:hAnsi="Times New Roman" w:cs="Times New Roman"/>
          <w:b/>
          <w:bCs/>
        </w:rPr>
        <w:t xml:space="preserve">Pilot a chain-of-reasoning claims triage agent. </w:t>
      </w:r>
      <w:r w:rsidRPr="004C39AF">
        <w:rPr>
          <w:rFonts w:ascii="Times New Roman" w:hAnsi="Times New Roman" w:cs="Times New Roman"/>
        </w:rPr>
        <w:t>Build a constrained agentic workflow</w:t>
      </w:r>
      <w:r w:rsidR="008C6877" w:rsidRPr="004C39AF">
        <w:rPr>
          <w:rFonts w:ascii="Times New Roman" w:hAnsi="Times New Roman" w:cs="Times New Roman"/>
        </w:rPr>
        <w:t xml:space="preserve"> to </w:t>
      </w:r>
      <w:r w:rsidRPr="004C39AF">
        <w:rPr>
          <w:rFonts w:ascii="Times New Roman" w:hAnsi="Times New Roman" w:cs="Times New Roman"/>
        </w:rPr>
        <w:t xml:space="preserve">contextualize, detect anomalies, classify, </w:t>
      </w:r>
      <w:r w:rsidR="008C6877" w:rsidRPr="004C39AF">
        <w:rPr>
          <w:rFonts w:ascii="Times New Roman" w:hAnsi="Times New Roman" w:cs="Times New Roman"/>
        </w:rPr>
        <w:t xml:space="preserve">recommend, use it </w:t>
      </w:r>
      <w:r w:rsidRPr="004C39AF">
        <w:rPr>
          <w:rFonts w:ascii="Times New Roman" w:hAnsi="Times New Roman" w:cs="Times New Roman"/>
        </w:rPr>
        <w:t>as a first</w:t>
      </w:r>
      <w:r w:rsidR="008C6877" w:rsidRPr="004C39AF">
        <w:rPr>
          <w:rFonts w:ascii="Times New Roman" w:hAnsi="Times New Roman" w:cs="Times New Roman"/>
        </w:rPr>
        <w:t xml:space="preserve"> </w:t>
      </w:r>
      <w:r w:rsidRPr="004C39AF">
        <w:rPr>
          <w:rFonts w:ascii="Times New Roman" w:hAnsi="Times New Roman" w:cs="Times New Roman"/>
        </w:rPr>
        <w:t>pass layer ahead of human auditors, beginning with high</w:t>
      </w:r>
      <w:r w:rsidR="008C6877" w:rsidRPr="004C39AF">
        <w:rPr>
          <w:rFonts w:ascii="Times New Roman" w:hAnsi="Times New Roman" w:cs="Times New Roman"/>
        </w:rPr>
        <w:t xml:space="preserve"> </w:t>
      </w:r>
      <w:r w:rsidRPr="004C39AF">
        <w:rPr>
          <w:rFonts w:ascii="Times New Roman" w:hAnsi="Times New Roman" w:cs="Times New Roman"/>
        </w:rPr>
        <w:t>volume, low</w:t>
      </w:r>
      <w:r w:rsidR="008C6877" w:rsidRPr="004C39AF">
        <w:rPr>
          <w:rFonts w:ascii="Times New Roman" w:hAnsi="Times New Roman" w:cs="Times New Roman"/>
        </w:rPr>
        <w:t xml:space="preserve"> </w:t>
      </w:r>
      <w:r w:rsidRPr="004C39AF">
        <w:rPr>
          <w:rFonts w:ascii="Times New Roman" w:hAnsi="Times New Roman" w:cs="Times New Roman"/>
        </w:rPr>
        <w:t>complexity claims where the cost of a false positive is low.</w:t>
      </w:r>
    </w:p>
    <w:p w14:paraId="707755E5" w14:textId="0E8A61DC" w:rsidR="00BA3375" w:rsidRPr="004C39AF" w:rsidRDefault="00000000">
      <w:pPr>
        <w:pStyle w:val="ListParagraph"/>
        <w:numPr>
          <w:ilvl w:val="0"/>
          <w:numId w:val="2"/>
        </w:numPr>
        <w:spacing w:after="140" w:line="276" w:lineRule="auto"/>
        <w:rPr>
          <w:rFonts w:ascii="Times New Roman" w:hAnsi="Times New Roman" w:cs="Times New Roman"/>
        </w:rPr>
      </w:pPr>
      <w:r w:rsidRPr="004C39AF">
        <w:rPr>
          <w:rFonts w:ascii="Times New Roman" w:hAnsi="Times New Roman" w:cs="Times New Roman"/>
          <w:b/>
          <w:bCs/>
        </w:rPr>
        <w:t xml:space="preserve">Invest in explainability tooling alongside the AI Center of Excellence. </w:t>
      </w:r>
      <w:r w:rsidRPr="004C39AF">
        <w:rPr>
          <w:rFonts w:ascii="Times New Roman" w:hAnsi="Times New Roman" w:cs="Times New Roman"/>
        </w:rPr>
        <w:t xml:space="preserve">Every agentic decision should generate a structured, human-readable audit trail tied to the specific policy or billing pattern that triggered </w:t>
      </w:r>
      <w:r w:rsidR="008C6877" w:rsidRPr="004C39AF">
        <w:rPr>
          <w:rFonts w:ascii="Times New Roman" w:hAnsi="Times New Roman" w:cs="Times New Roman"/>
        </w:rPr>
        <w:t>it supporting</w:t>
      </w:r>
      <w:r w:rsidRPr="004C39AF">
        <w:rPr>
          <w:rFonts w:ascii="Times New Roman" w:hAnsi="Times New Roman" w:cs="Times New Roman"/>
        </w:rPr>
        <w:t xml:space="preserve"> both regulatory defensibility and provider-facing transparency.</w:t>
      </w:r>
    </w:p>
    <w:p w14:paraId="2D27213D" w14:textId="2FE17C78" w:rsidR="00BA3375" w:rsidRPr="004C39AF" w:rsidRDefault="00000000">
      <w:pPr>
        <w:pStyle w:val="ListParagraph"/>
        <w:numPr>
          <w:ilvl w:val="0"/>
          <w:numId w:val="2"/>
        </w:numPr>
        <w:spacing w:after="140" w:line="276" w:lineRule="auto"/>
        <w:rPr>
          <w:rFonts w:ascii="Times New Roman" w:hAnsi="Times New Roman" w:cs="Times New Roman"/>
        </w:rPr>
      </w:pPr>
      <w:r w:rsidRPr="004C39AF">
        <w:rPr>
          <w:rFonts w:ascii="Times New Roman" w:hAnsi="Times New Roman" w:cs="Times New Roman"/>
          <w:b/>
          <w:bCs/>
        </w:rPr>
        <w:t xml:space="preserve">Integrate agentic reasoning with the Edifecs interoperability layer. </w:t>
      </w:r>
      <w:r w:rsidRPr="004C39AF">
        <w:rPr>
          <w:rFonts w:ascii="Times New Roman" w:hAnsi="Times New Roman" w:cs="Times New Roman"/>
        </w:rPr>
        <w:t xml:space="preserve">Because Edifecs already centralizes claims, eligibility, and provider data, an agent’s first tool call could query that unified layer </w:t>
      </w:r>
      <w:proofErr w:type="gramStart"/>
      <w:r w:rsidRPr="004C39AF">
        <w:rPr>
          <w:rFonts w:ascii="Times New Roman" w:hAnsi="Times New Roman" w:cs="Times New Roman"/>
        </w:rPr>
        <w:t xml:space="preserve">directly </w:t>
      </w:r>
      <w:r w:rsidR="008C6877" w:rsidRPr="004C39AF">
        <w:rPr>
          <w:rFonts w:ascii="Times New Roman" w:hAnsi="Times New Roman" w:cs="Times New Roman"/>
        </w:rPr>
        <w:t>,</w:t>
      </w:r>
      <w:proofErr w:type="gramEnd"/>
      <w:r w:rsidRPr="004C39AF">
        <w:rPr>
          <w:rFonts w:ascii="Times New Roman" w:hAnsi="Times New Roman" w:cs="Times New Roman"/>
        </w:rPr>
        <w:t xml:space="preserve"> enabling pattern recognition across the full claims lifecycle rather than isolated, per-claim review.</w:t>
      </w:r>
    </w:p>
    <w:p w14:paraId="5132DC21" w14:textId="77777777" w:rsidR="00BA3375" w:rsidRPr="004C39AF" w:rsidRDefault="00000000">
      <w:pPr>
        <w:rPr>
          <w:rFonts w:ascii="Times New Roman" w:hAnsi="Times New Roman" w:cs="Times New Roman"/>
        </w:rPr>
      </w:pPr>
      <w:r w:rsidRPr="004C39AF">
        <w:rPr>
          <w:rFonts w:ascii="Times New Roman" w:hAnsi="Times New Roman" w:cs="Times New Roman"/>
        </w:rPr>
        <w:br w:type="page"/>
      </w:r>
    </w:p>
    <w:p w14:paraId="2733B5F5" w14:textId="77777777" w:rsidR="00BA3375" w:rsidRPr="004C39AF" w:rsidRDefault="00000000">
      <w:pPr>
        <w:pStyle w:val="Heading1"/>
        <w:rPr>
          <w:rFonts w:ascii="Times New Roman" w:hAnsi="Times New Roman" w:cs="Times New Roman"/>
          <w:color w:val="auto"/>
        </w:rPr>
      </w:pPr>
      <w:r w:rsidRPr="004C39AF">
        <w:rPr>
          <w:rFonts w:ascii="Times New Roman" w:hAnsi="Times New Roman" w:cs="Times New Roman"/>
          <w:color w:val="auto"/>
        </w:rPr>
        <w:lastRenderedPageBreak/>
        <w:t>References</w:t>
      </w:r>
    </w:p>
    <w:p w14:paraId="05D834ED" w14:textId="77777777" w:rsidR="00BA3375" w:rsidRPr="004C39AF" w:rsidRDefault="00000000">
      <w:pPr>
        <w:spacing w:after="200" w:line="276" w:lineRule="auto"/>
        <w:ind w:left="720" w:hanging="720"/>
        <w:rPr>
          <w:rFonts w:ascii="Times New Roman" w:hAnsi="Times New Roman" w:cs="Times New Roman"/>
        </w:rPr>
      </w:pPr>
      <w:r w:rsidRPr="004C39AF">
        <w:rPr>
          <w:rFonts w:ascii="Times New Roman" w:hAnsi="Times New Roman" w:cs="Times New Roman"/>
        </w:rPr>
        <w:t xml:space="preserve">Boston Consulting Group. (2026, March 10). </w:t>
      </w:r>
      <w:r w:rsidRPr="004C39AF">
        <w:rPr>
          <w:rFonts w:ascii="Times New Roman" w:hAnsi="Times New Roman" w:cs="Times New Roman"/>
          <w:i/>
          <w:iCs/>
        </w:rPr>
        <w:t>How AI agents and tech will transform health care in 2026</w:t>
      </w:r>
      <w:r w:rsidRPr="004C39AF">
        <w:rPr>
          <w:rFonts w:ascii="Times New Roman" w:hAnsi="Times New Roman" w:cs="Times New Roman"/>
        </w:rPr>
        <w:t xml:space="preserve">. </w:t>
      </w:r>
      <w:hyperlink r:id="rId7" w:history="1">
        <w:r w:rsidRPr="004C39AF">
          <w:rPr>
            <w:rStyle w:val="Hyperlink"/>
            <w:rFonts w:ascii="Times New Roman" w:hAnsi="Times New Roman" w:cs="Times New Roman"/>
          </w:rPr>
          <w:t>https://www.bcg.com/publications/2026/how-ai-agents-will-transform-health-care</w:t>
        </w:r>
      </w:hyperlink>
    </w:p>
    <w:p w14:paraId="52730F0F" w14:textId="77777777" w:rsidR="00BA3375" w:rsidRPr="004C39AF" w:rsidRDefault="00000000">
      <w:pPr>
        <w:spacing w:after="200" w:line="276" w:lineRule="auto"/>
        <w:ind w:left="720" w:hanging="720"/>
        <w:rPr>
          <w:rFonts w:ascii="Times New Roman" w:hAnsi="Times New Roman" w:cs="Times New Roman"/>
        </w:rPr>
      </w:pPr>
      <w:r w:rsidRPr="004C39AF">
        <w:rPr>
          <w:rFonts w:ascii="Times New Roman" w:hAnsi="Times New Roman" w:cs="Times New Roman"/>
        </w:rPr>
        <w:t xml:space="preserve">Cotiviti. (2025a, February 10). </w:t>
      </w:r>
      <w:r w:rsidRPr="004C39AF">
        <w:rPr>
          <w:rFonts w:ascii="Times New Roman" w:hAnsi="Times New Roman" w:cs="Times New Roman"/>
          <w:i/>
          <w:iCs/>
        </w:rPr>
        <w:t>Cotiviti announces agreement to acquire Edifecs</w:t>
      </w:r>
      <w:r w:rsidRPr="004C39AF">
        <w:rPr>
          <w:rFonts w:ascii="Times New Roman" w:hAnsi="Times New Roman" w:cs="Times New Roman"/>
        </w:rPr>
        <w:t xml:space="preserve"> [Press release]. </w:t>
      </w:r>
      <w:hyperlink r:id="rId8" w:history="1">
        <w:r w:rsidRPr="004C39AF">
          <w:rPr>
            <w:rStyle w:val="Hyperlink"/>
            <w:rFonts w:ascii="Times New Roman" w:hAnsi="Times New Roman" w:cs="Times New Roman"/>
          </w:rPr>
          <w:t>https://www.cotiviti.com/press-release/cotiviti-announces-agreement-to-acquire-edifecs</w:t>
        </w:r>
      </w:hyperlink>
    </w:p>
    <w:p w14:paraId="23159DAC" w14:textId="77777777" w:rsidR="00BA3375" w:rsidRPr="004C39AF" w:rsidRDefault="00000000">
      <w:pPr>
        <w:spacing w:after="200" w:line="276" w:lineRule="auto"/>
        <w:ind w:left="720" w:hanging="720"/>
        <w:rPr>
          <w:rFonts w:ascii="Times New Roman" w:hAnsi="Times New Roman" w:cs="Times New Roman"/>
        </w:rPr>
      </w:pPr>
      <w:r w:rsidRPr="004C39AF">
        <w:rPr>
          <w:rFonts w:ascii="Times New Roman" w:hAnsi="Times New Roman" w:cs="Times New Roman"/>
        </w:rPr>
        <w:t xml:space="preserve">Cotiviti. (2025b, March 31). </w:t>
      </w:r>
      <w:r w:rsidRPr="004C39AF">
        <w:rPr>
          <w:rFonts w:ascii="Times New Roman" w:hAnsi="Times New Roman" w:cs="Times New Roman"/>
          <w:i/>
          <w:iCs/>
        </w:rPr>
        <w:t>Cotiviti completes acquisition of Edifecs</w:t>
      </w:r>
      <w:r w:rsidRPr="004C39AF">
        <w:rPr>
          <w:rFonts w:ascii="Times New Roman" w:hAnsi="Times New Roman" w:cs="Times New Roman"/>
        </w:rPr>
        <w:t xml:space="preserve"> [Press release]. </w:t>
      </w:r>
      <w:hyperlink r:id="rId9" w:history="1">
        <w:r w:rsidRPr="004C39AF">
          <w:rPr>
            <w:rStyle w:val="Hyperlink"/>
            <w:rFonts w:ascii="Times New Roman" w:hAnsi="Times New Roman" w:cs="Times New Roman"/>
          </w:rPr>
          <w:t>https://www.cotiviti.com/press-release/cotiviti-completes-acquisition-of-edifecs</w:t>
        </w:r>
      </w:hyperlink>
    </w:p>
    <w:p w14:paraId="0F4EA68E" w14:textId="77777777" w:rsidR="00BA3375" w:rsidRPr="004C39AF" w:rsidRDefault="00000000">
      <w:pPr>
        <w:spacing w:after="200" w:line="276" w:lineRule="auto"/>
        <w:ind w:left="720" w:hanging="720"/>
        <w:rPr>
          <w:rFonts w:ascii="Times New Roman" w:hAnsi="Times New Roman" w:cs="Times New Roman"/>
        </w:rPr>
      </w:pPr>
      <w:r w:rsidRPr="004C39AF">
        <w:rPr>
          <w:rFonts w:ascii="Times New Roman" w:hAnsi="Times New Roman" w:cs="Times New Roman"/>
        </w:rPr>
        <w:t xml:space="preserve">Cotiviti. (2025c, May 12). </w:t>
      </w:r>
      <w:r w:rsidRPr="004C39AF">
        <w:rPr>
          <w:rFonts w:ascii="Times New Roman" w:hAnsi="Times New Roman" w:cs="Times New Roman"/>
          <w:i/>
          <w:iCs/>
        </w:rPr>
        <w:t>Cotiviti named highest-designated leader by Everest Group in the Payment Integrity Solutions PEAK Matrix Assessment 2025</w:t>
      </w:r>
      <w:r w:rsidRPr="004C39AF">
        <w:rPr>
          <w:rFonts w:ascii="Times New Roman" w:hAnsi="Times New Roman" w:cs="Times New Roman"/>
        </w:rPr>
        <w:t xml:space="preserve"> [Press release]. </w:t>
      </w:r>
      <w:hyperlink r:id="rId10" w:history="1">
        <w:r w:rsidRPr="004C39AF">
          <w:rPr>
            <w:rStyle w:val="Hyperlink"/>
            <w:rFonts w:ascii="Times New Roman" w:hAnsi="Times New Roman" w:cs="Times New Roman"/>
          </w:rPr>
          <w:t>https://www.cotiviti.com/press-release/cotiviti-named-highest-designated-leader-by-everest-group-in-payment-integrity-solutions-peak-matrix-assessment-2025</w:t>
        </w:r>
      </w:hyperlink>
    </w:p>
    <w:p w14:paraId="57584B9C" w14:textId="77777777" w:rsidR="00BA3375" w:rsidRPr="004C39AF" w:rsidRDefault="00000000">
      <w:pPr>
        <w:spacing w:after="200" w:line="276" w:lineRule="auto"/>
        <w:ind w:left="720" w:hanging="720"/>
        <w:rPr>
          <w:rFonts w:ascii="Times New Roman" w:hAnsi="Times New Roman" w:cs="Times New Roman"/>
        </w:rPr>
      </w:pPr>
      <w:r w:rsidRPr="004C39AF">
        <w:rPr>
          <w:rFonts w:ascii="Times New Roman" w:hAnsi="Times New Roman" w:cs="Times New Roman"/>
        </w:rPr>
        <w:t xml:space="preserve">Cotiviti. (2025d, November 5). </w:t>
      </w:r>
      <w:r w:rsidRPr="004C39AF">
        <w:rPr>
          <w:rFonts w:ascii="Times New Roman" w:hAnsi="Times New Roman" w:cs="Times New Roman"/>
          <w:i/>
          <w:iCs/>
        </w:rPr>
        <w:t>The practical landscape of AI in payment integrity and VBP</w:t>
      </w:r>
      <w:r w:rsidRPr="004C39AF">
        <w:rPr>
          <w:rFonts w:ascii="Times New Roman" w:hAnsi="Times New Roman" w:cs="Times New Roman"/>
        </w:rPr>
        <w:t xml:space="preserve">. </w:t>
      </w:r>
      <w:hyperlink r:id="rId11" w:history="1">
        <w:r w:rsidRPr="004C39AF">
          <w:rPr>
            <w:rStyle w:val="Hyperlink"/>
            <w:rFonts w:ascii="Times New Roman" w:hAnsi="Times New Roman" w:cs="Times New Roman"/>
          </w:rPr>
          <w:t>https://resources.cotiviti.com/payment-integrity/the-practical-landscape-of-ai-in-payment-integrity-and-vbp</w:t>
        </w:r>
      </w:hyperlink>
    </w:p>
    <w:p w14:paraId="71597816" w14:textId="77777777" w:rsidR="00BA3375" w:rsidRPr="004C39AF" w:rsidRDefault="00000000">
      <w:pPr>
        <w:spacing w:after="200" w:line="276" w:lineRule="auto"/>
        <w:ind w:left="720" w:hanging="720"/>
        <w:rPr>
          <w:rFonts w:ascii="Times New Roman" w:hAnsi="Times New Roman" w:cs="Times New Roman"/>
        </w:rPr>
      </w:pPr>
      <w:r w:rsidRPr="004C39AF">
        <w:rPr>
          <w:rFonts w:ascii="Times New Roman" w:hAnsi="Times New Roman" w:cs="Times New Roman"/>
        </w:rPr>
        <w:t xml:space="preserve">Deloitte Insights. (2026, April 16). </w:t>
      </w:r>
      <w:r w:rsidRPr="004C39AF">
        <w:rPr>
          <w:rFonts w:ascii="Times New Roman" w:hAnsi="Times New Roman" w:cs="Times New Roman"/>
          <w:i/>
          <w:iCs/>
        </w:rPr>
        <w:t>Many health care leaders are leaning into agentic AI as adoption hurdles ease</w:t>
      </w:r>
      <w:r w:rsidRPr="004C39AF">
        <w:rPr>
          <w:rFonts w:ascii="Times New Roman" w:hAnsi="Times New Roman" w:cs="Times New Roman"/>
        </w:rPr>
        <w:t xml:space="preserve">. </w:t>
      </w:r>
      <w:hyperlink r:id="rId12" w:history="1">
        <w:r w:rsidRPr="004C39AF">
          <w:rPr>
            <w:rStyle w:val="Hyperlink"/>
            <w:rFonts w:ascii="Times New Roman" w:hAnsi="Times New Roman" w:cs="Times New Roman"/>
          </w:rPr>
          <w:t>https://www.deloitte.com/us/en/insights/industry/health-care/agentic-ai-health-care-operating-model-change.html</w:t>
        </w:r>
      </w:hyperlink>
    </w:p>
    <w:p w14:paraId="1060CAB9" w14:textId="77777777" w:rsidR="00BA3375" w:rsidRPr="004C39AF" w:rsidRDefault="00000000">
      <w:pPr>
        <w:spacing w:after="200" w:line="276" w:lineRule="auto"/>
        <w:ind w:left="720" w:hanging="720"/>
        <w:rPr>
          <w:rFonts w:ascii="Times New Roman" w:hAnsi="Times New Roman" w:cs="Times New Roman"/>
        </w:rPr>
      </w:pPr>
      <w:r w:rsidRPr="004C39AF">
        <w:rPr>
          <w:rFonts w:ascii="Times New Roman" w:hAnsi="Times New Roman" w:cs="Times New Roman"/>
        </w:rPr>
        <w:t xml:space="preserve">HealthVerity. (2025, December 29). </w:t>
      </w:r>
      <w:r w:rsidRPr="004C39AF">
        <w:rPr>
          <w:rFonts w:ascii="Times New Roman" w:hAnsi="Times New Roman" w:cs="Times New Roman"/>
          <w:i/>
          <w:iCs/>
        </w:rPr>
        <w:t>AI trends shaping healthcare in 2026: Agentic, physical &amp; sovereign AI</w:t>
      </w:r>
      <w:r w:rsidRPr="004C39AF">
        <w:rPr>
          <w:rFonts w:ascii="Times New Roman" w:hAnsi="Times New Roman" w:cs="Times New Roman"/>
        </w:rPr>
        <w:t xml:space="preserve">. </w:t>
      </w:r>
      <w:hyperlink r:id="rId13" w:history="1">
        <w:r w:rsidRPr="004C39AF">
          <w:rPr>
            <w:rStyle w:val="Hyperlink"/>
            <w:rFonts w:ascii="Times New Roman" w:hAnsi="Times New Roman" w:cs="Times New Roman"/>
          </w:rPr>
          <w:t>https://blog.healthverity.com/ai-trends-shaping-healthcare-in-2026-</w:t>
        </w:r>
        <w:r w:rsidRPr="004C39AF">
          <w:rPr>
            <w:rStyle w:val="Hyperlink"/>
            <w:rFonts w:ascii="Times New Roman" w:hAnsi="Times New Roman" w:cs="Times New Roman"/>
          </w:rPr>
          <w:t>a</w:t>
        </w:r>
        <w:r w:rsidRPr="004C39AF">
          <w:rPr>
            <w:rStyle w:val="Hyperlink"/>
            <w:rFonts w:ascii="Times New Roman" w:hAnsi="Times New Roman" w:cs="Times New Roman"/>
          </w:rPr>
          <w:t>gentic-physical-sovereign-ai</w:t>
        </w:r>
      </w:hyperlink>
    </w:p>
    <w:p w14:paraId="6C4DCFE1" w14:textId="77777777" w:rsidR="00BA3375" w:rsidRPr="004C39AF" w:rsidRDefault="00000000">
      <w:pPr>
        <w:spacing w:after="200" w:line="276" w:lineRule="auto"/>
        <w:ind w:left="720" w:hanging="720"/>
        <w:rPr>
          <w:rFonts w:ascii="Times New Roman" w:hAnsi="Times New Roman" w:cs="Times New Roman"/>
        </w:rPr>
      </w:pPr>
      <w:r w:rsidRPr="004C39AF">
        <w:rPr>
          <w:rFonts w:ascii="Times New Roman" w:hAnsi="Times New Roman" w:cs="Times New Roman"/>
        </w:rPr>
        <w:t xml:space="preserve">Milliman. (2025, March 31). </w:t>
      </w:r>
      <w:r w:rsidRPr="004C39AF">
        <w:rPr>
          <w:rFonts w:ascii="Times New Roman" w:hAnsi="Times New Roman" w:cs="Times New Roman"/>
          <w:i/>
          <w:iCs/>
        </w:rPr>
        <w:t>How effective claims auditing can save healthcare dollars lost to fraud, waste, and abuse</w:t>
      </w:r>
      <w:r w:rsidRPr="004C39AF">
        <w:rPr>
          <w:rFonts w:ascii="Times New Roman" w:hAnsi="Times New Roman" w:cs="Times New Roman"/>
        </w:rPr>
        <w:t xml:space="preserve">. </w:t>
      </w:r>
      <w:hyperlink r:id="rId14" w:history="1">
        <w:r w:rsidRPr="004C39AF">
          <w:rPr>
            <w:rStyle w:val="Hyperlink"/>
            <w:rFonts w:ascii="Times New Roman" w:hAnsi="Times New Roman" w:cs="Times New Roman"/>
          </w:rPr>
          <w:t>https://www.milliman.com/en/insight/effective-claims-auditing-healthcare-fraud-waste-abuse</w:t>
        </w:r>
      </w:hyperlink>
    </w:p>
    <w:p w14:paraId="002CDF2E" w14:textId="77777777" w:rsidR="00BA3375" w:rsidRPr="004C39AF" w:rsidRDefault="00000000">
      <w:pPr>
        <w:spacing w:after="200" w:line="276" w:lineRule="auto"/>
        <w:ind w:left="720" w:hanging="720"/>
        <w:rPr>
          <w:rFonts w:ascii="Times New Roman" w:hAnsi="Times New Roman" w:cs="Times New Roman"/>
        </w:rPr>
      </w:pPr>
      <w:r w:rsidRPr="004C39AF">
        <w:rPr>
          <w:rFonts w:ascii="Times New Roman" w:hAnsi="Times New Roman" w:cs="Times New Roman"/>
        </w:rPr>
        <w:t xml:space="preserve">National Health Care Anti-Fraud Association. (2025). </w:t>
      </w:r>
      <w:r w:rsidRPr="004C39AF">
        <w:rPr>
          <w:rFonts w:ascii="Times New Roman" w:hAnsi="Times New Roman" w:cs="Times New Roman"/>
          <w:i/>
          <w:iCs/>
        </w:rPr>
        <w:t>The challenge of health care fraud</w:t>
      </w:r>
      <w:r w:rsidRPr="004C39AF">
        <w:rPr>
          <w:rFonts w:ascii="Times New Roman" w:hAnsi="Times New Roman" w:cs="Times New Roman"/>
        </w:rPr>
        <w:t xml:space="preserve">. </w:t>
      </w:r>
      <w:hyperlink r:id="rId15" w:history="1">
        <w:r w:rsidRPr="004C39AF">
          <w:rPr>
            <w:rStyle w:val="Hyperlink"/>
            <w:rFonts w:ascii="Times New Roman" w:hAnsi="Times New Roman" w:cs="Times New Roman"/>
          </w:rPr>
          <w:t>https://www.nhcaa.org/tools-insights/about-health-care-fraud/the-challenge-of-health-care-fraud/</w:t>
        </w:r>
      </w:hyperlink>
    </w:p>
    <w:p w14:paraId="547AA5AD" w14:textId="77777777" w:rsidR="00BA3375" w:rsidRPr="004C39AF" w:rsidRDefault="00000000">
      <w:pPr>
        <w:spacing w:after="200" w:line="276" w:lineRule="auto"/>
        <w:ind w:left="720" w:hanging="720"/>
        <w:rPr>
          <w:rFonts w:ascii="Times New Roman" w:hAnsi="Times New Roman" w:cs="Times New Roman"/>
        </w:rPr>
      </w:pPr>
      <w:r w:rsidRPr="004C39AF">
        <w:rPr>
          <w:rFonts w:ascii="Times New Roman" w:hAnsi="Times New Roman" w:cs="Times New Roman"/>
        </w:rPr>
        <w:t xml:space="preserve">Philips. (2026, April 30). </w:t>
      </w:r>
      <w:r w:rsidRPr="004C39AF">
        <w:rPr>
          <w:rFonts w:ascii="Times New Roman" w:hAnsi="Times New Roman" w:cs="Times New Roman"/>
          <w:i/>
          <w:iCs/>
        </w:rPr>
        <w:t>Emerging healthcare AI trends in 2026 so far</w:t>
      </w:r>
      <w:r w:rsidRPr="004C39AF">
        <w:rPr>
          <w:rFonts w:ascii="Times New Roman" w:hAnsi="Times New Roman" w:cs="Times New Roman"/>
        </w:rPr>
        <w:t xml:space="preserve">. </w:t>
      </w:r>
      <w:hyperlink r:id="rId16" w:history="1">
        <w:r w:rsidRPr="004C39AF">
          <w:rPr>
            <w:rStyle w:val="Hyperlink"/>
            <w:rFonts w:ascii="Times New Roman" w:hAnsi="Times New Roman" w:cs="Times New Roman"/>
          </w:rPr>
          <w:t>https://www.philips.com/a-w/about/news/archive/features/2026/this-years-emerging-trends-in-healthcare-ai-so-far.html</w:t>
        </w:r>
      </w:hyperlink>
    </w:p>
    <w:sectPr w:rsidR="00BA3375" w:rsidRPr="004C39AF">
      <w:headerReference w:type="default" r:id="rId17"/>
      <w:footerReference w:type="default" r:id="rId1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1FD4B" w14:textId="77777777" w:rsidR="009370ED" w:rsidRDefault="009370ED">
      <w:r>
        <w:separator/>
      </w:r>
    </w:p>
  </w:endnote>
  <w:endnote w:type="continuationSeparator" w:id="0">
    <w:p w14:paraId="4A3CDB64" w14:textId="77777777" w:rsidR="009370ED" w:rsidRDefault="00937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78C5D" w14:textId="77777777" w:rsidR="00BA3375" w:rsidRDefault="00000000">
    <w:pPr>
      <w:jc w:val="center"/>
    </w:pPr>
    <w:r>
      <w:rPr>
        <w:color w:val="8A8A86"/>
        <w:sz w:val="16"/>
        <w:szCs w:val="16"/>
      </w:rPr>
      <w:t xml:space="preserve">Page </w:t>
    </w:r>
    <w:r>
      <w:rPr>
        <w:color w:val="8A8A86"/>
        <w:sz w:val="16"/>
        <w:szCs w:val="16"/>
      </w:rPr>
      <w:fldChar w:fldCharType="begin"/>
    </w:r>
    <w:r>
      <w:rPr>
        <w:color w:val="8A8A86"/>
        <w:sz w:val="16"/>
        <w:szCs w:val="16"/>
      </w:rPr>
      <w:instrText>PAGE</w:instrText>
    </w:r>
    <w:r>
      <w:rPr>
        <w:color w:val="8A8A86"/>
        <w:sz w:val="16"/>
        <w:szCs w:val="16"/>
      </w:rPr>
      <w:fldChar w:fldCharType="separate"/>
    </w:r>
    <w:r w:rsidR="008E0D3D">
      <w:rPr>
        <w:noProof/>
        <w:color w:val="8A8A86"/>
        <w:sz w:val="16"/>
        <w:szCs w:val="16"/>
      </w:rPr>
      <w:t>1</w:t>
    </w:r>
    <w:r>
      <w:rPr>
        <w:color w:val="8A8A8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E7C84" w14:textId="77777777" w:rsidR="009370ED" w:rsidRDefault="009370ED">
      <w:r>
        <w:separator/>
      </w:r>
    </w:p>
  </w:footnote>
  <w:footnote w:type="continuationSeparator" w:id="0">
    <w:p w14:paraId="03FEDC8F" w14:textId="77777777" w:rsidR="009370ED" w:rsidRDefault="009370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A539" w14:textId="17B53875" w:rsidR="00BA3375" w:rsidRPr="00FD31CD" w:rsidRDefault="00341F1B">
    <w:pPr>
      <w:jc w:val="right"/>
      <w:rPr>
        <w:rFonts w:ascii="Times New Roman" w:hAnsi="Times New Roman" w:cs="Times New Roman"/>
      </w:rPr>
    </w:pPr>
    <w:r w:rsidRPr="00FD31CD">
      <w:rPr>
        <w:rFonts w:ascii="Times New Roman" w:hAnsi="Times New Roman" w:cs="Times New Roman"/>
        <w:color w:val="8A8A86"/>
        <w:sz w:val="16"/>
        <w:szCs w:val="16"/>
      </w:rPr>
      <w:t xml:space="preserve">Nandika Taneja </w:t>
    </w:r>
    <w:r w:rsidR="00000000" w:rsidRPr="00FD31CD">
      <w:rPr>
        <w:rFonts w:ascii="Times New Roman" w:hAnsi="Times New Roman" w:cs="Times New Roman"/>
        <w:color w:val="8A8A86"/>
        <w:sz w:val="16"/>
        <w:szCs w:val="16"/>
      </w:rPr>
      <w:t>Cotiviti Intern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221BC"/>
    <w:multiLevelType w:val="hybridMultilevel"/>
    <w:tmpl w:val="9E48CD7A"/>
    <w:lvl w:ilvl="0" w:tplc="7CF68006">
      <w:start w:val="1"/>
      <w:numFmt w:val="decimal"/>
      <w:lvlText w:val="%1."/>
      <w:lvlJc w:val="left"/>
      <w:pPr>
        <w:ind w:left="540" w:hanging="360"/>
      </w:pPr>
    </w:lvl>
    <w:lvl w:ilvl="1" w:tplc="F2CC190C">
      <w:numFmt w:val="decimal"/>
      <w:lvlText w:val=""/>
      <w:lvlJc w:val="left"/>
    </w:lvl>
    <w:lvl w:ilvl="2" w:tplc="3E00E024">
      <w:numFmt w:val="decimal"/>
      <w:lvlText w:val=""/>
      <w:lvlJc w:val="left"/>
    </w:lvl>
    <w:lvl w:ilvl="3" w:tplc="4560FAB4">
      <w:numFmt w:val="decimal"/>
      <w:lvlText w:val=""/>
      <w:lvlJc w:val="left"/>
    </w:lvl>
    <w:lvl w:ilvl="4" w:tplc="62E41E64">
      <w:numFmt w:val="decimal"/>
      <w:lvlText w:val=""/>
      <w:lvlJc w:val="left"/>
    </w:lvl>
    <w:lvl w:ilvl="5" w:tplc="28465F1A">
      <w:numFmt w:val="decimal"/>
      <w:lvlText w:val=""/>
      <w:lvlJc w:val="left"/>
    </w:lvl>
    <w:lvl w:ilvl="6" w:tplc="CE0AF25A">
      <w:numFmt w:val="decimal"/>
      <w:lvlText w:val=""/>
      <w:lvlJc w:val="left"/>
    </w:lvl>
    <w:lvl w:ilvl="7" w:tplc="2B04923A">
      <w:numFmt w:val="decimal"/>
      <w:lvlText w:val=""/>
      <w:lvlJc w:val="left"/>
    </w:lvl>
    <w:lvl w:ilvl="8" w:tplc="5DE46532">
      <w:numFmt w:val="decimal"/>
      <w:lvlText w:val=""/>
      <w:lvlJc w:val="left"/>
    </w:lvl>
  </w:abstractNum>
  <w:abstractNum w:abstractNumId="1" w15:restartNumberingAfterBreak="0">
    <w:nsid w:val="43AC5ECC"/>
    <w:multiLevelType w:val="hybridMultilevel"/>
    <w:tmpl w:val="EB7EC33A"/>
    <w:lvl w:ilvl="0" w:tplc="23C0E6B2">
      <w:start w:val="1"/>
      <w:numFmt w:val="bullet"/>
      <w:lvlText w:val="●"/>
      <w:lvlJc w:val="left"/>
      <w:pPr>
        <w:ind w:left="720" w:hanging="360"/>
      </w:pPr>
    </w:lvl>
    <w:lvl w:ilvl="1" w:tplc="C1BAB5FA">
      <w:start w:val="1"/>
      <w:numFmt w:val="bullet"/>
      <w:lvlText w:val="○"/>
      <w:lvlJc w:val="left"/>
      <w:pPr>
        <w:ind w:left="1440" w:hanging="360"/>
      </w:pPr>
    </w:lvl>
    <w:lvl w:ilvl="2" w:tplc="B47CA016">
      <w:start w:val="1"/>
      <w:numFmt w:val="bullet"/>
      <w:lvlText w:val="■"/>
      <w:lvlJc w:val="left"/>
      <w:pPr>
        <w:ind w:left="2160" w:hanging="360"/>
      </w:pPr>
    </w:lvl>
    <w:lvl w:ilvl="3" w:tplc="DC34520C">
      <w:start w:val="1"/>
      <w:numFmt w:val="bullet"/>
      <w:lvlText w:val="●"/>
      <w:lvlJc w:val="left"/>
      <w:pPr>
        <w:ind w:left="2880" w:hanging="360"/>
      </w:pPr>
    </w:lvl>
    <w:lvl w:ilvl="4" w:tplc="1A0CB712">
      <w:start w:val="1"/>
      <w:numFmt w:val="bullet"/>
      <w:lvlText w:val="○"/>
      <w:lvlJc w:val="left"/>
      <w:pPr>
        <w:ind w:left="3600" w:hanging="360"/>
      </w:pPr>
    </w:lvl>
    <w:lvl w:ilvl="5" w:tplc="D716EE00">
      <w:start w:val="1"/>
      <w:numFmt w:val="bullet"/>
      <w:lvlText w:val="■"/>
      <w:lvlJc w:val="left"/>
      <w:pPr>
        <w:ind w:left="4320" w:hanging="360"/>
      </w:pPr>
    </w:lvl>
    <w:lvl w:ilvl="6" w:tplc="331E78E2">
      <w:start w:val="1"/>
      <w:numFmt w:val="bullet"/>
      <w:lvlText w:val="●"/>
      <w:lvlJc w:val="left"/>
      <w:pPr>
        <w:ind w:left="5040" w:hanging="360"/>
      </w:pPr>
    </w:lvl>
    <w:lvl w:ilvl="7" w:tplc="0004D312">
      <w:start w:val="1"/>
      <w:numFmt w:val="bullet"/>
      <w:lvlText w:val="●"/>
      <w:lvlJc w:val="left"/>
      <w:pPr>
        <w:ind w:left="5760" w:hanging="360"/>
      </w:pPr>
    </w:lvl>
    <w:lvl w:ilvl="8" w:tplc="109807F0">
      <w:start w:val="1"/>
      <w:numFmt w:val="bullet"/>
      <w:lvlText w:val="●"/>
      <w:lvlJc w:val="left"/>
      <w:pPr>
        <w:ind w:left="6480" w:hanging="360"/>
      </w:pPr>
    </w:lvl>
  </w:abstractNum>
  <w:num w:numId="1" w16cid:durableId="1081635591">
    <w:abstractNumId w:val="1"/>
    <w:lvlOverride w:ilvl="0">
      <w:startOverride w:val="1"/>
    </w:lvlOverride>
  </w:num>
  <w:num w:numId="2" w16cid:durableId="9768812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375"/>
    <w:rsid w:val="000F58B2"/>
    <w:rsid w:val="002E5AB9"/>
    <w:rsid w:val="00341F1B"/>
    <w:rsid w:val="004C39AF"/>
    <w:rsid w:val="006A66AA"/>
    <w:rsid w:val="008C6877"/>
    <w:rsid w:val="008E0D3D"/>
    <w:rsid w:val="009370ED"/>
    <w:rsid w:val="00A565CE"/>
    <w:rsid w:val="00BA3375"/>
    <w:rsid w:val="00FD31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D51C6"/>
  <w15:docId w15:val="{135BC1AD-72E6-481D-AD78-34BC6A678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E1B4B"/>
      <w:sz w:val="28"/>
      <w:szCs w:val="28"/>
    </w:rPr>
  </w:style>
  <w:style w:type="paragraph" w:styleId="Heading2">
    <w:name w:val="heading 2"/>
    <w:uiPriority w:val="9"/>
    <w:unhideWhenUsed/>
    <w:qFormat/>
    <w:pPr>
      <w:spacing w:before="220" w:after="120"/>
      <w:outlineLvl w:val="1"/>
    </w:pPr>
    <w:rPr>
      <w:b/>
      <w:bCs/>
      <w:color w:val="1E1B4B"/>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Style">
    <w:name w:val="Title Style"/>
    <w:qFormat/>
    <w:pPr>
      <w:spacing w:after="60"/>
    </w:pPr>
    <w:rPr>
      <w:b/>
      <w:bCs/>
      <w:color w:val="1E1B4B"/>
      <w:sz w:val="36"/>
      <w:szCs w:val="36"/>
    </w:rPr>
  </w:style>
  <w:style w:type="paragraph" w:styleId="Subtitle">
    <w:name w:val="Subtitle"/>
    <w:uiPriority w:val="11"/>
    <w:qFormat/>
    <w:pPr>
      <w:spacing w:after="280"/>
    </w:pPr>
    <w:rPr>
      <w:i/>
      <w:iCs/>
      <w:color w:val="44403C"/>
      <w:sz w:val="22"/>
      <w:szCs w:val="22"/>
    </w:rPr>
  </w:style>
  <w:style w:type="paragraph" w:styleId="Header">
    <w:name w:val="header"/>
    <w:basedOn w:val="Normal"/>
    <w:link w:val="HeaderChar"/>
    <w:uiPriority w:val="99"/>
    <w:unhideWhenUsed/>
    <w:rsid w:val="008E0D3D"/>
    <w:pPr>
      <w:tabs>
        <w:tab w:val="center" w:pos="4513"/>
        <w:tab w:val="right" w:pos="9026"/>
      </w:tabs>
    </w:pPr>
  </w:style>
  <w:style w:type="character" w:customStyle="1" w:styleId="HeaderChar">
    <w:name w:val="Header Char"/>
    <w:basedOn w:val="DefaultParagraphFont"/>
    <w:link w:val="Header"/>
    <w:uiPriority w:val="99"/>
    <w:rsid w:val="008E0D3D"/>
  </w:style>
  <w:style w:type="paragraph" w:styleId="Footer">
    <w:name w:val="footer"/>
    <w:basedOn w:val="Normal"/>
    <w:link w:val="FooterChar"/>
    <w:uiPriority w:val="99"/>
    <w:unhideWhenUsed/>
    <w:rsid w:val="008E0D3D"/>
    <w:pPr>
      <w:tabs>
        <w:tab w:val="center" w:pos="4513"/>
        <w:tab w:val="right" w:pos="9026"/>
      </w:tabs>
    </w:pPr>
  </w:style>
  <w:style w:type="character" w:customStyle="1" w:styleId="FooterChar">
    <w:name w:val="Footer Char"/>
    <w:basedOn w:val="DefaultParagraphFont"/>
    <w:link w:val="Footer"/>
    <w:uiPriority w:val="99"/>
    <w:rsid w:val="008E0D3D"/>
  </w:style>
  <w:style w:type="character" w:styleId="FollowedHyperlink">
    <w:name w:val="FollowedHyperlink"/>
    <w:basedOn w:val="DefaultParagraphFont"/>
    <w:uiPriority w:val="99"/>
    <w:semiHidden/>
    <w:unhideWhenUsed/>
    <w:rsid w:val="008C68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otiviti.com/press-release/cotiviti-announces-agreement-to-acquire-edifecs" TargetMode="External"/><Relationship Id="rId13" Type="http://schemas.openxmlformats.org/officeDocument/2006/relationships/hyperlink" Target="https://blog.healthverity.com/ai-trends-shaping-healthcare-in-2026-agentic-physical-sovereign-ai"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bcg.com/publications/2026/how-ai-agents-will-transform-health-care" TargetMode="External"/><Relationship Id="rId12" Type="http://schemas.openxmlformats.org/officeDocument/2006/relationships/hyperlink" Target="https://www.deloitte.com/us/en/insights/industry/health-care/agentic-ai-health-care-operating-model-change.html"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philips.com/a-w/about/news/archive/features/2026/this-years-emerging-trends-in-healthcare-ai-so-far.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sources.cotiviti.com/payment-integrity/the-practical-landscape-of-ai-in-payment-integrity-and-vbp" TargetMode="External"/><Relationship Id="rId5" Type="http://schemas.openxmlformats.org/officeDocument/2006/relationships/footnotes" Target="footnotes.xml"/><Relationship Id="rId15" Type="http://schemas.openxmlformats.org/officeDocument/2006/relationships/hyperlink" Target="https://www.nhcaa.org/tools-insights/about-health-care-fraud/the-challenge-of-health-care-fraud/" TargetMode="External"/><Relationship Id="rId10" Type="http://schemas.openxmlformats.org/officeDocument/2006/relationships/hyperlink" Target="https://www.cotiviti.com/press-release/cotiviti-named-highest-designated-leader-by-everest-group-in-payment-integrity-solutions-peak-matrix-assessment-2025"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tiviti.com/press-release/cotiviti-completes-acquisition-of-edifecs" TargetMode="External"/><Relationship Id="rId14" Type="http://schemas.openxmlformats.org/officeDocument/2006/relationships/hyperlink" Target="https://www.milliman.com/en/insight/effective-claims-auditing-healthcare-fraud-waste-ab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3</Pages>
  <Words>1238</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regular</cp:lastModifiedBy>
  <cp:revision>4</cp:revision>
  <dcterms:created xsi:type="dcterms:W3CDTF">2026-06-30T07:06:00Z</dcterms:created>
  <dcterms:modified xsi:type="dcterms:W3CDTF">2026-06-30T21:25:00Z</dcterms:modified>
</cp:coreProperties>
</file>