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126CF" w14:textId="6148E87A" w:rsidR="00EC2029" w:rsidRPr="003E7874" w:rsidRDefault="003E7874" w:rsidP="003E7874">
      <w:pPr>
        <w:pStyle w:val="ListParagraph"/>
        <w:numPr>
          <w:ilvl w:val="0"/>
          <w:numId w:val="1"/>
        </w:numPr>
        <w:rPr>
          <w:rFonts w:ascii="Garamond" w:hAnsi="Garamond"/>
          <w:b/>
          <w:bCs/>
        </w:rPr>
      </w:pPr>
      <w:r w:rsidRPr="003E7874">
        <w:rPr>
          <w:rFonts w:ascii="Garamond" w:hAnsi="Garamond"/>
          <w:b/>
          <w:bCs/>
        </w:rPr>
        <w:t>Research Methods Homework 3 Assignment</w:t>
      </w:r>
    </w:p>
    <w:p w14:paraId="450B7F84" w14:textId="0998A246" w:rsidR="003E7874" w:rsidRPr="003E7874" w:rsidRDefault="003E7874" w:rsidP="003E7874">
      <w:pPr>
        <w:rPr>
          <w:rFonts w:ascii="Garamond" w:hAnsi="Garamond"/>
          <w:b/>
          <w:bCs/>
        </w:rPr>
      </w:pPr>
    </w:p>
    <w:p w14:paraId="3F960CDB" w14:textId="7E7E3C3E" w:rsidR="003E7874" w:rsidRDefault="003E7874" w:rsidP="003E7874">
      <w:pPr>
        <w:rPr>
          <w:rFonts w:ascii="Garamond" w:hAnsi="Garamond"/>
          <w:u w:val="single"/>
        </w:rPr>
      </w:pPr>
      <w:r w:rsidRPr="003E7874">
        <w:rPr>
          <w:rFonts w:ascii="Garamond" w:hAnsi="Garamond"/>
          <w:u w:val="single"/>
        </w:rPr>
        <w:t>Balance Table to compare Treatment and Control Groups</w:t>
      </w:r>
    </w:p>
    <w:p w14:paraId="4BDA008C" w14:textId="0553D59A" w:rsidR="003E7874" w:rsidRDefault="003E7874" w:rsidP="003E7874">
      <w:pPr>
        <w:rPr>
          <w:rFonts w:ascii="Garamond" w:hAnsi="Garamond"/>
          <w:u w:val="single"/>
        </w:rPr>
      </w:pPr>
    </w:p>
    <w:p w14:paraId="7C362725" w14:textId="715B374D" w:rsidR="003E7874" w:rsidRPr="003E7874" w:rsidRDefault="003E7874" w:rsidP="00E41959">
      <w:pPr>
        <w:spacing w:line="360" w:lineRule="auto"/>
        <w:jc w:val="both"/>
        <w:rPr>
          <w:rFonts w:ascii="Garamond" w:hAnsi="Garamond"/>
        </w:rPr>
      </w:pPr>
      <w:r>
        <w:rPr>
          <w:rFonts w:ascii="Garamond" w:hAnsi="Garamond"/>
        </w:rPr>
        <w:t>The treatment here is that the college is “ranked”. The control group consists of colleges that are not ranked, and we wish to compare these two groups on the three available observable characteristics.</w:t>
      </w:r>
    </w:p>
    <w:p w14:paraId="18B49413" w14:textId="62A158C5" w:rsidR="003E7874" w:rsidRPr="003E7874" w:rsidRDefault="003E7874" w:rsidP="003E7874">
      <w:pPr>
        <w:rPr>
          <w:rFonts w:ascii="Garamond" w:hAnsi="Garamond"/>
        </w:rPr>
      </w:pPr>
    </w:p>
    <w:tbl>
      <w:tblPr>
        <w:tblW w:w="9792" w:type="dxa"/>
        <w:tblInd w:w="-118" w:type="dxa"/>
        <w:tblLayout w:type="fixed"/>
        <w:tblLook w:val="0000" w:firstRow="0" w:lastRow="0" w:firstColumn="0" w:lastColumn="0" w:noHBand="0" w:noVBand="0"/>
      </w:tblPr>
      <w:tblGrid>
        <w:gridCol w:w="3312"/>
        <w:gridCol w:w="2160"/>
        <w:gridCol w:w="2160"/>
        <w:gridCol w:w="2160"/>
      </w:tblGrid>
      <w:tr w:rsidR="003E7874" w:rsidRPr="003E7874" w14:paraId="705CE9DD" w14:textId="77777777" w:rsidTr="003E7874">
        <w:tblPrEx>
          <w:tblCellMar>
            <w:top w:w="0" w:type="dxa"/>
            <w:bottom w:w="0" w:type="dxa"/>
          </w:tblCellMar>
        </w:tblPrEx>
        <w:tc>
          <w:tcPr>
            <w:tcW w:w="3312" w:type="dxa"/>
            <w:tcBorders>
              <w:top w:val="single" w:sz="4" w:space="0" w:color="BFBFBF" w:themeColor="background1" w:themeShade="BF"/>
              <w:left w:val="single" w:sz="4" w:space="0" w:color="BFBFBF" w:themeColor="background1" w:themeShade="BF"/>
              <w:right w:val="single" w:sz="4" w:space="0" w:color="BFBFBF" w:themeColor="background1" w:themeShade="BF"/>
            </w:tcBorders>
            <w:tcMar>
              <w:top w:w="100" w:type="nil"/>
              <w:right w:w="100" w:type="nil"/>
            </w:tcMar>
            <w:vAlign w:val="center"/>
          </w:tcPr>
          <w:p w14:paraId="2814E688" w14:textId="77777777" w:rsidR="003E7874" w:rsidRDefault="003E7874" w:rsidP="003E7874">
            <w:pPr>
              <w:autoSpaceDE w:val="0"/>
              <w:autoSpaceDN w:val="0"/>
              <w:adjustRightInd w:val="0"/>
              <w:rPr>
                <w:rFonts w:ascii="Garamond" w:hAnsi="Garamond"/>
              </w:rPr>
            </w:pPr>
          </w:p>
        </w:tc>
        <w:tc>
          <w:tcPr>
            <w:tcW w:w="2160" w:type="dxa"/>
            <w:tcBorders>
              <w:top w:val="single" w:sz="4" w:space="0" w:color="BFBFBF" w:themeColor="background1" w:themeShade="BF"/>
              <w:left w:val="single" w:sz="4" w:space="0" w:color="BFBFBF" w:themeColor="background1" w:themeShade="BF"/>
              <w:right w:val="single" w:sz="4" w:space="0" w:color="BFBFBF" w:themeColor="background1" w:themeShade="BF"/>
            </w:tcBorders>
            <w:tcMar>
              <w:top w:w="100" w:type="nil"/>
              <w:right w:w="100" w:type="nil"/>
            </w:tcMar>
            <w:vAlign w:val="center"/>
          </w:tcPr>
          <w:p w14:paraId="44DCB491" w14:textId="1B249569" w:rsidR="003E7874" w:rsidRPr="003E7874" w:rsidRDefault="003E7874" w:rsidP="003E7874">
            <w:pPr>
              <w:autoSpaceDE w:val="0"/>
              <w:autoSpaceDN w:val="0"/>
              <w:adjustRightInd w:val="0"/>
              <w:jc w:val="center"/>
              <w:rPr>
                <w:rFonts w:ascii="Garamond" w:hAnsi="Garamond"/>
                <w:b/>
                <w:bCs/>
              </w:rPr>
            </w:pPr>
            <w:r w:rsidRPr="003E7874">
              <w:rPr>
                <w:rFonts w:ascii="Garamond" w:hAnsi="Garamond"/>
                <w:b/>
                <w:bCs/>
              </w:rPr>
              <w:t>Control (Unranked)</w:t>
            </w:r>
          </w:p>
        </w:tc>
        <w:tc>
          <w:tcPr>
            <w:tcW w:w="2160" w:type="dxa"/>
            <w:tcBorders>
              <w:top w:val="single" w:sz="4" w:space="0" w:color="BFBFBF" w:themeColor="background1" w:themeShade="BF"/>
              <w:left w:val="single" w:sz="4" w:space="0" w:color="BFBFBF" w:themeColor="background1" w:themeShade="BF"/>
              <w:right w:val="single" w:sz="4" w:space="0" w:color="BFBFBF" w:themeColor="background1" w:themeShade="BF"/>
            </w:tcBorders>
            <w:tcMar>
              <w:top w:w="100" w:type="nil"/>
              <w:right w:w="100" w:type="nil"/>
            </w:tcMar>
            <w:vAlign w:val="center"/>
          </w:tcPr>
          <w:p w14:paraId="6207EB40" w14:textId="6584ADB1" w:rsidR="003E7874" w:rsidRPr="003E7874" w:rsidRDefault="003E7874" w:rsidP="003E7874">
            <w:pPr>
              <w:autoSpaceDE w:val="0"/>
              <w:autoSpaceDN w:val="0"/>
              <w:adjustRightInd w:val="0"/>
              <w:jc w:val="center"/>
              <w:rPr>
                <w:rFonts w:ascii="Garamond" w:hAnsi="Garamond"/>
                <w:b/>
                <w:bCs/>
              </w:rPr>
            </w:pPr>
            <w:r w:rsidRPr="003E7874">
              <w:rPr>
                <w:rFonts w:ascii="Garamond" w:hAnsi="Garamond"/>
                <w:b/>
                <w:bCs/>
              </w:rPr>
              <w:t>Treatment (Ranked)</w:t>
            </w:r>
          </w:p>
        </w:tc>
        <w:tc>
          <w:tcPr>
            <w:tcW w:w="2160" w:type="dxa"/>
            <w:tcBorders>
              <w:top w:val="single" w:sz="4" w:space="0" w:color="BFBFBF" w:themeColor="background1" w:themeShade="BF"/>
              <w:left w:val="single" w:sz="4" w:space="0" w:color="BFBFBF" w:themeColor="background1" w:themeShade="BF"/>
              <w:right w:val="single" w:sz="4" w:space="0" w:color="BFBFBF" w:themeColor="background1" w:themeShade="BF"/>
            </w:tcBorders>
            <w:tcMar>
              <w:top w:w="100" w:type="nil"/>
              <w:right w:w="100" w:type="nil"/>
            </w:tcMar>
            <w:vAlign w:val="center"/>
          </w:tcPr>
          <w:p w14:paraId="64D8E884" w14:textId="2E084342" w:rsidR="003E7874" w:rsidRPr="003E7874" w:rsidRDefault="003E7874" w:rsidP="003E7874">
            <w:pPr>
              <w:autoSpaceDE w:val="0"/>
              <w:autoSpaceDN w:val="0"/>
              <w:adjustRightInd w:val="0"/>
              <w:jc w:val="center"/>
              <w:rPr>
                <w:rFonts w:ascii="Garamond" w:hAnsi="Garamond"/>
                <w:b/>
                <w:bCs/>
              </w:rPr>
            </w:pPr>
            <w:r w:rsidRPr="003E7874">
              <w:rPr>
                <w:rFonts w:ascii="Garamond" w:hAnsi="Garamond"/>
                <w:b/>
                <w:bCs/>
              </w:rPr>
              <w:t>Difference</w:t>
            </w:r>
          </w:p>
        </w:tc>
      </w:tr>
      <w:tr w:rsidR="003E7874" w:rsidRPr="003E7874" w14:paraId="41E635D5" w14:textId="77777777" w:rsidTr="003E7874">
        <w:tblPrEx>
          <w:tblCellMar>
            <w:top w:w="0" w:type="dxa"/>
            <w:bottom w:w="0" w:type="dxa"/>
          </w:tblCellMar>
        </w:tblPrEx>
        <w:tc>
          <w:tcPr>
            <w:tcW w:w="3312" w:type="dxa"/>
            <w:tcBorders>
              <w:left w:val="single" w:sz="4" w:space="0" w:color="BFBFBF" w:themeColor="background1" w:themeShade="BF"/>
              <w:bottom w:val="single" w:sz="4" w:space="0" w:color="BFBFBF" w:themeColor="background1" w:themeShade="BF"/>
              <w:right w:val="single" w:sz="4" w:space="0" w:color="BFBFBF" w:themeColor="background1" w:themeShade="BF"/>
            </w:tcBorders>
            <w:tcMar>
              <w:top w:w="100" w:type="nil"/>
              <w:right w:w="100" w:type="nil"/>
            </w:tcMar>
            <w:vAlign w:val="center"/>
          </w:tcPr>
          <w:p w14:paraId="52458738" w14:textId="774F46BE" w:rsidR="003E7874" w:rsidRPr="003E7874" w:rsidRDefault="003E7874" w:rsidP="003E7874">
            <w:pPr>
              <w:autoSpaceDE w:val="0"/>
              <w:autoSpaceDN w:val="0"/>
              <w:adjustRightInd w:val="0"/>
              <w:rPr>
                <w:rFonts w:ascii="Garamond" w:hAnsi="Garamond"/>
                <w:b/>
                <w:bCs/>
              </w:rPr>
            </w:pPr>
            <w:r w:rsidRPr="003E7874">
              <w:rPr>
                <w:rFonts w:ascii="Garamond" w:hAnsi="Garamond"/>
                <w:b/>
                <w:bCs/>
              </w:rPr>
              <w:t>Characteristic</w:t>
            </w:r>
          </w:p>
        </w:tc>
        <w:tc>
          <w:tcPr>
            <w:tcW w:w="2160" w:type="dxa"/>
            <w:tcBorders>
              <w:left w:val="single" w:sz="4" w:space="0" w:color="BFBFBF" w:themeColor="background1" w:themeShade="BF"/>
              <w:bottom w:val="single" w:sz="4" w:space="0" w:color="BFBFBF" w:themeColor="background1" w:themeShade="BF"/>
              <w:right w:val="single" w:sz="4" w:space="0" w:color="BFBFBF" w:themeColor="background1" w:themeShade="BF"/>
            </w:tcBorders>
            <w:tcMar>
              <w:top w:w="100" w:type="nil"/>
              <w:right w:w="100" w:type="nil"/>
            </w:tcMar>
            <w:vAlign w:val="center"/>
          </w:tcPr>
          <w:p w14:paraId="50615C83" w14:textId="5F99BB5D" w:rsidR="003E7874" w:rsidRPr="003E7874" w:rsidRDefault="00E41959" w:rsidP="003E7874">
            <w:pPr>
              <w:autoSpaceDE w:val="0"/>
              <w:autoSpaceDN w:val="0"/>
              <w:adjustRightInd w:val="0"/>
              <w:jc w:val="center"/>
              <w:rPr>
                <w:rFonts w:ascii="Garamond" w:hAnsi="Garamond"/>
              </w:rPr>
            </w:pPr>
            <w:r>
              <w:rPr>
                <w:rFonts w:ascii="Garamond" w:hAnsi="Garamond"/>
              </w:rPr>
              <w:t>N=50</w:t>
            </w:r>
          </w:p>
        </w:tc>
        <w:tc>
          <w:tcPr>
            <w:tcW w:w="2160" w:type="dxa"/>
            <w:tcBorders>
              <w:left w:val="single" w:sz="4" w:space="0" w:color="BFBFBF" w:themeColor="background1" w:themeShade="BF"/>
              <w:bottom w:val="single" w:sz="4" w:space="0" w:color="BFBFBF" w:themeColor="background1" w:themeShade="BF"/>
              <w:right w:val="single" w:sz="4" w:space="0" w:color="BFBFBF" w:themeColor="background1" w:themeShade="BF"/>
            </w:tcBorders>
            <w:tcMar>
              <w:top w:w="100" w:type="nil"/>
              <w:right w:w="100" w:type="nil"/>
            </w:tcMar>
            <w:vAlign w:val="center"/>
          </w:tcPr>
          <w:p w14:paraId="42270061" w14:textId="0181436A" w:rsidR="003E7874" w:rsidRPr="003E7874" w:rsidRDefault="00E41959" w:rsidP="003E7874">
            <w:pPr>
              <w:autoSpaceDE w:val="0"/>
              <w:autoSpaceDN w:val="0"/>
              <w:adjustRightInd w:val="0"/>
              <w:jc w:val="center"/>
              <w:rPr>
                <w:rFonts w:ascii="Garamond" w:hAnsi="Garamond"/>
              </w:rPr>
            </w:pPr>
            <w:r>
              <w:rPr>
                <w:rFonts w:ascii="Garamond" w:hAnsi="Garamond"/>
              </w:rPr>
              <w:t>N=50</w:t>
            </w:r>
          </w:p>
        </w:tc>
        <w:tc>
          <w:tcPr>
            <w:tcW w:w="2160" w:type="dxa"/>
            <w:tcBorders>
              <w:left w:val="single" w:sz="4" w:space="0" w:color="BFBFBF" w:themeColor="background1" w:themeShade="BF"/>
              <w:bottom w:val="single" w:sz="4" w:space="0" w:color="BFBFBF" w:themeColor="background1" w:themeShade="BF"/>
              <w:right w:val="single" w:sz="4" w:space="0" w:color="BFBFBF" w:themeColor="background1" w:themeShade="BF"/>
            </w:tcBorders>
            <w:tcMar>
              <w:top w:w="100" w:type="nil"/>
              <w:right w:w="100" w:type="nil"/>
            </w:tcMar>
            <w:vAlign w:val="center"/>
          </w:tcPr>
          <w:p w14:paraId="6D466D91" w14:textId="3B943860" w:rsidR="003E7874" w:rsidRPr="003E7874" w:rsidRDefault="003E7874" w:rsidP="003E7874">
            <w:pPr>
              <w:autoSpaceDE w:val="0"/>
              <w:autoSpaceDN w:val="0"/>
              <w:adjustRightInd w:val="0"/>
              <w:jc w:val="center"/>
              <w:rPr>
                <w:rFonts w:ascii="Garamond" w:hAnsi="Garamond"/>
              </w:rPr>
            </w:pPr>
          </w:p>
        </w:tc>
      </w:tr>
      <w:tr w:rsidR="003E7874" w:rsidRPr="003E7874" w14:paraId="4E31B98F" w14:textId="77777777" w:rsidTr="00631C35">
        <w:tblPrEx>
          <w:tblCellMar>
            <w:top w:w="0" w:type="dxa"/>
            <w:bottom w:w="0" w:type="dxa"/>
          </w:tblCellMar>
        </w:tblPrEx>
        <w:trPr>
          <w:trHeight w:val="432"/>
        </w:trPr>
        <w:tc>
          <w:tcPr>
            <w:tcW w:w="3312" w:type="dxa"/>
            <w:tcBorders>
              <w:top w:val="single" w:sz="4" w:space="0" w:color="BFBFBF" w:themeColor="background1" w:themeShade="BF"/>
              <w:left w:val="single" w:sz="4" w:space="0" w:color="BFBFBF" w:themeColor="background1" w:themeShade="BF"/>
              <w:right w:val="single" w:sz="4" w:space="0" w:color="BFBFBF" w:themeColor="background1" w:themeShade="BF"/>
            </w:tcBorders>
            <w:tcMar>
              <w:top w:w="100" w:type="nil"/>
              <w:right w:w="100" w:type="nil"/>
            </w:tcMar>
            <w:vAlign w:val="center"/>
          </w:tcPr>
          <w:p w14:paraId="37AC046C" w14:textId="77777777" w:rsidR="003E7874" w:rsidRPr="003E7874" w:rsidRDefault="003E7874" w:rsidP="00631C35">
            <w:pPr>
              <w:autoSpaceDE w:val="0"/>
              <w:autoSpaceDN w:val="0"/>
              <w:adjustRightInd w:val="0"/>
              <w:rPr>
                <w:rFonts w:ascii="Garamond" w:hAnsi="Garamond"/>
              </w:rPr>
            </w:pPr>
            <w:r w:rsidRPr="003E7874">
              <w:rPr>
                <w:rFonts w:ascii="Garamond" w:hAnsi="Garamond"/>
              </w:rPr>
              <w:t>School Academic Quality</w:t>
            </w:r>
          </w:p>
        </w:tc>
        <w:tc>
          <w:tcPr>
            <w:tcW w:w="2160" w:type="dxa"/>
            <w:tcBorders>
              <w:top w:val="single" w:sz="4" w:space="0" w:color="BFBFBF" w:themeColor="background1" w:themeShade="BF"/>
              <w:left w:val="single" w:sz="4" w:space="0" w:color="BFBFBF" w:themeColor="background1" w:themeShade="BF"/>
              <w:right w:val="single" w:sz="4" w:space="0" w:color="BFBFBF" w:themeColor="background1" w:themeShade="BF"/>
            </w:tcBorders>
            <w:tcMar>
              <w:top w:w="100" w:type="nil"/>
              <w:right w:w="100" w:type="nil"/>
            </w:tcMar>
            <w:vAlign w:val="center"/>
          </w:tcPr>
          <w:p w14:paraId="5D32671E" w14:textId="77777777" w:rsidR="003E7874" w:rsidRPr="003E7874" w:rsidRDefault="003E7874" w:rsidP="00631C35">
            <w:pPr>
              <w:autoSpaceDE w:val="0"/>
              <w:autoSpaceDN w:val="0"/>
              <w:adjustRightInd w:val="0"/>
              <w:jc w:val="center"/>
              <w:rPr>
                <w:rFonts w:ascii="Garamond" w:hAnsi="Garamond"/>
              </w:rPr>
            </w:pPr>
            <w:r w:rsidRPr="003E7874">
              <w:rPr>
                <w:rFonts w:ascii="Garamond" w:hAnsi="Garamond"/>
              </w:rPr>
              <w:t>0.515</w:t>
            </w:r>
          </w:p>
        </w:tc>
        <w:tc>
          <w:tcPr>
            <w:tcW w:w="2160" w:type="dxa"/>
            <w:tcBorders>
              <w:top w:val="single" w:sz="4" w:space="0" w:color="BFBFBF" w:themeColor="background1" w:themeShade="BF"/>
              <w:left w:val="single" w:sz="4" w:space="0" w:color="BFBFBF" w:themeColor="background1" w:themeShade="BF"/>
              <w:right w:val="single" w:sz="4" w:space="0" w:color="BFBFBF" w:themeColor="background1" w:themeShade="BF"/>
            </w:tcBorders>
            <w:tcMar>
              <w:top w:w="100" w:type="nil"/>
              <w:right w:w="100" w:type="nil"/>
            </w:tcMar>
            <w:vAlign w:val="center"/>
          </w:tcPr>
          <w:p w14:paraId="71AAD977" w14:textId="77777777" w:rsidR="003E7874" w:rsidRPr="003E7874" w:rsidRDefault="003E7874" w:rsidP="00631C35">
            <w:pPr>
              <w:autoSpaceDE w:val="0"/>
              <w:autoSpaceDN w:val="0"/>
              <w:adjustRightInd w:val="0"/>
              <w:jc w:val="center"/>
              <w:rPr>
                <w:rFonts w:ascii="Garamond" w:hAnsi="Garamond"/>
              </w:rPr>
            </w:pPr>
            <w:r w:rsidRPr="003E7874">
              <w:rPr>
                <w:rFonts w:ascii="Garamond" w:hAnsi="Garamond"/>
              </w:rPr>
              <w:t>0.466</w:t>
            </w:r>
          </w:p>
        </w:tc>
        <w:tc>
          <w:tcPr>
            <w:tcW w:w="2160" w:type="dxa"/>
            <w:tcBorders>
              <w:top w:val="single" w:sz="4" w:space="0" w:color="BFBFBF" w:themeColor="background1" w:themeShade="BF"/>
              <w:left w:val="single" w:sz="4" w:space="0" w:color="BFBFBF" w:themeColor="background1" w:themeShade="BF"/>
              <w:right w:val="single" w:sz="4" w:space="0" w:color="BFBFBF" w:themeColor="background1" w:themeShade="BF"/>
            </w:tcBorders>
            <w:tcMar>
              <w:top w:w="100" w:type="nil"/>
              <w:right w:w="100" w:type="nil"/>
            </w:tcMar>
            <w:vAlign w:val="center"/>
          </w:tcPr>
          <w:p w14:paraId="426595D4" w14:textId="77777777" w:rsidR="003E7874" w:rsidRPr="003E7874" w:rsidRDefault="003E7874" w:rsidP="00631C35">
            <w:pPr>
              <w:autoSpaceDE w:val="0"/>
              <w:autoSpaceDN w:val="0"/>
              <w:adjustRightInd w:val="0"/>
              <w:jc w:val="center"/>
              <w:rPr>
                <w:rFonts w:ascii="Garamond" w:hAnsi="Garamond"/>
              </w:rPr>
            </w:pPr>
            <w:r w:rsidRPr="003E7874">
              <w:rPr>
                <w:rFonts w:ascii="Garamond" w:hAnsi="Garamond"/>
              </w:rPr>
              <w:t>0.049</w:t>
            </w:r>
          </w:p>
        </w:tc>
      </w:tr>
      <w:tr w:rsidR="003E7874" w:rsidRPr="003E7874" w14:paraId="0A9B729D" w14:textId="77777777" w:rsidTr="00631C35">
        <w:tblPrEx>
          <w:tblCellMar>
            <w:top w:w="0" w:type="dxa"/>
            <w:bottom w:w="0" w:type="dxa"/>
          </w:tblCellMar>
        </w:tblPrEx>
        <w:trPr>
          <w:trHeight w:val="432"/>
        </w:trPr>
        <w:tc>
          <w:tcPr>
            <w:tcW w:w="3312" w:type="dxa"/>
            <w:tcBorders>
              <w:left w:val="single" w:sz="4" w:space="0" w:color="BFBFBF" w:themeColor="background1" w:themeShade="BF"/>
              <w:right w:val="single" w:sz="4" w:space="0" w:color="BFBFBF" w:themeColor="background1" w:themeShade="BF"/>
            </w:tcBorders>
            <w:tcMar>
              <w:top w:w="100" w:type="nil"/>
              <w:right w:w="100" w:type="nil"/>
            </w:tcMar>
            <w:vAlign w:val="center"/>
          </w:tcPr>
          <w:p w14:paraId="64A89118" w14:textId="77777777" w:rsidR="003E7874" w:rsidRPr="003E7874" w:rsidRDefault="003E7874" w:rsidP="00631C35">
            <w:pPr>
              <w:autoSpaceDE w:val="0"/>
              <w:autoSpaceDN w:val="0"/>
              <w:adjustRightInd w:val="0"/>
              <w:rPr>
                <w:rFonts w:ascii="Garamond" w:hAnsi="Garamond"/>
              </w:rPr>
            </w:pPr>
            <w:r w:rsidRPr="003E7874">
              <w:rPr>
                <w:rFonts w:ascii="Garamond" w:hAnsi="Garamond"/>
              </w:rPr>
              <w:t>School Athletic Quality</w:t>
            </w:r>
          </w:p>
        </w:tc>
        <w:tc>
          <w:tcPr>
            <w:tcW w:w="2160" w:type="dxa"/>
            <w:tcBorders>
              <w:left w:val="single" w:sz="4" w:space="0" w:color="BFBFBF" w:themeColor="background1" w:themeShade="BF"/>
              <w:right w:val="single" w:sz="4" w:space="0" w:color="BFBFBF" w:themeColor="background1" w:themeShade="BF"/>
            </w:tcBorders>
            <w:tcMar>
              <w:top w:w="100" w:type="nil"/>
              <w:right w:w="100" w:type="nil"/>
            </w:tcMar>
            <w:vAlign w:val="center"/>
          </w:tcPr>
          <w:p w14:paraId="31D32002" w14:textId="77777777" w:rsidR="003E7874" w:rsidRPr="003E7874" w:rsidRDefault="003E7874" w:rsidP="00631C35">
            <w:pPr>
              <w:autoSpaceDE w:val="0"/>
              <w:autoSpaceDN w:val="0"/>
              <w:adjustRightInd w:val="0"/>
              <w:jc w:val="center"/>
              <w:rPr>
                <w:rFonts w:ascii="Garamond" w:hAnsi="Garamond"/>
              </w:rPr>
            </w:pPr>
            <w:r w:rsidRPr="003E7874">
              <w:rPr>
                <w:rFonts w:ascii="Garamond" w:hAnsi="Garamond"/>
              </w:rPr>
              <w:t>0.424</w:t>
            </w:r>
          </w:p>
        </w:tc>
        <w:tc>
          <w:tcPr>
            <w:tcW w:w="2160" w:type="dxa"/>
            <w:tcBorders>
              <w:left w:val="single" w:sz="4" w:space="0" w:color="BFBFBF" w:themeColor="background1" w:themeShade="BF"/>
              <w:right w:val="single" w:sz="4" w:space="0" w:color="BFBFBF" w:themeColor="background1" w:themeShade="BF"/>
            </w:tcBorders>
            <w:tcMar>
              <w:top w:w="100" w:type="nil"/>
              <w:right w:w="100" w:type="nil"/>
            </w:tcMar>
            <w:vAlign w:val="center"/>
          </w:tcPr>
          <w:p w14:paraId="0B7FC1D9" w14:textId="77777777" w:rsidR="003E7874" w:rsidRPr="003E7874" w:rsidRDefault="003E7874" w:rsidP="00631C35">
            <w:pPr>
              <w:autoSpaceDE w:val="0"/>
              <w:autoSpaceDN w:val="0"/>
              <w:adjustRightInd w:val="0"/>
              <w:jc w:val="center"/>
              <w:rPr>
                <w:rFonts w:ascii="Garamond" w:hAnsi="Garamond"/>
              </w:rPr>
            </w:pPr>
            <w:r w:rsidRPr="003E7874">
              <w:rPr>
                <w:rFonts w:ascii="Garamond" w:hAnsi="Garamond"/>
              </w:rPr>
              <w:t>0.551</w:t>
            </w:r>
          </w:p>
        </w:tc>
        <w:tc>
          <w:tcPr>
            <w:tcW w:w="2160" w:type="dxa"/>
            <w:tcBorders>
              <w:left w:val="single" w:sz="4" w:space="0" w:color="BFBFBF" w:themeColor="background1" w:themeShade="BF"/>
              <w:right w:val="single" w:sz="4" w:space="0" w:color="BFBFBF" w:themeColor="background1" w:themeShade="BF"/>
            </w:tcBorders>
            <w:tcMar>
              <w:top w:w="100" w:type="nil"/>
              <w:right w:w="100" w:type="nil"/>
            </w:tcMar>
            <w:vAlign w:val="center"/>
          </w:tcPr>
          <w:p w14:paraId="3F3C627F" w14:textId="77777777" w:rsidR="003E7874" w:rsidRPr="003E7874" w:rsidRDefault="003E7874" w:rsidP="00631C35">
            <w:pPr>
              <w:autoSpaceDE w:val="0"/>
              <w:autoSpaceDN w:val="0"/>
              <w:adjustRightInd w:val="0"/>
              <w:jc w:val="center"/>
              <w:rPr>
                <w:rFonts w:ascii="Garamond" w:hAnsi="Garamond"/>
              </w:rPr>
            </w:pPr>
            <w:r w:rsidRPr="003E7874">
              <w:rPr>
                <w:rFonts w:ascii="Garamond" w:hAnsi="Garamond"/>
              </w:rPr>
              <w:t>-0.127**</w:t>
            </w:r>
          </w:p>
        </w:tc>
      </w:tr>
      <w:tr w:rsidR="003E7874" w:rsidRPr="003E7874" w14:paraId="42598804" w14:textId="77777777" w:rsidTr="00631C35">
        <w:tblPrEx>
          <w:tblCellMar>
            <w:top w:w="0" w:type="dxa"/>
            <w:bottom w:w="0" w:type="dxa"/>
          </w:tblCellMar>
        </w:tblPrEx>
        <w:trPr>
          <w:trHeight w:val="432"/>
        </w:trPr>
        <w:tc>
          <w:tcPr>
            <w:tcW w:w="3312" w:type="dxa"/>
            <w:tcBorders>
              <w:left w:val="single" w:sz="4" w:space="0" w:color="BFBFBF" w:themeColor="background1" w:themeShade="BF"/>
              <w:bottom w:val="single" w:sz="4" w:space="0" w:color="BFBFBF" w:themeColor="background1" w:themeShade="BF"/>
              <w:right w:val="single" w:sz="4" w:space="0" w:color="BFBFBF" w:themeColor="background1" w:themeShade="BF"/>
            </w:tcBorders>
            <w:tcMar>
              <w:top w:w="100" w:type="nil"/>
              <w:right w:w="100" w:type="nil"/>
            </w:tcMar>
            <w:vAlign w:val="center"/>
          </w:tcPr>
          <w:p w14:paraId="0888A7A9" w14:textId="77777777" w:rsidR="003E7874" w:rsidRPr="003E7874" w:rsidRDefault="003E7874" w:rsidP="00631C35">
            <w:pPr>
              <w:autoSpaceDE w:val="0"/>
              <w:autoSpaceDN w:val="0"/>
              <w:adjustRightInd w:val="0"/>
              <w:rPr>
                <w:rFonts w:ascii="Garamond" w:hAnsi="Garamond"/>
              </w:rPr>
            </w:pPr>
            <w:r w:rsidRPr="003E7874">
              <w:rPr>
                <w:rFonts w:ascii="Garamond" w:hAnsi="Garamond"/>
              </w:rPr>
              <w:t>Proximity to Metropolitan Area</w:t>
            </w:r>
          </w:p>
        </w:tc>
        <w:tc>
          <w:tcPr>
            <w:tcW w:w="2160" w:type="dxa"/>
            <w:tcBorders>
              <w:left w:val="single" w:sz="4" w:space="0" w:color="BFBFBF" w:themeColor="background1" w:themeShade="BF"/>
              <w:bottom w:val="single" w:sz="4" w:space="0" w:color="BFBFBF" w:themeColor="background1" w:themeShade="BF"/>
              <w:right w:val="single" w:sz="4" w:space="0" w:color="BFBFBF" w:themeColor="background1" w:themeShade="BF"/>
            </w:tcBorders>
            <w:tcMar>
              <w:top w:w="100" w:type="nil"/>
              <w:right w:w="100" w:type="nil"/>
            </w:tcMar>
            <w:vAlign w:val="center"/>
          </w:tcPr>
          <w:p w14:paraId="7D94C1D4" w14:textId="77777777" w:rsidR="003E7874" w:rsidRPr="003E7874" w:rsidRDefault="003E7874" w:rsidP="00631C35">
            <w:pPr>
              <w:autoSpaceDE w:val="0"/>
              <w:autoSpaceDN w:val="0"/>
              <w:adjustRightInd w:val="0"/>
              <w:jc w:val="center"/>
              <w:rPr>
                <w:rFonts w:ascii="Garamond" w:hAnsi="Garamond"/>
              </w:rPr>
            </w:pPr>
            <w:r w:rsidRPr="003E7874">
              <w:rPr>
                <w:rFonts w:ascii="Garamond" w:hAnsi="Garamond"/>
              </w:rPr>
              <w:t>0.360</w:t>
            </w:r>
          </w:p>
        </w:tc>
        <w:tc>
          <w:tcPr>
            <w:tcW w:w="2160" w:type="dxa"/>
            <w:tcBorders>
              <w:left w:val="single" w:sz="4" w:space="0" w:color="BFBFBF" w:themeColor="background1" w:themeShade="BF"/>
              <w:bottom w:val="single" w:sz="4" w:space="0" w:color="BFBFBF" w:themeColor="background1" w:themeShade="BF"/>
              <w:right w:val="single" w:sz="4" w:space="0" w:color="BFBFBF" w:themeColor="background1" w:themeShade="BF"/>
            </w:tcBorders>
            <w:tcMar>
              <w:top w:w="100" w:type="nil"/>
              <w:right w:w="100" w:type="nil"/>
            </w:tcMar>
            <w:vAlign w:val="center"/>
          </w:tcPr>
          <w:p w14:paraId="4EDCCE23" w14:textId="77777777" w:rsidR="003E7874" w:rsidRPr="003E7874" w:rsidRDefault="003E7874" w:rsidP="00631C35">
            <w:pPr>
              <w:autoSpaceDE w:val="0"/>
              <w:autoSpaceDN w:val="0"/>
              <w:adjustRightInd w:val="0"/>
              <w:jc w:val="center"/>
              <w:rPr>
                <w:rFonts w:ascii="Garamond" w:hAnsi="Garamond"/>
              </w:rPr>
            </w:pPr>
            <w:r w:rsidRPr="003E7874">
              <w:rPr>
                <w:rFonts w:ascii="Garamond" w:hAnsi="Garamond"/>
              </w:rPr>
              <w:t>0.700</w:t>
            </w:r>
          </w:p>
        </w:tc>
        <w:tc>
          <w:tcPr>
            <w:tcW w:w="2160" w:type="dxa"/>
            <w:tcBorders>
              <w:left w:val="single" w:sz="4" w:space="0" w:color="BFBFBF" w:themeColor="background1" w:themeShade="BF"/>
              <w:bottom w:val="single" w:sz="4" w:space="0" w:color="BFBFBF" w:themeColor="background1" w:themeShade="BF"/>
              <w:right w:val="single" w:sz="4" w:space="0" w:color="BFBFBF" w:themeColor="background1" w:themeShade="BF"/>
            </w:tcBorders>
            <w:tcMar>
              <w:top w:w="100" w:type="nil"/>
              <w:right w:w="100" w:type="nil"/>
            </w:tcMar>
            <w:vAlign w:val="center"/>
          </w:tcPr>
          <w:p w14:paraId="07DCF2C1" w14:textId="77777777" w:rsidR="003E7874" w:rsidRPr="003E7874" w:rsidRDefault="003E7874" w:rsidP="00631C35">
            <w:pPr>
              <w:autoSpaceDE w:val="0"/>
              <w:autoSpaceDN w:val="0"/>
              <w:adjustRightInd w:val="0"/>
              <w:jc w:val="center"/>
              <w:rPr>
                <w:rFonts w:ascii="Garamond" w:hAnsi="Garamond"/>
              </w:rPr>
            </w:pPr>
            <w:r w:rsidRPr="003E7874">
              <w:rPr>
                <w:rFonts w:ascii="Garamond" w:hAnsi="Garamond"/>
              </w:rPr>
              <w:t>-0.340***</w:t>
            </w:r>
          </w:p>
        </w:tc>
      </w:tr>
    </w:tbl>
    <w:p w14:paraId="7FC3DA3D" w14:textId="77777777" w:rsidR="003E7874" w:rsidRPr="003E7874" w:rsidRDefault="003E7874" w:rsidP="003E7874">
      <w:pPr>
        <w:autoSpaceDE w:val="0"/>
        <w:autoSpaceDN w:val="0"/>
        <w:adjustRightInd w:val="0"/>
        <w:rPr>
          <w:rFonts w:ascii="Garamond" w:hAnsi="Garamond"/>
        </w:rPr>
      </w:pPr>
    </w:p>
    <w:p w14:paraId="62D75C6C" w14:textId="5703E02B" w:rsidR="003E7874" w:rsidRDefault="00E41959" w:rsidP="00E41959">
      <w:pPr>
        <w:spacing w:line="360" w:lineRule="auto"/>
        <w:jc w:val="both"/>
        <w:rPr>
          <w:rFonts w:ascii="Garamond" w:hAnsi="Garamond"/>
        </w:rPr>
      </w:pPr>
      <w:r>
        <w:rPr>
          <w:rFonts w:ascii="Garamond" w:hAnsi="Garamond"/>
        </w:rPr>
        <w:t xml:space="preserve">We can clearly see that the two groups significantly differ on two of the three observable characteristics – School Athletic Quality and Proximity to a Metropolitan Area. This makes direct causal inference difficult. Since the treatment group has schools with higher athletic quality and are closer to metropolitan areas, we may find the coefficient of “Ranking” to be biased as it may subsume some of these effects. For example, since treated observations are closer to metropolitan areas, and metropolitan proximity helps funding, then we might overestimate the coefficient of being ranked. </w:t>
      </w:r>
    </w:p>
    <w:p w14:paraId="4ABBC756" w14:textId="20DAFAE5" w:rsidR="00E41959" w:rsidRDefault="00E41959" w:rsidP="00E41959">
      <w:pPr>
        <w:spacing w:line="360" w:lineRule="auto"/>
        <w:jc w:val="both"/>
        <w:rPr>
          <w:rFonts w:ascii="Garamond" w:hAnsi="Garamond"/>
        </w:rPr>
      </w:pPr>
    </w:p>
    <w:p w14:paraId="76CF91BF" w14:textId="2B18E4FF" w:rsidR="00E41959" w:rsidRPr="00E41959" w:rsidRDefault="00E41959" w:rsidP="00E41959">
      <w:pPr>
        <w:pStyle w:val="NormalWeb"/>
        <w:numPr>
          <w:ilvl w:val="0"/>
          <w:numId w:val="1"/>
        </w:numPr>
        <w:spacing w:before="0" w:beforeAutospacing="0" w:after="0" w:afterAutospacing="0" w:line="360" w:lineRule="auto"/>
        <w:textAlignment w:val="baseline"/>
        <w:rPr>
          <w:rFonts w:ascii="Garamond" w:hAnsi="Garamond" w:cs="Calibri"/>
          <w:b/>
          <w:bCs/>
          <w:color w:val="000000"/>
          <w:u w:val="single"/>
        </w:rPr>
      </w:pPr>
      <w:r w:rsidRPr="00E41959">
        <w:rPr>
          <w:rFonts w:ascii="Garamond" w:hAnsi="Garamond" w:cs="Calibri"/>
          <w:color w:val="000000"/>
          <w:u w:val="single"/>
        </w:rPr>
        <w:t xml:space="preserve">As you know, propensity score methods are more credible when we (the researchers) </w:t>
      </w:r>
      <w:r w:rsidRPr="00E41959">
        <w:rPr>
          <w:rFonts w:ascii="Garamond" w:hAnsi="Garamond" w:cs="Calibri"/>
          <w:color w:val="000000"/>
          <w:u w:val="single"/>
        </w:rPr>
        <w:t>can</w:t>
      </w:r>
      <w:r w:rsidRPr="00E41959">
        <w:rPr>
          <w:rFonts w:ascii="Garamond" w:hAnsi="Garamond" w:cs="Calibri"/>
          <w:color w:val="000000"/>
          <w:u w:val="single"/>
        </w:rPr>
        <w:t xml:space="preserve"> use all variables that the agents who assign treatment scan use in their assignments. </w:t>
      </w:r>
    </w:p>
    <w:p w14:paraId="2113F9F7" w14:textId="77777777" w:rsidR="00E41959" w:rsidRDefault="00E41959" w:rsidP="00E41959">
      <w:pPr>
        <w:spacing w:line="360" w:lineRule="auto"/>
        <w:jc w:val="both"/>
        <w:rPr>
          <w:rFonts w:ascii="Garamond" w:hAnsi="Garamond"/>
          <w:color w:val="000000"/>
        </w:rPr>
      </w:pPr>
    </w:p>
    <w:p w14:paraId="14173CA2" w14:textId="45D25951" w:rsidR="00E41959" w:rsidRDefault="00E41959" w:rsidP="00E41959">
      <w:pPr>
        <w:spacing w:line="360" w:lineRule="auto"/>
        <w:jc w:val="both"/>
        <w:rPr>
          <w:rFonts w:ascii="Garamond" w:hAnsi="Garamond"/>
          <w:color w:val="000000"/>
        </w:rPr>
      </w:pPr>
      <w:r w:rsidRPr="00E41959">
        <w:rPr>
          <w:rFonts w:ascii="Garamond" w:hAnsi="Garamond"/>
          <w:color w:val="000000"/>
        </w:rPr>
        <w:t xml:space="preserve">The goal of the researcher, when selecting on observables, should be to condition on all covariates that are distributed across treatment and control groups in </w:t>
      </w:r>
      <w:r w:rsidR="002F2B9A" w:rsidRPr="00E41959">
        <w:rPr>
          <w:rFonts w:ascii="Garamond" w:hAnsi="Garamond"/>
          <w:color w:val="000000"/>
        </w:rPr>
        <w:t>a</w:t>
      </w:r>
      <w:r w:rsidRPr="00E41959">
        <w:rPr>
          <w:rFonts w:ascii="Garamond" w:hAnsi="Garamond"/>
          <w:color w:val="000000"/>
        </w:rPr>
        <w:t xml:space="preserve"> non-random fashion. Once we can </w:t>
      </w:r>
      <w:r w:rsidR="002F2B9A">
        <w:rPr>
          <w:rFonts w:ascii="Garamond" w:hAnsi="Garamond"/>
          <w:color w:val="000000"/>
        </w:rPr>
        <w:t>identify all these</w:t>
      </w:r>
      <w:r w:rsidRPr="00E41959">
        <w:rPr>
          <w:rFonts w:ascii="Garamond" w:hAnsi="Garamond"/>
          <w:color w:val="000000"/>
        </w:rPr>
        <w:t xml:space="preserve"> </w:t>
      </w:r>
      <w:r w:rsidR="002F2B9A">
        <w:rPr>
          <w:rFonts w:ascii="Garamond" w:hAnsi="Garamond"/>
          <w:color w:val="000000"/>
        </w:rPr>
        <w:t xml:space="preserve">non-random </w:t>
      </w:r>
      <w:r w:rsidRPr="00E41959">
        <w:rPr>
          <w:rFonts w:ascii="Garamond" w:hAnsi="Garamond"/>
          <w:color w:val="000000"/>
        </w:rPr>
        <w:t>characteristics</w:t>
      </w:r>
      <w:r w:rsidR="002F2B9A">
        <w:rPr>
          <w:rFonts w:ascii="Garamond" w:hAnsi="Garamond"/>
          <w:color w:val="000000"/>
        </w:rPr>
        <w:t xml:space="preserve"> (and condition on them)</w:t>
      </w:r>
      <w:r w:rsidRPr="00E41959">
        <w:rPr>
          <w:rFonts w:ascii="Garamond" w:hAnsi="Garamond"/>
          <w:color w:val="000000"/>
        </w:rPr>
        <w:t>, we can claim that the remaining variation in the data is purely random</w:t>
      </w:r>
      <w:r w:rsidR="002F2B9A">
        <w:rPr>
          <w:rFonts w:ascii="Garamond" w:hAnsi="Garamond"/>
          <w:color w:val="000000"/>
        </w:rPr>
        <w:t>.</w:t>
      </w:r>
      <w:r w:rsidRPr="00E41959">
        <w:rPr>
          <w:rFonts w:ascii="Garamond" w:hAnsi="Garamond"/>
          <w:color w:val="000000"/>
        </w:rPr>
        <w:t xml:space="preserve"> </w:t>
      </w:r>
      <w:r w:rsidR="002F2B9A">
        <w:rPr>
          <w:rFonts w:ascii="Garamond" w:hAnsi="Garamond"/>
          <w:color w:val="000000"/>
        </w:rPr>
        <w:t>This implies that</w:t>
      </w:r>
      <w:r w:rsidRPr="00E41959">
        <w:rPr>
          <w:rFonts w:ascii="Garamond" w:hAnsi="Garamond"/>
          <w:color w:val="000000"/>
        </w:rPr>
        <w:t xml:space="preserve"> the units in the treatment and control group are</w:t>
      </w:r>
      <w:r w:rsidR="002F2B9A">
        <w:rPr>
          <w:rFonts w:ascii="Garamond" w:hAnsi="Garamond"/>
          <w:color w:val="000000"/>
        </w:rPr>
        <w:t>, on average,</w:t>
      </w:r>
      <w:r w:rsidRPr="00E41959">
        <w:rPr>
          <w:rFonts w:ascii="Garamond" w:hAnsi="Garamond"/>
          <w:color w:val="000000"/>
        </w:rPr>
        <w:t xml:space="preserve"> similar on all observable characteristics</w:t>
      </w:r>
      <w:r w:rsidR="002F2B9A">
        <w:rPr>
          <w:rFonts w:ascii="Garamond" w:hAnsi="Garamond"/>
          <w:color w:val="000000"/>
        </w:rPr>
        <w:t xml:space="preserve"> except the treatment itself</w:t>
      </w:r>
      <w:r w:rsidRPr="00E41959">
        <w:rPr>
          <w:rFonts w:ascii="Garamond" w:hAnsi="Garamond"/>
          <w:color w:val="000000"/>
        </w:rPr>
        <w:t xml:space="preserve">. Then, the effect unearthed by our analysis is solely due to the treatment, and nothing else. </w:t>
      </w:r>
    </w:p>
    <w:p w14:paraId="31B949B9" w14:textId="77777777" w:rsidR="002F2B9A" w:rsidRDefault="002F2B9A" w:rsidP="00E41959">
      <w:pPr>
        <w:spacing w:line="360" w:lineRule="auto"/>
        <w:jc w:val="both"/>
        <w:rPr>
          <w:rFonts w:ascii="Garamond" w:hAnsi="Garamond"/>
          <w:color w:val="000000"/>
        </w:rPr>
      </w:pPr>
    </w:p>
    <w:p w14:paraId="2E136A82" w14:textId="3828DD82" w:rsidR="002F2B9A" w:rsidRDefault="002F2B9A" w:rsidP="00E41959">
      <w:pPr>
        <w:spacing w:line="360" w:lineRule="auto"/>
        <w:jc w:val="both"/>
        <w:rPr>
          <w:rFonts w:ascii="Garamond" w:hAnsi="Garamond"/>
          <w:color w:val="000000"/>
        </w:rPr>
      </w:pPr>
      <w:r>
        <w:rPr>
          <w:rFonts w:ascii="Garamond" w:hAnsi="Garamond"/>
          <w:color w:val="000000"/>
        </w:rPr>
        <w:t xml:space="preserve">When we are not able to use all the variables that the agents used to assign treatment, we are missing out on some non-random characteristic that is correlated with treatment assignment. Then, our </w:t>
      </w:r>
      <w:r>
        <w:rPr>
          <w:rFonts w:ascii="Garamond" w:hAnsi="Garamond"/>
          <w:color w:val="000000"/>
        </w:rPr>
        <w:lastRenderedPageBreak/>
        <w:t xml:space="preserve">analysis of the effect of treatment on the outcome also includes the effect of the unobservable variables. Thus, the obtained coefficient is biased. </w:t>
      </w:r>
    </w:p>
    <w:p w14:paraId="12C68BC9" w14:textId="65ED6367" w:rsidR="002F2B9A" w:rsidRDefault="002F2B9A" w:rsidP="00E41959">
      <w:pPr>
        <w:spacing w:line="360" w:lineRule="auto"/>
        <w:jc w:val="both"/>
        <w:rPr>
          <w:rFonts w:ascii="Garamond" w:hAnsi="Garamond"/>
          <w:color w:val="000000"/>
        </w:rPr>
      </w:pPr>
    </w:p>
    <w:p w14:paraId="0BD7F611" w14:textId="79033E0D" w:rsidR="00E41959" w:rsidRDefault="002F2B9A" w:rsidP="00E41959">
      <w:pPr>
        <w:spacing w:line="360" w:lineRule="auto"/>
        <w:jc w:val="both"/>
        <w:rPr>
          <w:rFonts w:ascii="Garamond" w:hAnsi="Garamond"/>
          <w:color w:val="000000"/>
        </w:rPr>
      </w:pPr>
      <w:r>
        <w:rPr>
          <w:rFonts w:ascii="Garamond" w:hAnsi="Garamond"/>
          <w:color w:val="000000"/>
        </w:rPr>
        <w:t xml:space="preserve">In this setting, we do not know how the schools are ranked, and we only have access to three observable characteristics of the schools. Suppose, hypothetically, that a fourth variable in the ranking process exists – Number of past alumni playing at the big leagues. Then, it may be so that these past alumni regularly </w:t>
      </w:r>
      <w:r w:rsidR="008F0E3B">
        <w:rPr>
          <w:rFonts w:ascii="Garamond" w:hAnsi="Garamond"/>
          <w:color w:val="000000"/>
        </w:rPr>
        <w:t xml:space="preserve">contribute and donate to the school. But since this variable is likely to be correlated with treatment assignment, we might mistakenly assume that the positive effect of the treatment on donations is due to treatment itself as we have failed to control for this fourth variable. </w:t>
      </w:r>
    </w:p>
    <w:p w14:paraId="0C706C44" w14:textId="77777777" w:rsidR="008F0E3B" w:rsidRPr="008F0E3B" w:rsidRDefault="008F0E3B" w:rsidP="00E41959">
      <w:pPr>
        <w:spacing w:line="360" w:lineRule="auto"/>
        <w:jc w:val="both"/>
        <w:rPr>
          <w:rFonts w:ascii="Garamond" w:hAnsi="Garamond"/>
          <w:color w:val="000000"/>
        </w:rPr>
      </w:pPr>
    </w:p>
    <w:p w14:paraId="705005C8" w14:textId="49807A16" w:rsidR="00E41959" w:rsidRDefault="00E41959" w:rsidP="00E41959">
      <w:pPr>
        <w:spacing w:line="360" w:lineRule="auto"/>
        <w:jc w:val="both"/>
        <w:rPr>
          <w:rFonts w:ascii="Garamond" w:hAnsi="Garamond"/>
          <w:b/>
          <w:bCs/>
        </w:rPr>
      </w:pPr>
      <w:r>
        <w:rPr>
          <w:rFonts w:ascii="Garamond" w:hAnsi="Garamond"/>
          <w:b/>
          <w:bCs/>
        </w:rPr>
        <w:t>Propensity Score Stacked Histogram</w:t>
      </w:r>
    </w:p>
    <w:p w14:paraId="60D86D0A" w14:textId="69DC0AAC" w:rsidR="008F0E3B" w:rsidRDefault="008F0E3B" w:rsidP="00E41959">
      <w:pPr>
        <w:spacing w:line="360" w:lineRule="auto"/>
        <w:jc w:val="both"/>
        <w:rPr>
          <w:rFonts w:ascii="Garamond" w:hAnsi="Garamond"/>
          <w:b/>
          <w:bCs/>
        </w:rPr>
      </w:pPr>
    </w:p>
    <w:p w14:paraId="399253DB" w14:textId="4FF623C6" w:rsidR="008F0E3B" w:rsidRDefault="008F0E3B" w:rsidP="00E41959">
      <w:pPr>
        <w:spacing w:line="360" w:lineRule="auto"/>
        <w:jc w:val="both"/>
        <w:rPr>
          <w:rFonts w:ascii="Garamond" w:hAnsi="Garamond"/>
          <w:b/>
          <w:bCs/>
          <w:noProof/>
        </w:rPr>
      </w:pPr>
      <w:r>
        <w:rPr>
          <w:rFonts w:ascii="Garamond" w:hAnsi="Garamond"/>
          <w:b/>
          <w:bCs/>
          <w:noProof/>
        </w:rPr>
        <w:drawing>
          <wp:inline distT="0" distB="0" distL="0" distR="0" wp14:anchorId="4C03AEAB" wp14:editId="17A26A47">
            <wp:extent cx="5943600" cy="431927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319270"/>
                    </a:xfrm>
                    <a:prstGeom prst="rect">
                      <a:avLst/>
                    </a:prstGeom>
                  </pic:spPr>
                </pic:pic>
              </a:graphicData>
            </a:graphic>
          </wp:inline>
        </w:drawing>
      </w:r>
    </w:p>
    <w:p w14:paraId="30C7502D" w14:textId="444A132D" w:rsidR="008F0E3B" w:rsidRPr="008F0E3B" w:rsidRDefault="008F0E3B" w:rsidP="008F0E3B">
      <w:pPr>
        <w:rPr>
          <w:rFonts w:ascii="Garamond" w:hAnsi="Garamond"/>
        </w:rPr>
      </w:pPr>
    </w:p>
    <w:p w14:paraId="68CE7405" w14:textId="5345D961" w:rsidR="008F0E3B" w:rsidRDefault="008F0E3B" w:rsidP="008F0E3B">
      <w:pPr>
        <w:rPr>
          <w:rFonts w:ascii="Garamond" w:hAnsi="Garamond"/>
          <w:b/>
          <w:bCs/>
          <w:noProof/>
        </w:rPr>
      </w:pPr>
    </w:p>
    <w:p w14:paraId="39B137DA" w14:textId="2A26CE18" w:rsidR="008F0E3B" w:rsidRDefault="008F0E3B" w:rsidP="00A963C7">
      <w:pPr>
        <w:tabs>
          <w:tab w:val="left" w:pos="2067"/>
        </w:tabs>
        <w:spacing w:line="360" w:lineRule="auto"/>
        <w:jc w:val="both"/>
        <w:rPr>
          <w:rFonts w:ascii="Garamond" w:hAnsi="Garamond"/>
        </w:rPr>
      </w:pPr>
      <w:r>
        <w:rPr>
          <w:rFonts w:ascii="Garamond" w:hAnsi="Garamond"/>
        </w:rPr>
        <w:lastRenderedPageBreak/>
        <w:t>As we can see, observations with a propensity score of greater than 0.8 are all in the treatment group. There is no overlap, i.e., these obser</w:t>
      </w:r>
      <w:r w:rsidR="00A963C7">
        <w:rPr>
          <w:rFonts w:ascii="Garamond" w:hAnsi="Garamond"/>
        </w:rPr>
        <w:t xml:space="preserve">vations are always expected to be in the treatment group. Hence, I remove these observations from our analysis. The rest of the areas have some degree of overlap across both treatment and control groups. </w:t>
      </w:r>
    </w:p>
    <w:p w14:paraId="2DBD3C92" w14:textId="4FC97C50" w:rsidR="00A963C7" w:rsidRDefault="00A963C7" w:rsidP="00A963C7">
      <w:pPr>
        <w:tabs>
          <w:tab w:val="left" w:pos="2067"/>
        </w:tabs>
        <w:spacing w:line="360" w:lineRule="auto"/>
        <w:jc w:val="both"/>
        <w:rPr>
          <w:rFonts w:ascii="Garamond" w:hAnsi="Garamond"/>
        </w:rPr>
      </w:pPr>
    </w:p>
    <w:p w14:paraId="7FB2E9A4" w14:textId="5EEDC4F0" w:rsidR="00A963C7" w:rsidRDefault="00A963C7" w:rsidP="00A963C7">
      <w:pPr>
        <w:tabs>
          <w:tab w:val="left" w:pos="2067"/>
        </w:tabs>
        <w:spacing w:line="360" w:lineRule="auto"/>
        <w:jc w:val="both"/>
        <w:rPr>
          <w:rFonts w:ascii="Garamond" w:hAnsi="Garamond"/>
        </w:rPr>
      </w:pPr>
      <w:r w:rsidRPr="00A963C7">
        <w:rPr>
          <w:rFonts w:ascii="Garamond" w:hAnsi="Garamond"/>
          <w:b/>
          <w:bCs/>
        </w:rPr>
        <w:t>Blocking on the propensity score:</w:t>
      </w:r>
      <w:r>
        <w:rPr>
          <w:rFonts w:ascii="Garamond" w:hAnsi="Garamond"/>
        </w:rPr>
        <w:t xml:space="preserve"> I create two block groups here – one with four units in each block, and the other with ten units in one block. I then use these as fixed effects in my regression next. </w:t>
      </w:r>
    </w:p>
    <w:p w14:paraId="62A9125D" w14:textId="57D49C61" w:rsidR="00A963C7" w:rsidRDefault="00A963C7" w:rsidP="00A963C7">
      <w:pPr>
        <w:tabs>
          <w:tab w:val="left" w:pos="2067"/>
        </w:tabs>
        <w:spacing w:line="360" w:lineRule="auto"/>
        <w:jc w:val="both"/>
        <w:rPr>
          <w:rFonts w:ascii="Garamond" w:hAnsi="Garamond"/>
        </w:rPr>
      </w:pPr>
    </w:p>
    <w:p w14:paraId="12801812" w14:textId="2152A4E9" w:rsidR="00A963C7" w:rsidRPr="00A963C7" w:rsidRDefault="00A963C7" w:rsidP="00A963C7">
      <w:pPr>
        <w:tabs>
          <w:tab w:val="left" w:pos="2067"/>
        </w:tabs>
        <w:spacing w:line="360" w:lineRule="auto"/>
        <w:jc w:val="both"/>
        <w:rPr>
          <w:rFonts w:ascii="Garamond" w:hAnsi="Garamond"/>
          <w:b/>
          <w:bCs/>
        </w:rPr>
      </w:pPr>
      <w:r w:rsidRPr="00A963C7">
        <w:rPr>
          <w:rFonts w:ascii="Garamond" w:hAnsi="Garamond"/>
          <w:b/>
          <w:bCs/>
        </w:rPr>
        <w:t>Regression Results</w:t>
      </w:r>
    </w:p>
    <w:p w14:paraId="7A8D4CA4" w14:textId="77777777" w:rsidR="00A963C7" w:rsidRDefault="00A963C7" w:rsidP="00A963C7">
      <w:pPr>
        <w:tabs>
          <w:tab w:val="left" w:pos="2067"/>
        </w:tabs>
        <w:spacing w:line="360" w:lineRule="auto"/>
        <w:jc w:val="both"/>
        <w:rPr>
          <w:rFonts w:ascii="Garamond" w:hAnsi="Garamond"/>
        </w:rPr>
      </w:pPr>
    </w:p>
    <w:tbl>
      <w:tblPr>
        <w:tblW w:w="9504" w:type="dxa"/>
        <w:tblInd w:w="-118" w:type="dxa"/>
        <w:tblBorders>
          <w:top w:val="nil"/>
          <w:left w:val="nil"/>
          <w:right w:val="nil"/>
        </w:tblBorders>
        <w:tblLayout w:type="fixed"/>
        <w:tblLook w:val="0000" w:firstRow="0" w:lastRow="0" w:firstColumn="0" w:lastColumn="0" w:noHBand="0" w:noVBand="0"/>
      </w:tblPr>
      <w:tblGrid>
        <w:gridCol w:w="3744"/>
        <w:gridCol w:w="2880"/>
        <w:gridCol w:w="2880"/>
      </w:tblGrid>
      <w:tr w:rsidR="00A963C7" w:rsidRPr="00A963C7" w14:paraId="622D5CBA" w14:textId="77777777" w:rsidTr="00A963C7">
        <w:tblPrEx>
          <w:tblCellMar>
            <w:top w:w="0" w:type="dxa"/>
            <w:bottom w:w="0" w:type="dxa"/>
          </w:tblCellMar>
        </w:tblPrEx>
        <w:trPr>
          <w:trHeight w:val="432"/>
        </w:trPr>
        <w:tc>
          <w:tcPr>
            <w:tcW w:w="3744" w:type="dxa"/>
            <w:tcBorders>
              <w:top w:val="single" w:sz="4" w:space="0" w:color="000000" w:themeColor="text1"/>
              <w:left w:val="single" w:sz="8" w:space="0" w:color="BFBFBF"/>
              <w:bottom w:val="single" w:sz="4" w:space="0" w:color="000000" w:themeColor="text1"/>
              <w:right w:val="single" w:sz="8" w:space="0" w:color="BFBFBF"/>
            </w:tcBorders>
            <w:tcMar>
              <w:top w:w="100" w:type="nil"/>
              <w:right w:w="100" w:type="nil"/>
            </w:tcMar>
            <w:vAlign w:val="center"/>
          </w:tcPr>
          <w:p w14:paraId="3848DE8F" w14:textId="77777777" w:rsidR="00A963C7" w:rsidRPr="00A963C7" w:rsidRDefault="00A963C7" w:rsidP="00A963C7">
            <w:pPr>
              <w:autoSpaceDE w:val="0"/>
              <w:autoSpaceDN w:val="0"/>
              <w:adjustRightInd w:val="0"/>
              <w:rPr>
                <w:rFonts w:ascii="Garamond" w:eastAsiaTheme="minorHAnsi" w:hAnsi="Garamond"/>
              </w:rPr>
            </w:pPr>
          </w:p>
        </w:tc>
        <w:tc>
          <w:tcPr>
            <w:tcW w:w="5760" w:type="dxa"/>
            <w:gridSpan w:val="2"/>
            <w:tcBorders>
              <w:top w:val="single" w:sz="4" w:space="0" w:color="000000" w:themeColor="text1"/>
              <w:left w:val="single" w:sz="8" w:space="0" w:color="BFBFBF"/>
              <w:bottom w:val="single" w:sz="4" w:space="0" w:color="000000" w:themeColor="text1"/>
              <w:right w:val="single" w:sz="8" w:space="0" w:color="BFBFBF"/>
            </w:tcBorders>
            <w:tcMar>
              <w:top w:w="100" w:type="nil"/>
              <w:right w:w="100" w:type="nil"/>
            </w:tcMar>
            <w:vAlign w:val="center"/>
          </w:tcPr>
          <w:p w14:paraId="28F53635" w14:textId="15FE530E"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b/>
                <w:bCs/>
              </w:rPr>
              <w:t>DV:</w:t>
            </w:r>
            <w:r w:rsidRPr="00A963C7">
              <w:rPr>
                <w:rFonts w:ascii="Garamond" w:eastAsiaTheme="minorHAnsi" w:hAnsi="Garamond"/>
              </w:rPr>
              <w:t xml:space="preserve"> </w:t>
            </w:r>
            <w:r w:rsidRPr="00A963C7">
              <w:rPr>
                <w:rFonts w:ascii="Garamond" w:eastAsiaTheme="minorHAnsi" w:hAnsi="Garamond"/>
              </w:rPr>
              <w:t>Subsequent Year Alumni Donations</w:t>
            </w:r>
          </w:p>
        </w:tc>
      </w:tr>
      <w:tr w:rsidR="00A963C7" w:rsidRPr="00A963C7" w14:paraId="3604FEDF" w14:textId="77777777" w:rsidTr="00A963C7">
        <w:tblPrEx>
          <w:tblBorders>
            <w:top w:val="none" w:sz="0" w:space="0" w:color="auto"/>
          </w:tblBorders>
          <w:tblCellMar>
            <w:top w:w="0" w:type="dxa"/>
            <w:bottom w:w="0" w:type="dxa"/>
          </w:tblCellMar>
        </w:tblPrEx>
        <w:trPr>
          <w:trHeight w:val="432"/>
        </w:trPr>
        <w:tc>
          <w:tcPr>
            <w:tcW w:w="3744" w:type="dxa"/>
            <w:tcBorders>
              <w:top w:val="single" w:sz="4" w:space="0" w:color="000000" w:themeColor="text1"/>
              <w:left w:val="single" w:sz="8" w:space="0" w:color="BFBFBF"/>
              <w:bottom w:val="single" w:sz="8" w:space="0" w:color="BFBFBF"/>
              <w:right w:val="single" w:sz="8" w:space="0" w:color="BFBFBF"/>
            </w:tcBorders>
            <w:tcMar>
              <w:top w:w="100" w:type="nil"/>
              <w:right w:w="100" w:type="nil"/>
            </w:tcMar>
            <w:vAlign w:val="center"/>
          </w:tcPr>
          <w:p w14:paraId="014B44BC" w14:textId="77777777" w:rsidR="00A963C7" w:rsidRPr="00A963C7" w:rsidRDefault="00A963C7" w:rsidP="00A963C7">
            <w:pPr>
              <w:autoSpaceDE w:val="0"/>
              <w:autoSpaceDN w:val="0"/>
              <w:adjustRightInd w:val="0"/>
              <w:rPr>
                <w:rFonts w:ascii="Garamond" w:eastAsiaTheme="minorHAnsi" w:hAnsi="Garamond"/>
              </w:rPr>
            </w:pPr>
            <w:r w:rsidRPr="00A963C7">
              <w:rPr>
                <w:rFonts w:ascii="Garamond" w:eastAsiaTheme="minorHAnsi" w:hAnsi="Garamond"/>
              </w:rPr>
              <w:t>Top Basketball Program Ranking</w:t>
            </w:r>
          </w:p>
        </w:tc>
        <w:tc>
          <w:tcPr>
            <w:tcW w:w="2880" w:type="dxa"/>
            <w:tcBorders>
              <w:top w:val="single" w:sz="4" w:space="0" w:color="000000" w:themeColor="text1"/>
              <w:left w:val="single" w:sz="8" w:space="0" w:color="BFBFBF"/>
              <w:bottom w:val="single" w:sz="8" w:space="0" w:color="BFBFBF"/>
              <w:right w:val="single" w:sz="8" w:space="0" w:color="BFBFBF"/>
            </w:tcBorders>
            <w:tcMar>
              <w:top w:w="100" w:type="nil"/>
              <w:right w:w="100" w:type="nil"/>
            </w:tcMar>
            <w:vAlign w:val="center"/>
          </w:tcPr>
          <w:p w14:paraId="3F9888C2"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500***</w:t>
            </w:r>
          </w:p>
        </w:tc>
        <w:tc>
          <w:tcPr>
            <w:tcW w:w="2880" w:type="dxa"/>
            <w:tcBorders>
              <w:top w:val="single" w:sz="4" w:space="0" w:color="000000" w:themeColor="text1"/>
              <w:left w:val="single" w:sz="8" w:space="0" w:color="BFBFBF"/>
              <w:bottom w:val="single" w:sz="8" w:space="0" w:color="BFBFBF"/>
              <w:right w:val="single" w:sz="8" w:space="0" w:color="BFBFBF"/>
            </w:tcBorders>
            <w:tcMar>
              <w:top w:w="100" w:type="nil"/>
              <w:right w:w="100" w:type="nil"/>
            </w:tcMar>
            <w:vAlign w:val="center"/>
          </w:tcPr>
          <w:p w14:paraId="59C3579D"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500***</w:t>
            </w:r>
          </w:p>
        </w:tc>
      </w:tr>
      <w:tr w:rsidR="00A963C7" w:rsidRPr="00A963C7" w14:paraId="30E19748" w14:textId="77777777" w:rsidTr="00A963C7">
        <w:tblPrEx>
          <w:tblBorders>
            <w:top w:val="none" w:sz="0" w:space="0" w:color="auto"/>
          </w:tblBorders>
          <w:tblCellMar>
            <w:top w:w="0" w:type="dxa"/>
            <w:bottom w:w="0" w:type="dxa"/>
          </w:tblCellMar>
        </w:tblPrEx>
        <w:trPr>
          <w:trHeight w:val="432"/>
        </w:trPr>
        <w:tc>
          <w:tcPr>
            <w:tcW w:w="37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B28CDF" w14:textId="77777777" w:rsidR="00A963C7" w:rsidRPr="00A963C7" w:rsidRDefault="00A963C7" w:rsidP="00A963C7">
            <w:pPr>
              <w:autoSpaceDE w:val="0"/>
              <w:autoSpaceDN w:val="0"/>
              <w:adjustRightInd w:val="0"/>
              <w:rPr>
                <w:rFonts w:ascii="Garamond" w:eastAsiaTheme="minorHAnsi" w:hAnsi="Garamond"/>
              </w:rPr>
            </w:pP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D33B5F"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(.27)</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99AF29"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(.24)</w:t>
            </w:r>
          </w:p>
        </w:tc>
      </w:tr>
      <w:tr w:rsidR="00A963C7" w:rsidRPr="00A963C7" w14:paraId="6A1D2E7C" w14:textId="77777777" w:rsidTr="00A963C7">
        <w:tblPrEx>
          <w:tblBorders>
            <w:top w:val="none" w:sz="0" w:space="0" w:color="auto"/>
          </w:tblBorders>
          <w:tblCellMar>
            <w:top w:w="0" w:type="dxa"/>
            <w:bottom w:w="0" w:type="dxa"/>
          </w:tblCellMar>
        </w:tblPrEx>
        <w:trPr>
          <w:trHeight w:val="432"/>
        </w:trPr>
        <w:tc>
          <w:tcPr>
            <w:tcW w:w="37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756166" w14:textId="77777777" w:rsidR="00A963C7" w:rsidRPr="00A963C7" w:rsidRDefault="00A963C7" w:rsidP="00A963C7">
            <w:pPr>
              <w:autoSpaceDE w:val="0"/>
              <w:autoSpaceDN w:val="0"/>
              <w:adjustRightInd w:val="0"/>
              <w:rPr>
                <w:rFonts w:ascii="Garamond" w:eastAsiaTheme="minorHAnsi" w:hAnsi="Garamond"/>
              </w:rPr>
            </w:pPr>
            <w:r w:rsidRPr="00A963C7">
              <w:rPr>
                <w:rFonts w:ascii="Garamond" w:eastAsiaTheme="minorHAnsi" w:hAnsi="Garamond"/>
              </w:rPr>
              <w:t>School Academic Quality</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266165"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102***</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732346" w14:textId="6F58FEC0"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1</w:t>
            </w:r>
            <w:r>
              <w:rPr>
                <w:rFonts w:ascii="Garamond" w:eastAsiaTheme="minorHAnsi" w:hAnsi="Garamond"/>
              </w:rPr>
              <w:t>00</w:t>
            </w:r>
            <w:r w:rsidRPr="00A963C7">
              <w:rPr>
                <w:rFonts w:ascii="Garamond" w:eastAsiaTheme="minorHAnsi" w:hAnsi="Garamond"/>
              </w:rPr>
              <w:t>***</w:t>
            </w:r>
          </w:p>
        </w:tc>
      </w:tr>
      <w:tr w:rsidR="00A963C7" w:rsidRPr="00A963C7" w14:paraId="78175891" w14:textId="77777777" w:rsidTr="00A963C7">
        <w:tblPrEx>
          <w:tblBorders>
            <w:top w:val="none" w:sz="0" w:space="0" w:color="auto"/>
          </w:tblBorders>
          <w:tblCellMar>
            <w:top w:w="0" w:type="dxa"/>
            <w:bottom w:w="0" w:type="dxa"/>
          </w:tblCellMar>
        </w:tblPrEx>
        <w:trPr>
          <w:trHeight w:val="432"/>
        </w:trPr>
        <w:tc>
          <w:tcPr>
            <w:tcW w:w="37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8D4720" w14:textId="77777777" w:rsidR="00A963C7" w:rsidRPr="00A963C7" w:rsidRDefault="00A963C7" w:rsidP="00A963C7">
            <w:pPr>
              <w:autoSpaceDE w:val="0"/>
              <w:autoSpaceDN w:val="0"/>
              <w:adjustRightInd w:val="0"/>
              <w:rPr>
                <w:rFonts w:ascii="Garamond" w:eastAsiaTheme="minorHAnsi" w:hAnsi="Garamond"/>
              </w:rPr>
            </w:pP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EE8F09"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(1.9)</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F22237"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(.87)</w:t>
            </w:r>
          </w:p>
        </w:tc>
      </w:tr>
      <w:tr w:rsidR="00A963C7" w:rsidRPr="00A963C7" w14:paraId="220E9FAF" w14:textId="77777777" w:rsidTr="00A963C7">
        <w:tblPrEx>
          <w:tblBorders>
            <w:top w:val="none" w:sz="0" w:space="0" w:color="auto"/>
          </w:tblBorders>
          <w:tblCellMar>
            <w:top w:w="0" w:type="dxa"/>
            <w:bottom w:w="0" w:type="dxa"/>
          </w:tblCellMar>
        </w:tblPrEx>
        <w:trPr>
          <w:trHeight w:val="432"/>
        </w:trPr>
        <w:tc>
          <w:tcPr>
            <w:tcW w:w="37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ADA28B" w14:textId="77777777" w:rsidR="00A963C7" w:rsidRPr="00A963C7" w:rsidRDefault="00A963C7" w:rsidP="00A963C7">
            <w:pPr>
              <w:autoSpaceDE w:val="0"/>
              <w:autoSpaceDN w:val="0"/>
              <w:adjustRightInd w:val="0"/>
              <w:rPr>
                <w:rFonts w:ascii="Garamond" w:eastAsiaTheme="minorHAnsi" w:hAnsi="Garamond"/>
              </w:rPr>
            </w:pPr>
            <w:r w:rsidRPr="00A963C7">
              <w:rPr>
                <w:rFonts w:ascii="Garamond" w:eastAsiaTheme="minorHAnsi" w:hAnsi="Garamond"/>
              </w:rPr>
              <w:t>School Athletic Quality</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418FAE"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47***</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31D03D"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51***</w:t>
            </w:r>
          </w:p>
        </w:tc>
      </w:tr>
      <w:tr w:rsidR="00A963C7" w:rsidRPr="00A963C7" w14:paraId="259EC7C8" w14:textId="77777777" w:rsidTr="00A963C7">
        <w:tblPrEx>
          <w:tblBorders>
            <w:top w:val="none" w:sz="0" w:space="0" w:color="auto"/>
          </w:tblBorders>
          <w:tblCellMar>
            <w:top w:w="0" w:type="dxa"/>
            <w:bottom w:w="0" w:type="dxa"/>
          </w:tblCellMar>
        </w:tblPrEx>
        <w:trPr>
          <w:trHeight w:val="432"/>
        </w:trPr>
        <w:tc>
          <w:tcPr>
            <w:tcW w:w="37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10C927" w14:textId="77777777" w:rsidR="00A963C7" w:rsidRPr="00A963C7" w:rsidRDefault="00A963C7" w:rsidP="00A963C7">
            <w:pPr>
              <w:autoSpaceDE w:val="0"/>
              <w:autoSpaceDN w:val="0"/>
              <w:adjustRightInd w:val="0"/>
              <w:rPr>
                <w:rFonts w:ascii="Garamond" w:eastAsiaTheme="minorHAnsi" w:hAnsi="Garamond"/>
              </w:rPr>
            </w:pP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01A911"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(4.1)</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BFF173"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(1.9)</w:t>
            </w:r>
          </w:p>
        </w:tc>
      </w:tr>
      <w:tr w:rsidR="00A963C7" w:rsidRPr="00A963C7" w14:paraId="77F23AE9" w14:textId="77777777" w:rsidTr="00A963C7">
        <w:tblPrEx>
          <w:tblBorders>
            <w:top w:val="none" w:sz="0" w:space="0" w:color="auto"/>
          </w:tblBorders>
          <w:tblCellMar>
            <w:top w:w="0" w:type="dxa"/>
            <w:bottom w:w="0" w:type="dxa"/>
          </w:tblCellMar>
        </w:tblPrEx>
        <w:trPr>
          <w:trHeight w:val="432"/>
        </w:trPr>
        <w:tc>
          <w:tcPr>
            <w:tcW w:w="37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631900" w14:textId="77777777" w:rsidR="00A963C7" w:rsidRPr="00A963C7" w:rsidRDefault="00A963C7" w:rsidP="00A963C7">
            <w:pPr>
              <w:autoSpaceDE w:val="0"/>
              <w:autoSpaceDN w:val="0"/>
              <w:adjustRightInd w:val="0"/>
              <w:rPr>
                <w:rFonts w:ascii="Garamond" w:eastAsiaTheme="minorHAnsi" w:hAnsi="Garamond"/>
              </w:rPr>
            </w:pPr>
            <w:r w:rsidRPr="00A963C7">
              <w:rPr>
                <w:rFonts w:ascii="Garamond" w:eastAsiaTheme="minorHAnsi" w:hAnsi="Garamond"/>
              </w:rPr>
              <w:t>Proximity to Metropolitan Area</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C2EA92"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997***</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ADA726"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1,000***</w:t>
            </w:r>
          </w:p>
        </w:tc>
      </w:tr>
      <w:tr w:rsidR="00A963C7" w:rsidRPr="00A963C7" w14:paraId="0845AC55" w14:textId="77777777" w:rsidTr="00A963C7">
        <w:tblPrEx>
          <w:tblBorders>
            <w:top w:val="none" w:sz="0" w:space="0" w:color="auto"/>
          </w:tblBorders>
          <w:tblCellMar>
            <w:top w:w="0" w:type="dxa"/>
            <w:bottom w:w="0" w:type="dxa"/>
          </w:tblCellMar>
        </w:tblPrEx>
        <w:trPr>
          <w:trHeight w:val="432"/>
        </w:trPr>
        <w:tc>
          <w:tcPr>
            <w:tcW w:w="37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CB023E" w14:textId="77777777" w:rsidR="00A963C7" w:rsidRPr="00A963C7" w:rsidRDefault="00A963C7" w:rsidP="00A963C7">
            <w:pPr>
              <w:autoSpaceDE w:val="0"/>
              <w:autoSpaceDN w:val="0"/>
              <w:adjustRightInd w:val="0"/>
              <w:rPr>
                <w:rFonts w:ascii="Garamond" w:eastAsiaTheme="minorHAnsi" w:hAnsi="Garamond"/>
              </w:rPr>
            </w:pP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21D944"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(3.4)</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98F040"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(1.5)</w:t>
            </w:r>
          </w:p>
        </w:tc>
      </w:tr>
      <w:tr w:rsidR="00A963C7" w:rsidRPr="00A963C7" w14:paraId="1D9E24C6" w14:textId="77777777" w:rsidTr="00A963C7">
        <w:tblPrEx>
          <w:tblBorders>
            <w:top w:val="none" w:sz="0" w:space="0" w:color="auto"/>
          </w:tblBorders>
          <w:tblCellMar>
            <w:top w:w="0" w:type="dxa"/>
            <w:bottom w:w="0" w:type="dxa"/>
          </w:tblCellMar>
        </w:tblPrEx>
        <w:trPr>
          <w:trHeight w:val="432"/>
        </w:trPr>
        <w:tc>
          <w:tcPr>
            <w:tcW w:w="37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F0EDA0" w14:textId="77777777" w:rsidR="00A963C7" w:rsidRPr="00A963C7" w:rsidRDefault="00A963C7" w:rsidP="00A963C7">
            <w:pPr>
              <w:autoSpaceDE w:val="0"/>
              <w:autoSpaceDN w:val="0"/>
              <w:adjustRightInd w:val="0"/>
              <w:rPr>
                <w:rFonts w:ascii="Garamond" w:eastAsiaTheme="minorHAnsi" w:hAnsi="Garamond"/>
              </w:rPr>
            </w:pPr>
            <w:r w:rsidRPr="00A963C7">
              <w:rPr>
                <w:rFonts w:ascii="Garamond" w:eastAsiaTheme="minorHAnsi" w:hAnsi="Garamond"/>
              </w:rPr>
              <w:t>Constant</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D90E87"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-.21</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0F578A"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.073</w:t>
            </w:r>
          </w:p>
        </w:tc>
      </w:tr>
      <w:tr w:rsidR="00A963C7" w:rsidRPr="00A963C7" w14:paraId="41353BD7" w14:textId="77777777" w:rsidTr="00A963C7">
        <w:tblPrEx>
          <w:tblBorders>
            <w:top w:val="none" w:sz="0" w:space="0" w:color="auto"/>
          </w:tblBorders>
          <w:tblCellMar>
            <w:top w:w="0" w:type="dxa"/>
            <w:bottom w:w="0" w:type="dxa"/>
          </w:tblCellMar>
        </w:tblPrEx>
        <w:trPr>
          <w:trHeight w:val="432"/>
        </w:trPr>
        <w:tc>
          <w:tcPr>
            <w:tcW w:w="3744"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6F57906" w14:textId="77777777" w:rsidR="00A963C7" w:rsidRPr="00A963C7" w:rsidRDefault="00A963C7" w:rsidP="00A963C7">
            <w:pPr>
              <w:autoSpaceDE w:val="0"/>
              <w:autoSpaceDN w:val="0"/>
              <w:adjustRightInd w:val="0"/>
              <w:rPr>
                <w:rFonts w:ascii="Garamond" w:eastAsiaTheme="minorHAnsi" w:hAnsi="Garamond"/>
              </w:rPr>
            </w:pPr>
          </w:p>
        </w:tc>
        <w:tc>
          <w:tcPr>
            <w:tcW w:w="288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230C4C1"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(1)</w:t>
            </w:r>
          </w:p>
        </w:tc>
        <w:tc>
          <w:tcPr>
            <w:tcW w:w="288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3F8F754"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(.43)</w:t>
            </w:r>
          </w:p>
        </w:tc>
      </w:tr>
      <w:tr w:rsidR="00A963C7" w:rsidRPr="00A963C7" w14:paraId="1447662C" w14:textId="77777777" w:rsidTr="00A963C7">
        <w:tblPrEx>
          <w:tblCellMar>
            <w:top w:w="0" w:type="dxa"/>
            <w:bottom w:w="0" w:type="dxa"/>
          </w:tblCellMar>
        </w:tblPrEx>
        <w:trPr>
          <w:trHeight w:val="432"/>
        </w:trPr>
        <w:tc>
          <w:tcPr>
            <w:tcW w:w="3744"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2457748" w14:textId="77777777" w:rsidR="00A963C7" w:rsidRPr="00A963C7" w:rsidRDefault="00A963C7" w:rsidP="00A963C7">
            <w:pPr>
              <w:autoSpaceDE w:val="0"/>
              <w:autoSpaceDN w:val="0"/>
              <w:adjustRightInd w:val="0"/>
              <w:rPr>
                <w:rFonts w:ascii="Garamond" w:eastAsiaTheme="minorHAnsi" w:hAnsi="Garamond"/>
              </w:rPr>
            </w:pPr>
            <w:r w:rsidRPr="00A963C7">
              <w:rPr>
                <w:rFonts w:ascii="Garamond" w:eastAsiaTheme="minorHAnsi" w:hAnsi="Garamond"/>
              </w:rPr>
              <w:t>Fixed Effects Block at Units of:</w:t>
            </w:r>
          </w:p>
        </w:tc>
        <w:tc>
          <w:tcPr>
            <w:tcW w:w="288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DFDC645"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4</w:t>
            </w:r>
          </w:p>
        </w:tc>
        <w:tc>
          <w:tcPr>
            <w:tcW w:w="288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BAC18FC" w14:textId="77777777" w:rsidR="00A963C7" w:rsidRPr="00A963C7" w:rsidRDefault="00A963C7" w:rsidP="00A963C7">
            <w:pPr>
              <w:autoSpaceDE w:val="0"/>
              <w:autoSpaceDN w:val="0"/>
              <w:adjustRightInd w:val="0"/>
              <w:jc w:val="center"/>
              <w:rPr>
                <w:rFonts w:ascii="Garamond" w:eastAsiaTheme="minorHAnsi" w:hAnsi="Garamond"/>
              </w:rPr>
            </w:pPr>
            <w:r w:rsidRPr="00A963C7">
              <w:rPr>
                <w:rFonts w:ascii="Garamond" w:eastAsiaTheme="minorHAnsi" w:hAnsi="Garamond"/>
              </w:rPr>
              <w:t>10</w:t>
            </w:r>
          </w:p>
        </w:tc>
      </w:tr>
    </w:tbl>
    <w:p w14:paraId="118EE2D1" w14:textId="77777777" w:rsidR="00A963C7" w:rsidRPr="00A963C7" w:rsidRDefault="00A963C7" w:rsidP="00A963C7">
      <w:pPr>
        <w:autoSpaceDE w:val="0"/>
        <w:autoSpaceDN w:val="0"/>
        <w:adjustRightInd w:val="0"/>
        <w:spacing w:line="360" w:lineRule="auto"/>
        <w:rPr>
          <w:rFonts w:ascii="Garamond" w:eastAsiaTheme="minorHAnsi" w:hAnsi="Garamond"/>
        </w:rPr>
      </w:pPr>
    </w:p>
    <w:p w14:paraId="0D5D35FD" w14:textId="2F48A92D" w:rsidR="00A963C7" w:rsidRPr="00A963C7" w:rsidRDefault="00A963C7" w:rsidP="00A963C7">
      <w:pPr>
        <w:autoSpaceDE w:val="0"/>
        <w:autoSpaceDN w:val="0"/>
        <w:adjustRightInd w:val="0"/>
        <w:spacing w:line="360" w:lineRule="auto"/>
        <w:rPr>
          <w:rFonts w:ascii="Garamond" w:eastAsiaTheme="minorHAnsi" w:hAnsi="Garamond"/>
        </w:rPr>
      </w:pPr>
      <w:r w:rsidRPr="00A963C7">
        <w:rPr>
          <w:rFonts w:ascii="Garamond" w:eastAsiaTheme="minorHAnsi" w:hAnsi="Garamond"/>
        </w:rPr>
        <w:t>Standard errors in parentheses</w:t>
      </w:r>
      <w:r w:rsidRPr="00A963C7">
        <w:rPr>
          <w:rFonts w:ascii="Garamond" w:eastAsiaTheme="minorHAnsi" w:hAnsi="Garamond"/>
        </w:rPr>
        <w:t xml:space="preserve">: </w:t>
      </w:r>
      <w:r w:rsidRPr="00A963C7">
        <w:rPr>
          <w:rFonts w:ascii="Garamond" w:eastAsiaTheme="minorHAnsi" w:hAnsi="Garamond"/>
        </w:rPr>
        <w:t>* p&lt;0.1, ** p&lt;0.05, *** p&lt;0.01</w:t>
      </w:r>
    </w:p>
    <w:p w14:paraId="4BECD5D8" w14:textId="77777777" w:rsidR="00A963C7" w:rsidRDefault="00A963C7" w:rsidP="00A963C7">
      <w:pPr>
        <w:autoSpaceDE w:val="0"/>
        <w:autoSpaceDN w:val="0"/>
        <w:adjustRightInd w:val="0"/>
        <w:rPr>
          <w:rFonts w:eastAsiaTheme="minorHAnsi"/>
        </w:rPr>
      </w:pPr>
    </w:p>
    <w:p w14:paraId="256E4AE9" w14:textId="08652C31" w:rsidR="00A963C7" w:rsidRDefault="00A963C7" w:rsidP="00A963C7">
      <w:pPr>
        <w:tabs>
          <w:tab w:val="left" w:pos="2067"/>
        </w:tabs>
        <w:spacing w:line="360" w:lineRule="auto"/>
        <w:jc w:val="both"/>
        <w:rPr>
          <w:rFonts w:ascii="Garamond" w:hAnsi="Garamond"/>
        </w:rPr>
      </w:pPr>
      <w:r>
        <w:rPr>
          <w:rFonts w:ascii="Garamond" w:hAnsi="Garamond"/>
        </w:rPr>
        <w:t xml:space="preserve">The coefficients of the covariates and the block fixed effects have very little interpretation here. This is primarily because these covariates are significantly correlated with the block fixed effects. Thus, with high collinearity, the coefficients are biased and unstable. However, we can still safely interpret the coefficient of the Basketball program ranking (treatment effect), and this is positive. </w:t>
      </w:r>
    </w:p>
    <w:p w14:paraId="2C5D1B95" w14:textId="0AF7FD6C" w:rsidR="00025217" w:rsidRDefault="00025217" w:rsidP="00A963C7">
      <w:pPr>
        <w:tabs>
          <w:tab w:val="left" w:pos="2067"/>
        </w:tabs>
        <w:spacing w:line="360" w:lineRule="auto"/>
        <w:jc w:val="both"/>
        <w:rPr>
          <w:rFonts w:ascii="Garamond" w:hAnsi="Garamond"/>
        </w:rPr>
      </w:pPr>
    </w:p>
    <w:p w14:paraId="66C1C6FD" w14:textId="46366143" w:rsidR="00025217" w:rsidRPr="008F0E3B" w:rsidRDefault="00025217" w:rsidP="00A963C7">
      <w:pPr>
        <w:tabs>
          <w:tab w:val="left" w:pos="2067"/>
        </w:tabs>
        <w:spacing w:line="360" w:lineRule="auto"/>
        <w:jc w:val="both"/>
        <w:rPr>
          <w:rFonts w:ascii="Garamond" w:hAnsi="Garamond"/>
        </w:rPr>
      </w:pPr>
      <w:r>
        <w:rPr>
          <w:rFonts w:ascii="Garamond" w:hAnsi="Garamond"/>
        </w:rPr>
        <w:lastRenderedPageBreak/>
        <w:t xml:space="preserve">Thus, on average, keeping the covariates constant, being ranked in this basketball program meant that the school received an additional 500,000 dollars in alumni donations in the subsequent year. </w:t>
      </w:r>
    </w:p>
    <w:sectPr w:rsidR="00025217" w:rsidRPr="008F0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2F09"/>
    <w:multiLevelType w:val="multilevel"/>
    <w:tmpl w:val="50DE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C94556"/>
    <w:multiLevelType w:val="hybridMultilevel"/>
    <w:tmpl w:val="706E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74"/>
    <w:rsid w:val="00025217"/>
    <w:rsid w:val="002F2B9A"/>
    <w:rsid w:val="003E7874"/>
    <w:rsid w:val="00631C35"/>
    <w:rsid w:val="008F0E3B"/>
    <w:rsid w:val="00A963C7"/>
    <w:rsid w:val="00E41959"/>
    <w:rsid w:val="00EC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957D4"/>
  <w15:chartTrackingRefBased/>
  <w15:docId w15:val="{C849A404-0133-0A45-9FEB-7D1BC623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95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874"/>
    <w:pPr>
      <w:ind w:left="720"/>
      <w:contextualSpacing/>
    </w:pPr>
  </w:style>
  <w:style w:type="paragraph" w:styleId="NormalWeb">
    <w:name w:val="Normal (Web)"/>
    <w:basedOn w:val="Normal"/>
    <w:uiPriority w:val="99"/>
    <w:semiHidden/>
    <w:unhideWhenUsed/>
    <w:rsid w:val="00E4195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Nandil</dc:creator>
  <cp:keywords/>
  <dc:description/>
  <cp:lastModifiedBy>Bhatia, Nandil</cp:lastModifiedBy>
  <cp:revision>3</cp:revision>
  <dcterms:created xsi:type="dcterms:W3CDTF">2021-11-10T15:36:00Z</dcterms:created>
  <dcterms:modified xsi:type="dcterms:W3CDTF">2021-11-10T16:37:00Z</dcterms:modified>
</cp:coreProperties>
</file>