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323EE" w14:textId="359C13CA" w:rsidR="00BA6FB8" w:rsidRPr="00BA6FB8" w:rsidRDefault="00BA6FB8" w:rsidP="00BA6FB8">
      <w:pPr>
        <w:pStyle w:val="ListParagraph"/>
        <w:numPr>
          <w:ilvl w:val="0"/>
          <w:numId w:val="1"/>
        </w:numPr>
        <w:autoSpaceDE w:val="0"/>
        <w:autoSpaceDN w:val="0"/>
        <w:adjustRightInd w:val="0"/>
        <w:rPr>
          <w:rFonts w:ascii="Garamond" w:hAnsi="Garamond" w:cs="Times New Roman"/>
          <w:b/>
          <w:bCs/>
        </w:rPr>
      </w:pPr>
      <w:r w:rsidRPr="00BA6FB8">
        <w:rPr>
          <w:rFonts w:ascii="Garamond" w:hAnsi="Garamond" w:cs="Times New Roman"/>
          <w:b/>
          <w:bCs/>
        </w:rPr>
        <w:t>Research Methods-2 Assignment – Homework 2</w:t>
      </w:r>
    </w:p>
    <w:p w14:paraId="2C27A411" w14:textId="07CDDE4C" w:rsidR="00BA6FB8" w:rsidRDefault="00BA6FB8" w:rsidP="00BA6FB8">
      <w:pPr>
        <w:autoSpaceDE w:val="0"/>
        <w:autoSpaceDN w:val="0"/>
        <w:adjustRightInd w:val="0"/>
        <w:rPr>
          <w:rFonts w:ascii="Times New Roman" w:hAnsi="Times New Roman" w:cs="Times New Roman"/>
        </w:rPr>
      </w:pPr>
    </w:p>
    <w:p w14:paraId="7FD5ACF9" w14:textId="7B79668A" w:rsidR="00BA6FB8" w:rsidRDefault="00B449C2" w:rsidP="00B449C2">
      <w:pPr>
        <w:autoSpaceDE w:val="0"/>
        <w:autoSpaceDN w:val="0"/>
        <w:adjustRightInd w:val="0"/>
        <w:jc w:val="both"/>
        <w:rPr>
          <w:rFonts w:ascii="Garamond" w:hAnsi="Garamond" w:cs="Times New Roman"/>
        </w:rPr>
      </w:pPr>
      <w:r w:rsidRPr="00B449C2">
        <w:rPr>
          <w:rFonts w:ascii="Garamond" w:hAnsi="Garamond" w:cs="Times New Roman"/>
        </w:rPr>
        <w:t>The graph below represents the traditional Differences-in-Differences analysis. The Treated group comprises of the 23 states that received the treatment of Vaping Ban in the post</w:t>
      </w:r>
      <w:r>
        <w:rPr>
          <w:rFonts w:ascii="Garamond" w:hAnsi="Garamond" w:cs="Times New Roman"/>
        </w:rPr>
        <w:t>-</w:t>
      </w:r>
      <w:r w:rsidRPr="00B449C2">
        <w:rPr>
          <w:rFonts w:ascii="Garamond" w:hAnsi="Garamond" w:cs="Times New Roman"/>
        </w:rPr>
        <w:t xml:space="preserve">2020 period, whereas not treated group </w:t>
      </w:r>
      <w:r>
        <w:rPr>
          <w:rFonts w:ascii="Garamond" w:hAnsi="Garamond" w:cs="Times New Roman"/>
        </w:rPr>
        <w:t>comprises of</w:t>
      </w:r>
      <w:r w:rsidRPr="00B449C2">
        <w:rPr>
          <w:rFonts w:ascii="Garamond" w:hAnsi="Garamond" w:cs="Times New Roman"/>
        </w:rPr>
        <w:t xml:space="preserve"> the 27 states </w:t>
      </w:r>
      <w:r>
        <w:rPr>
          <w:rFonts w:ascii="Garamond" w:hAnsi="Garamond" w:cs="Times New Roman"/>
        </w:rPr>
        <w:t>that</w:t>
      </w:r>
      <w:r w:rsidRPr="00B449C2">
        <w:rPr>
          <w:rFonts w:ascii="Garamond" w:hAnsi="Garamond" w:cs="Times New Roman"/>
        </w:rPr>
        <w:t xml:space="preserve"> do not have such a law throughout the panel. </w:t>
      </w:r>
    </w:p>
    <w:p w14:paraId="7B5FC818" w14:textId="248C4C9D" w:rsidR="00B449C2" w:rsidRDefault="00B449C2" w:rsidP="00B449C2">
      <w:pPr>
        <w:autoSpaceDE w:val="0"/>
        <w:autoSpaceDN w:val="0"/>
        <w:adjustRightInd w:val="0"/>
        <w:jc w:val="both"/>
        <w:rPr>
          <w:rFonts w:ascii="Garamond" w:hAnsi="Garamond" w:cs="Times New Roman"/>
        </w:rPr>
      </w:pPr>
    </w:p>
    <w:p w14:paraId="3563DB4F" w14:textId="7B2F12CF" w:rsidR="00B449C2" w:rsidRDefault="00B449C2" w:rsidP="00B449C2">
      <w:pPr>
        <w:autoSpaceDE w:val="0"/>
        <w:autoSpaceDN w:val="0"/>
        <w:adjustRightInd w:val="0"/>
        <w:jc w:val="both"/>
        <w:rPr>
          <w:rFonts w:ascii="Garamond" w:hAnsi="Garamond" w:cs="Times New Roman"/>
        </w:rPr>
      </w:pPr>
      <w:r w:rsidRPr="005A7D6E">
        <w:rPr>
          <w:rFonts w:ascii="Garamond" w:hAnsi="Garamond" w:cs="Times New Roman"/>
          <w:b/>
          <w:bCs/>
        </w:rPr>
        <w:t>Pre-trends:</w:t>
      </w:r>
      <w:r>
        <w:rPr>
          <w:rFonts w:ascii="Garamond" w:hAnsi="Garamond" w:cs="Times New Roman"/>
        </w:rPr>
        <w:t xml:space="preserve"> It is evident that throughout the 2010-20 period (which serves as the pre-treatment time), the time trends between the two groups are extremely similar. There is only a very slight positive slope that remains across the two groups. The model to test the similarity of the two slopes (treatment and control group) is also listed in Table 1 (Model 1).</w:t>
      </w:r>
      <w:r w:rsidR="005A7D6E">
        <w:rPr>
          <w:rFonts w:ascii="Garamond" w:hAnsi="Garamond" w:cs="Times New Roman"/>
        </w:rPr>
        <w:t xml:space="preserve"> Here, we use Lung Hospitalizations as the DV in the pre-treatment period, and the IV is the year itself (to get a trend across years). The interaction term (that is not significant) tests whether there is a difference in slopes of the two groups (treated vs control) for the time variable)</w:t>
      </w:r>
    </w:p>
    <w:p w14:paraId="4A36CA29" w14:textId="32F65558" w:rsidR="00B449C2" w:rsidRDefault="00B449C2" w:rsidP="00B449C2">
      <w:pPr>
        <w:autoSpaceDE w:val="0"/>
        <w:autoSpaceDN w:val="0"/>
        <w:adjustRightInd w:val="0"/>
        <w:jc w:val="both"/>
        <w:rPr>
          <w:rFonts w:ascii="Garamond" w:hAnsi="Garamond" w:cs="Times New Roman"/>
        </w:rPr>
      </w:pPr>
    </w:p>
    <w:p w14:paraId="2F34F1A1" w14:textId="6AA006FE" w:rsidR="00B449C2" w:rsidRDefault="00B449C2" w:rsidP="00B449C2">
      <w:pPr>
        <w:autoSpaceDE w:val="0"/>
        <w:autoSpaceDN w:val="0"/>
        <w:adjustRightInd w:val="0"/>
        <w:jc w:val="both"/>
        <w:rPr>
          <w:rFonts w:ascii="Garamond" w:hAnsi="Garamond" w:cs="Times New Roman"/>
        </w:rPr>
      </w:pPr>
      <w:r>
        <w:rPr>
          <w:rFonts w:ascii="Garamond" w:hAnsi="Garamond" w:cs="Times New Roman"/>
        </w:rPr>
        <w:t xml:space="preserve">The year 2021 is the first year with the Vaping Ban, and we can see a stark decrease in the number of lung hospitalizations immediately following this ban in the treated group. This is evidence for the causal effect of the vaping ban on reduced lung hospitalizations. In model 2 (Table 2), we test for the effect of Vaping Ban on lung hospitalizations, controlling for both individual state effects and time effects through fixed effects. The coefficient is significant and negative. </w:t>
      </w:r>
    </w:p>
    <w:p w14:paraId="18392A19" w14:textId="77777777" w:rsidR="00B449C2" w:rsidRDefault="00B449C2" w:rsidP="00B449C2">
      <w:pPr>
        <w:autoSpaceDE w:val="0"/>
        <w:autoSpaceDN w:val="0"/>
        <w:adjustRightInd w:val="0"/>
        <w:jc w:val="both"/>
        <w:rPr>
          <w:rFonts w:ascii="Garamond" w:hAnsi="Garamond" w:cs="Times New Roman"/>
        </w:rPr>
      </w:pPr>
    </w:p>
    <w:p w14:paraId="40C233E1" w14:textId="25D5F7AF" w:rsidR="00B449C2" w:rsidRDefault="00B449C2" w:rsidP="00B449C2">
      <w:pPr>
        <w:autoSpaceDE w:val="0"/>
        <w:autoSpaceDN w:val="0"/>
        <w:adjustRightInd w:val="0"/>
        <w:jc w:val="both"/>
        <w:rPr>
          <w:rFonts w:ascii="Garamond" w:hAnsi="Garamond" w:cs="Times New Roman"/>
        </w:rPr>
      </w:pPr>
      <w:r w:rsidRPr="00B449C2">
        <w:rPr>
          <w:rFonts w:ascii="Garamond" w:hAnsi="Garamond" w:cs="Times New Roman"/>
          <w:b/>
          <w:bCs/>
        </w:rPr>
        <w:t>Figure 1:</w:t>
      </w:r>
      <w:r>
        <w:rPr>
          <w:rFonts w:ascii="Garamond" w:hAnsi="Garamond" w:cs="Times New Roman"/>
        </w:rPr>
        <w:t xml:space="preserve"> </w:t>
      </w:r>
      <w:r w:rsidRPr="00B449C2">
        <w:rPr>
          <w:rFonts w:ascii="Garamond" w:hAnsi="Garamond" w:cs="Times New Roman"/>
          <w:u w:val="single"/>
        </w:rPr>
        <w:t>Differences-in-Differences Graph for our data</w:t>
      </w:r>
    </w:p>
    <w:p w14:paraId="45A3CD98" w14:textId="77777777" w:rsidR="00B449C2" w:rsidRPr="00B449C2" w:rsidRDefault="00B449C2" w:rsidP="00B449C2">
      <w:pPr>
        <w:autoSpaceDE w:val="0"/>
        <w:autoSpaceDN w:val="0"/>
        <w:adjustRightInd w:val="0"/>
        <w:jc w:val="both"/>
        <w:rPr>
          <w:rFonts w:ascii="Garamond" w:hAnsi="Garamond" w:cs="Times New Roman"/>
        </w:rPr>
      </w:pPr>
    </w:p>
    <w:p w14:paraId="346AC16E" w14:textId="4555DB71" w:rsidR="00BA6FB8" w:rsidRDefault="00BA6FB8" w:rsidP="00BA6FB8">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09D062FC" wp14:editId="7C8BA1A5">
            <wp:extent cx="5816851" cy="4227160"/>
            <wp:effectExtent l="0" t="0" r="0" b="254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23749" cy="4232173"/>
                    </a:xfrm>
                    <a:prstGeom prst="rect">
                      <a:avLst/>
                    </a:prstGeom>
                  </pic:spPr>
                </pic:pic>
              </a:graphicData>
            </a:graphic>
          </wp:inline>
        </w:drawing>
      </w:r>
    </w:p>
    <w:p w14:paraId="1E3F008D" w14:textId="4359C278" w:rsidR="00823084" w:rsidRDefault="00823084"/>
    <w:p w14:paraId="658652BA" w14:textId="13C536EC" w:rsidR="00BA6FB8" w:rsidRDefault="00BA6FB8"/>
    <w:p w14:paraId="0FD8B881" w14:textId="082AEC42" w:rsidR="00B449C2" w:rsidRDefault="00B449C2"/>
    <w:p w14:paraId="71B646B6" w14:textId="2DF33062" w:rsidR="00B449C2" w:rsidRDefault="00B449C2">
      <w:pPr>
        <w:rPr>
          <w:rFonts w:ascii="Garamond" w:hAnsi="Garamond"/>
        </w:rPr>
      </w:pPr>
      <w:r w:rsidRPr="00B449C2">
        <w:rPr>
          <w:rFonts w:ascii="Garamond" w:hAnsi="Garamond"/>
          <w:b/>
          <w:bCs/>
        </w:rPr>
        <w:t>Table 1:</w:t>
      </w:r>
      <w:r w:rsidRPr="00B449C2">
        <w:rPr>
          <w:rFonts w:ascii="Garamond" w:hAnsi="Garamond"/>
        </w:rPr>
        <w:t xml:space="preserve"> </w:t>
      </w:r>
      <w:r w:rsidRPr="00B449C2">
        <w:rPr>
          <w:rFonts w:ascii="Garamond" w:hAnsi="Garamond"/>
          <w:u w:val="single"/>
        </w:rPr>
        <w:t>Regression Results</w:t>
      </w:r>
    </w:p>
    <w:p w14:paraId="6593F757" w14:textId="77777777" w:rsidR="00B449C2" w:rsidRPr="00B449C2" w:rsidRDefault="00B449C2">
      <w:pPr>
        <w:rPr>
          <w:rFonts w:ascii="Garamond" w:hAnsi="Garamond"/>
        </w:rPr>
      </w:pPr>
    </w:p>
    <w:tbl>
      <w:tblPr>
        <w:tblW w:w="0" w:type="auto"/>
        <w:tblInd w:w="-118" w:type="dxa"/>
        <w:tblLayout w:type="fixed"/>
        <w:tblLook w:val="0000" w:firstRow="0" w:lastRow="0" w:firstColumn="0" w:lastColumn="0" w:noHBand="0" w:noVBand="0"/>
      </w:tblPr>
      <w:tblGrid>
        <w:gridCol w:w="2988"/>
        <w:gridCol w:w="2880"/>
        <w:gridCol w:w="2880"/>
      </w:tblGrid>
      <w:tr w:rsidR="00B449C2" w:rsidRPr="00B449C2" w14:paraId="3924775F" w14:textId="77777777" w:rsidTr="006D02AE">
        <w:tblPrEx>
          <w:tblCellMar>
            <w:top w:w="0" w:type="dxa"/>
            <w:bottom w:w="0" w:type="dxa"/>
          </w:tblCellMar>
        </w:tblPrEx>
        <w:trPr>
          <w:trHeight w:val="432"/>
        </w:trPr>
        <w:tc>
          <w:tcPr>
            <w:tcW w:w="2988" w:type="dxa"/>
            <w:tcBorders>
              <w:top w:val="single" w:sz="4" w:space="0" w:color="auto"/>
              <w:bottom w:val="single" w:sz="4" w:space="0" w:color="auto"/>
            </w:tcBorders>
            <w:tcMar>
              <w:top w:w="100" w:type="nil"/>
              <w:right w:w="100" w:type="nil"/>
            </w:tcMar>
            <w:vAlign w:val="center"/>
          </w:tcPr>
          <w:p w14:paraId="6F505C06" w14:textId="77777777" w:rsidR="00B449C2" w:rsidRPr="00B449C2" w:rsidRDefault="00B449C2" w:rsidP="00E45998">
            <w:pPr>
              <w:autoSpaceDE w:val="0"/>
              <w:autoSpaceDN w:val="0"/>
              <w:adjustRightInd w:val="0"/>
              <w:rPr>
                <w:rFonts w:ascii="Garamond" w:hAnsi="Garamond" w:cs="Times New Roman"/>
              </w:rPr>
            </w:pPr>
          </w:p>
        </w:tc>
        <w:tc>
          <w:tcPr>
            <w:tcW w:w="2880" w:type="dxa"/>
            <w:tcBorders>
              <w:top w:val="single" w:sz="4" w:space="0" w:color="auto"/>
              <w:bottom w:val="single" w:sz="4" w:space="0" w:color="auto"/>
            </w:tcBorders>
            <w:tcMar>
              <w:top w:w="100" w:type="nil"/>
              <w:right w:w="100" w:type="nil"/>
            </w:tcMar>
            <w:vAlign w:val="center"/>
          </w:tcPr>
          <w:p w14:paraId="78E7554D" w14:textId="0E0269A6" w:rsidR="00B449C2" w:rsidRPr="00B449C2" w:rsidRDefault="00B449C2" w:rsidP="00E45998">
            <w:pPr>
              <w:autoSpaceDE w:val="0"/>
              <w:autoSpaceDN w:val="0"/>
              <w:adjustRightInd w:val="0"/>
              <w:jc w:val="center"/>
              <w:rPr>
                <w:rFonts w:ascii="Garamond" w:hAnsi="Garamond" w:cs="Times New Roman"/>
              </w:rPr>
            </w:pPr>
            <w:r w:rsidRPr="00B449C2">
              <w:rPr>
                <w:rFonts w:ascii="Garamond" w:hAnsi="Garamond" w:cs="Times New Roman"/>
              </w:rPr>
              <w:t>Model 1</w:t>
            </w:r>
            <w:r w:rsidR="006D02AE">
              <w:rPr>
                <w:rFonts w:ascii="Garamond" w:hAnsi="Garamond" w:cs="Times New Roman"/>
              </w:rPr>
              <w:t xml:space="preserve"> (pre-2021 only)</w:t>
            </w:r>
          </w:p>
        </w:tc>
        <w:tc>
          <w:tcPr>
            <w:tcW w:w="2880" w:type="dxa"/>
            <w:tcBorders>
              <w:top w:val="single" w:sz="4" w:space="0" w:color="auto"/>
              <w:bottom w:val="single" w:sz="4" w:space="0" w:color="auto"/>
            </w:tcBorders>
            <w:tcMar>
              <w:top w:w="100" w:type="nil"/>
              <w:right w:w="100" w:type="nil"/>
            </w:tcMar>
            <w:vAlign w:val="center"/>
          </w:tcPr>
          <w:p w14:paraId="5DC06661" w14:textId="30970DA5" w:rsidR="00B449C2" w:rsidRPr="00B449C2" w:rsidRDefault="00B449C2" w:rsidP="00E45998">
            <w:pPr>
              <w:autoSpaceDE w:val="0"/>
              <w:autoSpaceDN w:val="0"/>
              <w:adjustRightInd w:val="0"/>
              <w:jc w:val="center"/>
              <w:rPr>
                <w:rFonts w:ascii="Garamond" w:hAnsi="Garamond" w:cs="Times New Roman"/>
              </w:rPr>
            </w:pPr>
            <w:r w:rsidRPr="00B449C2">
              <w:rPr>
                <w:rFonts w:ascii="Garamond" w:hAnsi="Garamond" w:cs="Times New Roman"/>
              </w:rPr>
              <w:t>Model 2</w:t>
            </w:r>
          </w:p>
        </w:tc>
      </w:tr>
      <w:tr w:rsidR="006D02AE" w:rsidRPr="00B449C2" w14:paraId="1A035116" w14:textId="77777777" w:rsidTr="006D02AE">
        <w:tblPrEx>
          <w:tblCellMar>
            <w:top w:w="0" w:type="dxa"/>
            <w:bottom w:w="0" w:type="dxa"/>
          </w:tblCellMar>
        </w:tblPrEx>
        <w:trPr>
          <w:trHeight w:val="432"/>
        </w:trPr>
        <w:tc>
          <w:tcPr>
            <w:tcW w:w="2988" w:type="dxa"/>
            <w:tcBorders>
              <w:top w:val="single" w:sz="4" w:space="0" w:color="auto"/>
              <w:bottom w:val="single" w:sz="4" w:space="0" w:color="auto"/>
            </w:tcBorders>
            <w:tcMar>
              <w:top w:w="100" w:type="nil"/>
              <w:right w:w="100" w:type="nil"/>
            </w:tcMar>
            <w:vAlign w:val="center"/>
          </w:tcPr>
          <w:p w14:paraId="7D7649C3" w14:textId="77777777" w:rsidR="006D02AE" w:rsidRPr="00B449C2" w:rsidRDefault="006D02AE" w:rsidP="00E45998">
            <w:pPr>
              <w:autoSpaceDE w:val="0"/>
              <w:autoSpaceDN w:val="0"/>
              <w:adjustRightInd w:val="0"/>
              <w:rPr>
                <w:rFonts w:ascii="Garamond" w:hAnsi="Garamond" w:cs="Times New Roman"/>
              </w:rPr>
            </w:pPr>
          </w:p>
        </w:tc>
        <w:tc>
          <w:tcPr>
            <w:tcW w:w="5760" w:type="dxa"/>
            <w:gridSpan w:val="2"/>
            <w:tcBorders>
              <w:top w:val="single" w:sz="4" w:space="0" w:color="auto"/>
              <w:bottom w:val="single" w:sz="4" w:space="0" w:color="auto"/>
            </w:tcBorders>
            <w:tcMar>
              <w:top w:w="100" w:type="nil"/>
              <w:right w:w="100" w:type="nil"/>
            </w:tcMar>
            <w:vAlign w:val="center"/>
          </w:tcPr>
          <w:p w14:paraId="0954EC8B" w14:textId="157AF04E" w:rsidR="006D02AE" w:rsidRPr="00B449C2" w:rsidRDefault="006D02AE" w:rsidP="006D02AE">
            <w:pPr>
              <w:autoSpaceDE w:val="0"/>
              <w:autoSpaceDN w:val="0"/>
              <w:adjustRightInd w:val="0"/>
              <w:jc w:val="center"/>
              <w:rPr>
                <w:rFonts w:ascii="Garamond" w:hAnsi="Garamond" w:cs="Times New Roman"/>
              </w:rPr>
            </w:pPr>
            <w:r w:rsidRPr="006D02AE">
              <w:rPr>
                <w:rFonts w:ascii="Garamond" w:hAnsi="Garamond" w:cs="Times New Roman"/>
                <w:b/>
                <w:bCs/>
              </w:rPr>
              <w:t xml:space="preserve">DV: </w:t>
            </w:r>
            <w:r w:rsidRPr="00B449C2">
              <w:rPr>
                <w:rFonts w:ascii="Garamond" w:hAnsi="Garamond" w:cs="Times New Roman"/>
              </w:rPr>
              <w:t>Lung Hospitalizations</w:t>
            </w:r>
          </w:p>
        </w:tc>
      </w:tr>
      <w:tr w:rsidR="00BA6FB8" w:rsidRPr="00B449C2" w14:paraId="08EB3590" w14:textId="77777777" w:rsidTr="00B449C2">
        <w:tblPrEx>
          <w:tblCellMar>
            <w:top w:w="0" w:type="dxa"/>
            <w:bottom w:w="0" w:type="dxa"/>
          </w:tblCellMar>
        </w:tblPrEx>
        <w:tc>
          <w:tcPr>
            <w:tcW w:w="2988" w:type="dxa"/>
            <w:tcBorders>
              <w:top w:val="single" w:sz="4" w:space="0" w:color="auto"/>
            </w:tcBorders>
            <w:tcMar>
              <w:top w:w="100" w:type="nil"/>
              <w:right w:w="100" w:type="nil"/>
            </w:tcMar>
            <w:vAlign w:val="center"/>
          </w:tcPr>
          <w:p w14:paraId="0C4A8280" w14:textId="77777777" w:rsidR="00BA6FB8" w:rsidRPr="00B449C2" w:rsidRDefault="00BA6FB8" w:rsidP="00E45998">
            <w:pPr>
              <w:autoSpaceDE w:val="0"/>
              <w:autoSpaceDN w:val="0"/>
              <w:adjustRightInd w:val="0"/>
              <w:rPr>
                <w:rFonts w:ascii="Garamond" w:hAnsi="Garamond" w:cs="Times New Roman"/>
              </w:rPr>
            </w:pPr>
            <w:r w:rsidRPr="00B449C2">
              <w:rPr>
                <w:rFonts w:ascii="Garamond" w:hAnsi="Garamond" w:cs="Times New Roman"/>
              </w:rPr>
              <w:t>Year</w:t>
            </w:r>
          </w:p>
        </w:tc>
        <w:tc>
          <w:tcPr>
            <w:tcW w:w="2880" w:type="dxa"/>
            <w:tcBorders>
              <w:top w:val="single" w:sz="4" w:space="0" w:color="auto"/>
            </w:tcBorders>
            <w:tcMar>
              <w:top w:w="100" w:type="nil"/>
              <w:right w:w="100" w:type="nil"/>
            </w:tcMar>
            <w:vAlign w:val="center"/>
          </w:tcPr>
          <w:p w14:paraId="217D233F" w14:textId="77777777" w:rsidR="00BA6FB8" w:rsidRPr="00B449C2" w:rsidRDefault="00BA6FB8" w:rsidP="00E45998">
            <w:pPr>
              <w:autoSpaceDE w:val="0"/>
              <w:autoSpaceDN w:val="0"/>
              <w:adjustRightInd w:val="0"/>
              <w:jc w:val="center"/>
              <w:rPr>
                <w:rFonts w:ascii="Garamond" w:hAnsi="Garamond" w:cs="Times New Roman"/>
              </w:rPr>
            </w:pPr>
            <w:r w:rsidRPr="00B449C2">
              <w:rPr>
                <w:rFonts w:ascii="Garamond" w:hAnsi="Garamond" w:cs="Times New Roman"/>
              </w:rPr>
              <w:t>46***</w:t>
            </w:r>
          </w:p>
        </w:tc>
        <w:tc>
          <w:tcPr>
            <w:tcW w:w="2880" w:type="dxa"/>
            <w:tcBorders>
              <w:top w:val="single" w:sz="4" w:space="0" w:color="auto"/>
            </w:tcBorders>
            <w:tcMar>
              <w:top w:w="100" w:type="nil"/>
              <w:right w:w="100" w:type="nil"/>
            </w:tcMar>
            <w:vAlign w:val="center"/>
          </w:tcPr>
          <w:p w14:paraId="58BDEAF2" w14:textId="77777777" w:rsidR="00BA6FB8" w:rsidRPr="00B449C2" w:rsidRDefault="00BA6FB8" w:rsidP="00E45998">
            <w:pPr>
              <w:autoSpaceDE w:val="0"/>
              <w:autoSpaceDN w:val="0"/>
              <w:adjustRightInd w:val="0"/>
              <w:jc w:val="center"/>
              <w:rPr>
                <w:rFonts w:ascii="Garamond" w:hAnsi="Garamond" w:cs="Times New Roman"/>
              </w:rPr>
            </w:pPr>
          </w:p>
        </w:tc>
      </w:tr>
      <w:tr w:rsidR="00BA6FB8" w:rsidRPr="00B449C2" w14:paraId="7B84B2A3" w14:textId="77777777" w:rsidTr="00B449C2">
        <w:tblPrEx>
          <w:tblCellMar>
            <w:top w:w="0" w:type="dxa"/>
            <w:bottom w:w="0" w:type="dxa"/>
          </w:tblCellMar>
        </w:tblPrEx>
        <w:tc>
          <w:tcPr>
            <w:tcW w:w="2988" w:type="dxa"/>
            <w:tcMar>
              <w:top w:w="100" w:type="nil"/>
              <w:right w:w="100" w:type="nil"/>
            </w:tcMar>
            <w:vAlign w:val="center"/>
          </w:tcPr>
          <w:p w14:paraId="42727B27" w14:textId="77777777" w:rsidR="00BA6FB8" w:rsidRPr="00B449C2" w:rsidRDefault="00BA6FB8" w:rsidP="00E45998">
            <w:pPr>
              <w:autoSpaceDE w:val="0"/>
              <w:autoSpaceDN w:val="0"/>
              <w:adjustRightInd w:val="0"/>
              <w:rPr>
                <w:rFonts w:ascii="Garamond" w:hAnsi="Garamond" w:cs="Times New Roman"/>
              </w:rPr>
            </w:pPr>
          </w:p>
        </w:tc>
        <w:tc>
          <w:tcPr>
            <w:tcW w:w="2880" w:type="dxa"/>
            <w:tcMar>
              <w:top w:w="100" w:type="nil"/>
              <w:right w:w="100" w:type="nil"/>
            </w:tcMar>
            <w:vAlign w:val="center"/>
          </w:tcPr>
          <w:p w14:paraId="3CEB5698" w14:textId="77777777" w:rsidR="00BA6FB8" w:rsidRPr="00B449C2" w:rsidRDefault="00BA6FB8" w:rsidP="00E45998">
            <w:pPr>
              <w:autoSpaceDE w:val="0"/>
              <w:autoSpaceDN w:val="0"/>
              <w:adjustRightInd w:val="0"/>
              <w:jc w:val="center"/>
              <w:rPr>
                <w:rFonts w:ascii="Garamond" w:hAnsi="Garamond" w:cs="Times New Roman"/>
              </w:rPr>
            </w:pPr>
            <w:r w:rsidRPr="00B449C2">
              <w:rPr>
                <w:rFonts w:ascii="Garamond" w:hAnsi="Garamond" w:cs="Times New Roman"/>
              </w:rPr>
              <w:t>(16)</w:t>
            </w:r>
          </w:p>
        </w:tc>
        <w:tc>
          <w:tcPr>
            <w:tcW w:w="2880" w:type="dxa"/>
            <w:tcMar>
              <w:top w:w="100" w:type="nil"/>
              <w:right w:w="100" w:type="nil"/>
            </w:tcMar>
            <w:vAlign w:val="center"/>
          </w:tcPr>
          <w:p w14:paraId="2B65CD60" w14:textId="77777777" w:rsidR="00BA6FB8" w:rsidRPr="00B449C2" w:rsidRDefault="00BA6FB8" w:rsidP="00E45998">
            <w:pPr>
              <w:autoSpaceDE w:val="0"/>
              <w:autoSpaceDN w:val="0"/>
              <w:adjustRightInd w:val="0"/>
              <w:jc w:val="center"/>
              <w:rPr>
                <w:rFonts w:ascii="Garamond" w:hAnsi="Garamond" w:cs="Times New Roman"/>
              </w:rPr>
            </w:pPr>
          </w:p>
        </w:tc>
      </w:tr>
      <w:tr w:rsidR="00BA6FB8" w:rsidRPr="00B449C2" w14:paraId="75AD35DC" w14:textId="77777777" w:rsidTr="00B449C2">
        <w:tblPrEx>
          <w:tblCellMar>
            <w:top w:w="0" w:type="dxa"/>
            <w:bottom w:w="0" w:type="dxa"/>
          </w:tblCellMar>
        </w:tblPrEx>
        <w:tc>
          <w:tcPr>
            <w:tcW w:w="2988" w:type="dxa"/>
            <w:tcMar>
              <w:top w:w="100" w:type="nil"/>
              <w:right w:w="100" w:type="nil"/>
            </w:tcMar>
            <w:vAlign w:val="center"/>
          </w:tcPr>
          <w:p w14:paraId="2CC62475" w14:textId="77777777" w:rsidR="00BA6FB8" w:rsidRPr="00B449C2" w:rsidRDefault="00BA6FB8" w:rsidP="00E45998">
            <w:pPr>
              <w:autoSpaceDE w:val="0"/>
              <w:autoSpaceDN w:val="0"/>
              <w:adjustRightInd w:val="0"/>
              <w:rPr>
                <w:rFonts w:ascii="Garamond" w:hAnsi="Garamond" w:cs="Times New Roman"/>
              </w:rPr>
            </w:pPr>
            <w:r w:rsidRPr="00B449C2">
              <w:rPr>
                <w:rFonts w:ascii="Garamond" w:hAnsi="Garamond" w:cs="Times New Roman"/>
              </w:rPr>
              <w:t>Treated Group</w:t>
            </w:r>
          </w:p>
        </w:tc>
        <w:tc>
          <w:tcPr>
            <w:tcW w:w="2880" w:type="dxa"/>
            <w:tcMar>
              <w:top w:w="100" w:type="nil"/>
              <w:right w:w="100" w:type="nil"/>
            </w:tcMar>
            <w:vAlign w:val="center"/>
          </w:tcPr>
          <w:p w14:paraId="48715F1D" w14:textId="77777777" w:rsidR="00BA6FB8" w:rsidRPr="00B449C2" w:rsidRDefault="00BA6FB8" w:rsidP="00E45998">
            <w:pPr>
              <w:autoSpaceDE w:val="0"/>
              <w:autoSpaceDN w:val="0"/>
              <w:adjustRightInd w:val="0"/>
              <w:jc w:val="center"/>
              <w:rPr>
                <w:rFonts w:ascii="Garamond" w:hAnsi="Garamond" w:cs="Times New Roman"/>
              </w:rPr>
            </w:pPr>
            <w:r w:rsidRPr="00B449C2">
              <w:rPr>
                <w:rFonts w:ascii="Garamond" w:hAnsi="Garamond" w:cs="Times New Roman"/>
              </w:rPr>
              <w:t>-14,856</w:t>
            </w:r>
          </w:p>
        </w:tc>
        <w:tc>
          <w:tcPr>
            <w:tcW w:w="2880" w:type="dxa"/>
            <w:tcMar>
              <w:top w:w="100" w:type="nil"/>
              <w:right w:w="100" w:type="nil"/>
            </w:tcMar>
            <w:vAlign w:val="center"/>
          </w:tcPr>
          <w:p w14:paraId="405AC7BB" w14:textId="77777777" w:rsidR="00BA6FB8" w:rsidRPr="00B449C2" w:rsidRDefault="00BA6FB8" w:rsidP="00E45998">
            <w:pPr>
              <w:autoSpaceDE w:val="0"/>
              <w:autoSpaceDN w:val="0"/>
              <w:adjustRightInd w:val="0"/>
              <w:jc w:val="center"/>
              <w:rPr>
                <w:rFonts w:ascii="Garamond" w:hAnsi="Garamond" w:cs="Times New Roman"/>
              </w:rPr>
            </w:pPr>
          </w:p>
        </w:tc>
      </w:tr>
      <w:tr w:rsidR="00BA6FB8" w:rsidRPr="00B449C2" w14:paraId="5C333ABD" w14:textId="77777777" w:rsidTr="00B449C2">
        <w:tblPrEx>
          <w:tblCellMar>
            <w:top w:w="0" w:type="dxa"/>
            <w:bottom w:w="0" w:type="dxa"/>
          </w:tblCellMar>
        </w:tblPrEx>
        <w:tc>
          <w:tcPr>
            <w:tcW w:w="2988" w:type="dxa"/>
            <w:tcMar>
              <w:top w:w="100" w:type="nil"/>
              <w:right w:w="100" w:type="nil"/>
            </w:tcMar>
            <w:vAlign w:val="center"/>
          </w:tcPr>
          <w:p w14:paraId="10F82C77" w14:textId="77777777" w:rsidR="00BA6FB8" w:rsidRPr="00B449C2" w:rsidRDefault="00BA6FB8" w:rsidP="00E45998">
            <w:pPr>
              <w:autoSpaceDE w:val="0"/>
              <w:autoSpaceDN w:val="0"/>
              <w:adjustRightInd w:val="0"/>
              <w:rPr>
                <w:rFonts w:ascii="Garamond" w:hAnsi="Garamond" w:cs="Times New Roman"/>
              </w:rPr>
            </w:pPr>
          </w:p>
        </w:tc>
        <w:tc>
          <w:tcPr>
            <w:tcW w:w="2880" w:type="dxa"/>
            <w:tcMar>
              <w:top w:w="100" w:type="nil"/>
              <w:right w:w="100" w:type="nil"/>
            </w:tcMar>
            <w:vAlign w:val="center"/>
          </w:tcPr>
          <w:p w14:paraId="1BCE884E" w14:textId="77777777" w:rsidR="00BA6FB8" w:rsidRPr="00B449C2" w:rsidRDefault="00BA6FB8" w:rsidP="00E45998">
            <w:pPr>
              <w:autoSpaceDE w:val="0"/>
              <w:autoSpaceDN w:val="0"/>
              <w:adjustRightInd w:val="0"/>
              <w:jc w:val="center"/>
              <w:rPr>
                <w:rFonts w:ascii="Garamond" w:hAnsi="Garamond" w:cs="Times New Roman"/>
              </w:rPr>
            </w:pPr>
            <w:r w:rsidRPr="00B449C2">
              <w:rPr>
                <w:rFonts w:ascii="Garamond" w:hAnsi="Garamond" w:cs="Times New Roman"/>
              </w:rPr>
              <w:t>(48,672)</w:t>
            </w:r>
          </w:p>
        </w:tc>
        <w:tc>
          <w:tcPr>
            <w:tcW w:w="2880" w:type="dxa"/>
            <w:tcMar>
              <w:top w:w="100" w:type="nil"/>
              <w:right w:w="100" w:type="nil"/>
            </w:tcMar>
            <w:vAlign w:val="center"/>
          </w:tcPr>
          <w:p w14:paraId="5D4FDF37" w14:textId="77777777" w:rsidR="00BA6FB8" w:rsidRPr="00B449C2" w:rsidRDefault="00BA6FB8" w:rsidP="00E45998">
            <w:pPr>
              <w:autoSpaceDE w:val="0"/>
              <w:autoSpaceDN w:val="0"/>
              <w:adjustRightInd w:val="0"/>
              <w:jc w:val="center"/>
              <w:rPr>
                <w:rFonts w:ascii="Garamond" w:hAnsi="Garamond" w:cs="Times New Roman"/>
              </w:rPr>
            </w:pPr>
          </w:p>
        </w:tc>
      </w:tr>
      <w:tr w:rsidR="00BA6FB8" w:rsidRPr="00B449C2" w14:paraId="70BE1555" w14:textId="77777777" w:rsidTr="00B449C2">
        <w:tblPrEx>
          <w:tblCellMar>
            <w:top w:w="0" w:type="dxa"/>
            <w:bottom w:w="0" w:type="dxa"/>
          </w:tblCellMar>
        </w:tblPrEx>
        <w:tc>
          <w:tcPr>
            <w:tcW w:w="2988" w:type="dxa"/>
            <w:tcMar>
              <w:top w:w="100" w:type="nil"/>
              <w:right w:w="100" w:type="nil"/>
            </w:tcMar>
            <w:vAlign w:val="center"/>
          </w:tcPr>
          <w:p w14:paraId="346144DE" w14:textId="77777777" w:rsidR="00BA6FB8" w:rsidRPr="00B449C2" w:rsidRDefault="00BA6FB8" w:rsidP="00E45998">
            <w:pPr>
              <w:autoSpaceDE w:val="0"/>
              <w:autoSpaceDN w:val="0"/>
              <w:adjustRightInd w:val="0"/>
              <w:rPr>
                <w:rFonts w:ascii="Garamond" w:hAnsi="Garamond" w:cs="Times New Roman"/>
              </w:rPr>
            </w:pPr>
            <w:r w:rsidRPr="00B449C2">
              <w:rPr>
                <w:rFonts w:ascii="Garamond" w:hAnsi="Garamond" w:cs="Times New Roman"/>
              </w:rPr>
              <w:t>Treatment Group x Year</w:t>
            </w:r>
          </w:p>
        </w:tc>
        <w:tc>
          <w:tcPr>
            <w:tcW w:w="2880" w:type="dxa"/>
            <w:tcMar>
              <w:top w:w="100" w:type="nil"/>
              <w:right w:w="100" w:type="nil"/>
            </w:tcMar>
            <w:vAlign w:val="center"/>
          </w:tcPr>
          <w:p w14:paraId="129BDB2F" w14:textId="77777777" w:rsidR="00BA6FB8" w:rsidRPr="00B449C2" w:rsidRDefault="00BA6FB8" w:rsidP="00E45998">
            <w:pPr>
              <w:autoSpaceDE w:val="0"/>
              <w:autoSpaceDN w:val="0"/>
              <w:adjustRightInd w:val="0"/>
              <w:jc w:val="center"/>
              <w:rPr>
                <w:rFonts w:ascii="Garamond" w:hAnsi="Garamond" w:cs="Times New Roman"/>
              </w:rPr>
            </w:pPr>
            <w:r w:rsidRPr="00B449C2">
              <w:rPr>
                <w:rFonts w:ascii="Garamond" w:hAnsi="Garamond" w:cs="Times New Roman"/>
              </w:rPr>
              <w:t>6.2</w:t>
            </w:r>
          </w:p>
        </w:tc>
        <w:tc>
          <w:tcPr>
            <w:tcW w:w="2880" w:type="dxa"/>
            <w:tcMar>
              <w:top w:w="100" w:type="nil"/>
              <w:right w:w="100" w:type="nil"/>
            </w:tcMar>
            <w:vAlign w:val="center"/>
          </w:tcPr>
          <w:p w14:paraId="00344816" w14:textId="77777777" w:rsidR="00BA6FB8" w:rsidRPr="00B449C2" w:rsidRDefault="00BA6FB8" w:rsidP="00E45998">
            <w:pPr>
              <w:autoSpaceDE w:val="0"/>
              <w:autoSpaceDN w:val="0"/>
              <w:adjustRightInd w:val="0"/>
              <w:jc w:val="center"/>
              <w:rPr>
                <w:rFonts w:ascii="Garamond" w:hAnsi="Garamond" w:cs="Times New Roman"/>
              </w:rPr>
            </w:pPr>
          </w:p>
        </w:tc>
      </w:tr>
      <w:tr w:rsidR="00BA6FB8" w:rsidRPr="00B449C2" w14:paraId="0937A361" w14:textId="77777777" w:rsidTr="00B449C2">
        <w:tblPrEx>
          <w:tblCellMar>
            <w:top w:w="0" w:type="dxa"/>
            <w:bottom w:w="0" w:type="dxa"/>
          </w:tblCellMar>
        </w:tblPrEx>
        <w:tc>
          <w:tcPr>
            <w:tcW w:w="2988" w:type="dxa"/>
            <w:tcMar>
              <w:top w:w="100" w:type="nil"/>
              <w:right w:w="100" w:type="nil"/>
            </w:tcMar>
            <w:vAlign w:val="center"/>
          </w:tcPr>
          <w:p w14:paraId="47455790" w14:textId="77777777" w:rsidR="00BA6FB8" w:rsidRPr="00B449C2" w:rsidRDefault="00BA6FB8" w:rsidP="00E45998">
            <w:pPr>
              <w:autoSpaceDE w:val="0"/>
              <w:autoSpaceDN w:val="0"/>
              <w:adjustRightInd w:val="0"/>
              <w:rPr>
                <w:rFonts w:ascii="Garamond" w:hAnsi="Garamond" w:cs="Times New Roman"/>
              </w:rPr>
            </w:pPr>
          </w:p>
        </w:tc>
        <w:tc>
          <w:tcPr>
            <w:tcW w:w="2880" w:type="dxa"/>
            <w:tcMar>
              <w:top w:w="100" w:type="nil"/>
              <w:right w:w="100" w:type="nil"/>
            </w:tcMar>
            <w:vAlign w:val="center"/>
          </w:tcPr>
          <w:p w14:paraId="4A3D16F0" w14:textId="77777777" w:rsidR="00BA6FB8" w:rsidRPr="00B449C2" w:rsidRDefault="00BA6FB8" w:rsidP="00E45998">
            <w:pPr>
              <w:autoSpaceDE w:val="0"/>
              <w:autoSpaceDN w:val="0"/>
              <w:adjustRightInd w:val="0"/>
              <w:jc w:val="center"/>
              <w:rPr>
                <w:rFonts w:ascii="Garamond" w:hAnsi="Garamond" w:cs="Times New Roman"/>
              </w:rPr>
            </w:pPr>
            <w:r w:rsidRPr="00B449C2">
              <w:rPr>
                <w:rFonts w:ascii="Garamond" w:hAnsi="Garamond" w:cs="Times New Roman"/>
              </w:rPr>
              <w:t>(24)</w:t>
            </w:r>
          </w:p>
        </w:tc>
        <w:tc>
          <w:tcPr>
            <w:tcW w:w="2880" w:type="dxa"/>
            <w:tcMar>
              <w:top w:w="100" w:type="nil"/>
              <w:right w:w="100" w:type="nil"/>
            </w:tcMar>
            <w:vAlign w:val="center"/>
          </w:tcPr>
          <w:p w14:paraId="24A5D70C" w14:textId="77777777" w:rsidR="00BA6FB8" w:rsidRPr="00B449C2" w:rsidRDefault="00BA6FB8" w:rsidP="00E45998">
            <w:pPr>
              <w:autoSpaceDE w:val="0"/>
              <w:autoSpaceDN w:val="0"/>
              <w:adjustRightInd w:val="0"/>
              <w:jc w:val="center"/>
              <w:rPr>
                <w:rFonts w:ascii="Garamond" w:hAnsi="Garamond" w:cs="Times New Roman"/>
              </w:rPr>
            </w:pPr>
          </w:p>
        </w:tc>
      </w:tr>
      <w:tr w:rsidR="00BA6FB8" w:rsidRPr="00B449C2" w14:paraId="4F65B9A0" w14:textId="77777777" w:rsidTr="00B449C2">
        <w:tblPrEx>
          <w:tblCellMar>
            <w:top w:w="0" w:type="dxa"/>
            <w:bottom w:w="0" w:type="dxa"/>
          </w:tblCellMar>
        </w:tblPrEx>
        <w:tc>
          <w:tcPr>
            <w:tcW w:w="2988" w:type="dxa"/>
            <w:tcMar>
              <w:top w:w="100" w:type="nil"/>
              <w:right w:w="100" w:type="nil"/>
            </w:tcMar>
            <w:vAlign w:val="center"/>
          </w:tcPr>
          <w:p w14:paraId="368386AC" w14:textId="77777777" w:rsidR="00BA6FB8" w:rsidRPr="00B449C2" w:rsidRDefault="00BA6FB8" w:rsidP="00E45998">
            <w:pPr>
              <w:autoSpaceDE w:val="0"/>
              <w:autoSpaceDN w:val="0"/>
              <w:adjustRightInd w:val="0"/>
              <w:rPr>
                <w:rFonts w:ascii="Garamond" w:hAnsi="Garamond" w:cs="Times New Roman"/>
              </w:rPr>
            </w:pPr>
            <w:r w:rsidRPr="00B449C2">
              <w:rPr>
                <w:rFonts w:ascii="Garamond" w:hAnsi="Garamond" w:cs="Times New Roman"/>
              </w:rPr>
              <w:t>Vaping Ban passed</w:t>
            </w:r>
          </w:p>
        </w:tc>
        <w:tc>
          <w:tcPr>
            <w:tcW w:w="2880" w:type="dxa"/>
            <w:tcMar>
              <w:top w:w="100" w:type="nil"/>
              <w:right w:w="100" w:type="nil"/>
            </w:tcMar>
            <w:vAlign w:val="center"/>
          </w:tcPr>
          <w:p w14:paraId="6ED2446E" w14:textId="77777777" w:rsidR="00BA6FB8" w:rsidRPr="00B449C2" w:rsidRDefault="00BA6FB8" w:rsidP="00E45998">
            <w:pPr>
              <w:autoSpaceDE w:val="0"/>
              <w:autoSpaceDN w:val="0"/>
              <w:adjustRightInd w:val="0"/>
              <w:jc w:val="center"/>
              <w:rPr>
                <w:rFonts w:ascii="Garamond" w:hAnsi="Garamond" w:cs="Times New Roman"/>
              </w:rPr>
            </w:pPr>
          </w:p>
        </w:tc>
        <w:tc>
          <w:tcPr>
            <w:tcW w:w="2880" w:type="dxa"/>
            <w:tcMar>
              <w:top w:w="100" w:type="nil"/>
              <w:right w:w="100" w:type="nil"/>
            </w:tcMar>
            <w:vAlign w:val="center"/>
          </w:tcPr>
          <w:p w14:paraId="139828E6" w14:textId="77777777" w:rsidR="00BA6FB8" w:rsidRPr="00B449C2" w:rsidRDefault="00BA6FB8" w:rsidP="00E45998">
            <w:pPr>
              <w:autoSpaceDE w:val="0"/>
              <w:autoSpaceDN w:val="0"/>
              <w:adjustRightInd w:val="0"/>
              <w:jc w:val="center"/>
              <w:rPr>
                <w:rFonts w:ascii="Garamond" w:hAnsi="Garamond" w:cs="Times New Roman"/>
              </w:rPr>
            </w:pPr>
            <w:r w:rsidRPr="00B449C2">
              <w:rPr>
                <w:rFonts w:ascii="Garamond" w:hAnsi="Garamond" w:cs="Times New Roman"/>
              </w:rPr>
              <w:t>-4,030***</w:t>
            </w:r>
          </w:p>
        </w:tc>
      </w:tr>
      <w:tr w:rsidR="00BA6FB8" w:rsidRPr="00B449C2" w14:paraId="49ADB8B3" w14:textId="77777777" w:rsidTr="00B449C2">
        <w:tblPrEx>
          <w:tblCellMar>
            <w:top w:w="0" w:type="dxa"/>
            <w:bottom w:w="0" w:type="dxa"/>
          </w:tblCellMar>
        </w:tblPrEx>
        <w:tc>
          <w:tcPr>
            <w:tcW w:w="2988" w:type="dxa"/>
            <w:tcMar>
              <w:top w:w="100" w:type="nil"/>
              <w:right w:w="100" w:type="nil"/>
            </w:tcMar>
            <w:vAlign w:val="center"/>
          </w:tcPr>
          <w:p w14:paraId="0C8F0033" w14:textId="77777777" w:rsidR="00BA6FB8" w:rsidRPr="00B449C2" w:rsidRDefault="00BA6FB8" w:rsidP="00E45998">
            <w:pPr>
              <w:autoSpaceDE w:val="0"/>
              <w:autoSpaceDN w:val="0"/>
              <w:adjustRightInd w:val="0"/>
              <w:rPr>
                <w:rFonts w:ascii="Garamond" w:hAnsi="Garamond" w:cs="Times New Roman"/>
              </w:rPr>
            </w:pPr>
          </w:p>
        </w:tc>
        <w:tc>
          <w:tcPr>
            <w:tcW w:w="2880" w:type="dxa"/>
            <w:tcMar>
              <w:top w:w="100" w:type="nil"/>
              <w:right w:w="100" w:type="nil"/>
            </w:tcMar>
            <w:vAlign w:val="center"/>
          </w:tcPr>
          <w:p w14:paraId="65076C88" w14:textId="77777777" w:rsidR="00BA6FB8" w:rsidRPr="00B449C2" w:rsidRDefault="00BA6FB8" w:rsidP="00E45998">
            <w:pPr>
              <w:autoSpaceDE w:val="0"/>
              <w:autoSpaceDN w:val="0"/>
              <w:adjustRightInd w:val="0"/>
              <w:jc w:val="center"/>
              <w:rPr>
                <w:rFonts w:ascii="Garamond" w:hAnsi="Garamond" w:cs="Times New Roman"/>
              </w:rPr>
            </w:pPr>
          </w:p>
        </w:tc>
        <w:tc>
          <w:tcPr>
            <w:tcW w:w="2880" w:type="dxa"/>
            <w:tcMar>
              <w:top w:w="100" w:type="nil"/>
              <w:right w:w="100" w:type="nil"/>
            </w:tcMar>
            <w:vAlign w:val="center"/>
          </w:tcPr>
          <w:p w14:paraId="68DB8C99" w14:textId="77777777" w:rsidR="00BA6FB8" w:rsidRPr="00B449C2" w:rsidRDefault="00BA6FB8" w:rsidP="00E45998">
            <w:pPr>
              <w:autoSpaceDE w:val="0"/>
              <w:autoSpaceDN w:val="0"/>
              <w:adjustRightInd w:val="0"/>
              <w:jc w:val="center"/>
              <w:rPr>
                <w:rFonts w:ascii="Garamond" w:hAnsi="Garamond" w:cs="Times New Roman"/>
              </w:rPr>
            </w:pPr>
            <w:r w:rsidRPr="00B449C2">
              <w:rPr>
                <w:rFonts w:ascii="Garamond" w:hAnsi="Garamond" w:cs="Times New Roman"/>
              </w:rPr>
              <w:t>(65)</w:t>
            </w:r>
          </w:p>
        </w:tc>
      </w:tr>
      <w:tr w:rsidR="00BA6FB8" w:rsidRPr="00B449C2" w14:paraId="41C61AAA" w14:textId="77777777" w:rsidTr="00B449C2">
        <w:tblPrEx>
          <w:tblCellMar>
            <w:top w:w="0" w:type="dxa"/>
            <w:bottom w:w="0" w:type="dxa"/>
          </w:tblCellMar>
        </w:tblPrEx>
        <w:tc>
          <w:tcPr>
            <w:tcW w:w="2988" w:type="dxa"/>
            <w:tcMar>
              <w:top w:w="100" w:type="nil"/>
              <w:right w:w="100" w:type="nil"/>
            </w:tcMar>
            <w:vAlign w:val="center"/>
          </w:tcPr>
          <w:p w14:paraId="2893932E" w14:textId="77777777" w:rsidR="00BA6FB8" w:rsidRPr="00B449C2" w:rsidRDefault="00BA6FB8" w:rsidP="00E45998">
            <w:pPr>
              <w:autoSpaceDE w:val="0"/>
              <w:autoSpaceDN w:val="0"/>
              <w:adjustRightInd w:val="0"/>
              <w:rPr>
                <w:rFonts w:ascii="Garamond" w:hAnsi="Garamond" w:cs="Times New Roman"/>
              </w:rPr>
            </w:pPr>
            <w:r w:rsidRPr="00B449C2">
              <w:rPr>
                <w:rFonts w:ascii="Garamond" w:hAnsi="Garamond" w:cs="Times New Roman"/>
              </w:rPr>
              <w:t>Constant</w:t>
            </w:r>
          </w:p>
        </w:tc>
        <w:tc>
          <w:tcPr>
            <w:tcW w:w="2880" w:type="dxa"/>
            <w:tcMar>
              <w:top w:w="100" w:type="nil"/>
              <w:right w:w="100" w:type="nil"/>
            </w:tcMar>
            <w:vAlign w:val="center"/>
          </w:tcPr>
          <w:p w14:paraId="4082119F" w14:textId="77777777" w:rsidR="00BA6FB8" w:rsidRPr="00B449C2" w:rsidRDefault="00BA6FB8" w:rsidP="00E45998">
            <w:pPr>
              <w:autoSpaceDE w:val="0"/>
              <w:autoSpaceDN w:val="0"/>
              <w:adjustRightInd w:val="0"/>
              <w:jc w:val="center"/>
              <w:rPr>
                <w:rFonts w:ascii="Garamond" w:hAnsi="Garamond" w:cs="Times New Roman"/>
              </w:rPr>
            </w:pPr>
            <w:r w:rsidRPr="00B449C2">
              <w:rPr>
                <w:rFonts w:ascii="Garamond" w:hAnsi="Garamond" w:cs="Times New Roman"/>
              </w:rPr>
              <w:t>22,671</w:t>
            </w:r>
          </w:p>
        </w:tc>
        <w:tc>
          <w:tcPr>
            <w:tcW w:w="2880" w:type="dxa"/>
            <w:tcMar>
              <w:top w:w="100" w:type="nil"/>
              <w:right w:w="100" w:type="nil"/>
            </w:tcMar>
            <w:vAlign w:val="center"/>
          </w:tcPr>
          <w:p w14:paraId="58EAC64B" w14:textId="77777777" w:rsidR="00BA6FB8" w:rsidRPr="00B449C2" w:rsidRDefault="00BA6FB8" w:rsidP="00E45998">
            <w:pPr>
              <w:autoSpaceDE w:val="0"/>
              <w:autoSpaceDN w:val="0"/>
              <w:adjustRightInd w:val="0"/>
              <w:jc w:val="center"/>
              <w:rPr>
                <w:rFonts w:ascii="Garamond" w:hAnsi="Garamond" w:cs="Times New Roman"/>
              </w:rPr>
            </w:pPr>
            <w:r w:rsidRPr="00B449C2">
              <w:rPr>
                <w:rFonts w:ascii="Garamond" w:hAnsi="Garamond" w:cs="Times New Roman"/>
              </w:rPr>
              <w:t>110,787***</w:t>
            </w:r>
          </w:p>
        </w:tc>
      </w:tr>
      <w:tr w:rsidR="00BA6FB8" w:rsidRPr="00B449C2" w14:paraId="31BC99EE" w14:textId="77777777" w:rsidTr="006D02AE">
        <w:tblPrEx>
          <w:tblCellMar>
            <w:top w:w="0" w:type="dxa"/>
            <w:bottom w:w="0" w:type="dxa"/>
          </w:tblCellMar>
        </w:tblPrEx>
        <w:tc>
          <w:tcPr>
            <w:tcW w:w="2988" w:type="dxa"/>
            <w:tcBorders>
              <w:bottom w:val="single" w:sz="4" w:space="0" w:color="auto"/>
            </w:tcBorders>
            <w:tcMar>
              <w:top w:w="100" w:type="nil"/>
              <w:right w:w="100" w:type="nil"/>
            </w:tcMar>
            <w:vAlign w:val="center"/>
          </w:tcPr>
          <w:p w14:paraId="67F9C96B" w14:textId="77777777" w:rsidR="00BA6FB8" w:rsidRPr="00B449C2" w:rsidRDefault="00BA6FB8" w:rsidP="00E45998">
            <w:pPr>
              <w:autoSpaceDE w:val="0"/>
              <w:autoSpaceDN w:val="0"/>
              <w:adjustRightInd w:val="0"/>
              <w:rPr>
                <w:rFonts w:ascii="Garamond" w:hAnsi="Garamond" w:cs="Times New Roman"/>
              </w:rPr>
            </w:pPr>
          </w:p>
        </w:tc>
        <w:tc>
          <w:tcPr>
            <w:tcW w:w="2880" w:type="dxa"/>
            <w:tcBorders>
              <w:bottom w:val="single" w:sz="4" w:space="0" w:color="auto"/>
            </w:tcBorders>
            <w:tcMar>
              <w:top w:w="100" w:type="nil"/>
              <w:right w:w="100" w:type="nil"/>
            </w:tcMar>
            <w:vAlign w:val="center"/>
          </w:tcPr>
          <w:p w14:paraId="74B0E9A8" w14:textId="77777777" w:rsidR="00BA6FB8" w:rsidRPr="00B449C2" w:rsidRDefault="00BA6FB8" w:rsidP="00E45998">
            <w:pPr>
              <w:autoSpaceDE w:val="0"/>
              <w:autoSpaceDN w:val="0"/>
              <w:adjustRightInd w:val="0"/>
              <w:jc w:val="center"/>
              <w:rPr>
                <w:rFonts w:ascii="Garamond" w:hAnsi="Garamond" w:cs="Times New Roman"/>
              </w:rPr>
            </w:pPr>
            <w:r w:rsidRPr="00B449C2">
              <w:rPr>
                <w:rFonts w:ascii="Garamond" w:hAnsi="Garamond" w:cs="Times New Roman"/>
              </w:rPr>
              <w:t>(33,011)</w:t>
            </w:r>
          </w:p>
        </w:tc>
        <w:tc>
          <w:tcPr>
            <w:tcW w:w="2880" w:type="dxa"/>
            <w:tcBorders>
              <w:bottom w:val="single" w:sz="4" w:space="0" w:color="auto"/>
            </w:tcBorders>
            <w:tcMar>
              <w:top w:w="100" w:type="nil"/>
              <w:right w:w="100" w:type="nil"/>
            </w:tcMar>
            <w:vAlign w:val="center"/>
          </w:tcPr>
          <w:p w14:paraId="4200BF6D" w14:textId="77777777" w:rsidR="00BA6FB8" w:rsidRPr="00B449C2" w:rsidRDefault="00BA6FB8" w:rsidP="00E45998">
            <w:pPr>
              <w:autoSpaceDE w:val="0"/>
              <w:autoSpaceDN w:val="0"/>
              <w:adjustRightInd w:val="0"/>
              <w:jc w:val="center"/>
              <w:rPr>
                <w:rFonts w:ascii="Garamond" w:hAnsi="Garamond" w:cs="Times New Roman"/>
              </w:rPr>
            </w:pPr>
            <w:r w:rsidRPr="00B449C2">
              <w:rPr>
                <w:rFonts w:ascii="Garamond" w:hAnsi="Garamond" w:cs="Times New Roman"/>
              </w:rPr>
              <w:t>(137)</w:t>
            </w:r>
          </w:p>
        </w:tc>
      </w:tr>
      <w:tr w:rsidR="00BA6FB8" w:rsidRPr="00B449C2" w14:paraId="37070D09" w14:textId="77777777" w:rsidTr="006D02AE">
        <w:tblPrEx>
          <w:tblCellMar>
            <w:top w:w="0" w:type="dxa"/>
            <w:bottom w:w="0" w:type="dxa"/>
          </w:tblCellMar>
        </w:tblPrEx>
        <w:tc>
          <w:tcPr>
            <w:tcW w:w="2988" w:type="dxa"/>
            <w:tcBorders>
              <w:top w:val="single" w:sz="4" w:space="0" w:color="auto"/>
            </w:tcBorders>
            <w:tcMar>
              <w:top w:w="100" w:type="nil"/>
              <w:right w:w="100" w:type="nil"/>
            </w:tcMar>
            <w:vAlign w:val="center"/>
          </w:tcPr>
          <w:p w14:paraId="2B6A176E" w14:textId="77777777" w:rsidR="00BA6FB8" w:rsidRPr="00B449C2" w:rsidRDefault="00BA6FB8" w:rsidP="00E45998">
            <w:pPr>
              <w:autoSpaceDE w:val="0"/>
              <w:autoSpaceDN w:val="0"/>
              <w:adjustRightInd w:val="0"/>
              <w:rPr>
                <w:rFonts w:ascii="Garamond" w:hAnsi="Garamond" w:cs="Times New Roman"/>
              </w:rPr>
            </w:pPr>
            <w:r w:rsidRPr="00B449C2">
              <w:rPr>
                <w:rFonts w:ascii="Garamond" w:hAnsi="Garamond" w:cs="Times New Roman"/>
              </w:rPr>
              <w:t>Fixed Effects: State</w:t>
            </w:r>
          </w:p>
        </w:tc>
        <w:tc>
          <w:tcPr>
            <w:tcW w:w="2880" w:type="dxa"/>
            <w:tcBorders>
              <w:top w:val="single" w:sz="4" w:space="0" w:color="auto"/>
            </w:tcBorders>
            <w:tcMar>
              <w:top w:w="100" w:type="nil"/>
              <w:right w:w="100" w:type="nil"/>
            </w:tcMar>
            <w:vAlign w:val="center"/>
          </w:tcPr>
          <w:p w14:paraId="201193E1" w14:textId="77777777" w:rsidR="00BA6FB8" w:rsidRPr="00B449C2" w:rsidRDefault="00BA6FB8" w:rsidP="00E45998">
            <w:pPr>
              <w:autoSpaceDE w:val="0"/>
              <w:autoSpaceDN w:val="0"/>
              <w:adjustRightInd w:val="0"/>
              <w:jc w:val="center"/>
              <w:rPr>
                <w:rFonts w:ascii="Garamond" w:hAnsi="Garamond" w:cs="Times New Roman"/>
              </w:rPr>
            </w:pPr>
            <w:r w:rsidRPr="00B449C2">
              <w:rPr>
                <w:rFonts w:ascii="Garamond" w:hAnsi="Garamond" w:cs="Times New Roman"/>
              </w:rPr>
              <w:t>No</w:t>
            </w:r>
          </w:p>
        </w:tc>
        <w:tc>
          <w:tcPr>
            <w:tcW w:w="2880" w:type="dxa"/>
            <w:tcBorders>
              <w:top w:val="single" w:sz="4" w:space="0" w:color="auto"/>
            </w:tcBorders>
            <w:tcMar>
              <w:top w:w="100" w:type="nil"/>
              <w:right w:w="100" w:type="nil"/>
            </w:tcMar>
            <w:vAlign w:val="center"/>
          </w:tcPr>
          <w:p w14:paraId="5D62EC10" w14:textId="77777777" w:rsidR="00BA6FB8" w:rsidRPr="00B449C2" w:rsidRDefault="00BA6FB8" w:rsidP="00E45998">
            <w:pPr>
              <w:autoSpaceDE w:val="0"/>
              <w:autoSpaceDN w:val="0"/>
              <w:adjustRightInd w:val="0"/>
              <w:jc w:val="center"/>
              <w:rPr>
                <w:rFonts w:ascii="Garamond" w:hAnsi="Garamond" w:cs="Times New Roman"/>
              </w:rPr>
            </w:pPr>
            <w:r w:rsidRPr="00B449C2">
              <w:rPr>
                <w:rFonts w:ascii="Garamond" w:hAnsi="Garamond" w:cs="Times New Roman"/>
              </w:rPr>
              <w:t>Yes</w:t>
            </w:r>
          </w:p>
        </w:tc>
      </w:tr>
      <w:tr w:rsidR="00BA6FB8" w:rsidRPr="00B449C2" w14:paraId="4E6B20A5" w14:textId="77777777" w:rsidTr="00B449C2">
        <w:tblPrEx>
          <w:tblCellMar>
            <w:top w:w="0" w:type="dxa"/>
            <w:bottom w:w="0" w:type="dxa"/>
          </w:tblCellMar>
        </w:tblPrEx>
        <w:tc>
          <w:tcPr>
            <w:tcW w:w="2988" w:type="dxa"/>
            <w:tcMar>
              <w:top w:w="100" w:type="nil"/>
              <w:right w:w="100" w:type="nil"/>
            </w:tcMar>
            <w:vAlign w:val="center"/>
          </w:tcPr>
          <w:p w14:paraId="248BE957" w14:textId="77777777" w:rsidR="00BA6FB8" w:rsidRPr="00B449C2" w:rsidRDefault="00BA6FB8" w:rsidP="00E45998">
            <w:pPr>
              <w:autoSpaceDE w:val="0"/>
              <w:autoSpaceDN w:val="0"/>
              <w:adjustRightInd w:val="0"/>
              <w:rPr>
                <w:rFonts w:ascii="Garamond" w:hAnsi="Garamond" w:cs="Times New Roman"/>
              </w:rPr>
            </w:pPr>
            <w:r w:rsidRPr="00B449C2">
              <w:rPr>
                <w:rFonts w:ascii="Garamond" w:hAnsi="Garamond" w:cs="Times New Roman"/>
              </w:rPr>
              <w:t>Fixed Effects: Year</w:t>
            </w:r>
          </w:p>
        </w:tc>
        <w:tc>
          <w:tcPr>
            <w:tcW w:w="2880" w:type="dxa"/>
            <w:tcMar>
              <w:top w:w="100" w:type="nil"/>
              <w:right w:w="100" w:type="nil"/>
            </w:tcMar>
            <w:vAlign w:val="center"/>
          </w:tcPr>
          <w:p w14:paraId="268364A1" w14:textId="77777777" w:rsidR="00BA6FB8" w:rsidRPr="00B449C2" w:rsidRDefault="00BA6FB8" w:rsidP="00E45998">
            <w:pPr>
              <w:autoSpaceDE w:val="0"/>
              <w:autoSpaceDN w:val="0"/>
              <w:adjustRightInd w:val="0"/>
              <w:jc w:val="center"/>
              <w:rPr>
                <w:rFonts w:ascii="Garamond" w:hAnsi="Garamond" w:cs="Times New Roman"/>
              </w:rPr>
            </w:pPr>
            <w:r w:rsidRPr="00B449C2">
              <w:rPr>
                <w:rFonts w:ascii="Garamond" w:hAnsi="Garamond" w:cs="Times New Roman"/>
              </w:rPr>
              <w:t>No</w:t>
            </w:r>
          </w:p>
        </w:tc>
        <w:tc>
          <w:tcPr>
            <w:tcW w:w="2880" w:type="dxa"/>
            <w:tcMar>
              <w:top w:w="100" w:type="nil"/>
              <w:right w:w="100" w:type="nil"/>
            </w:tcMar>
            <w:vAlign w:val="center"/>
          </w:tcPr>
          <w:p w14:paraId="19B84CE8" w14:textId="77777777" w:rsidR="00BA6FB8" w:rsidRPr="00B449C2" w:rsidRDefault="00BA6FB8" w:rsidP="00E45998">
            <w:pPr>
              <w:autoSpaceDE w:val="0"/>
              <w:autoSpaceDN w:val="0"/>
              <w:adjustRightInd w:val="0"/>
              <w:jc w:val="center"/>
              <w:rPr>
                <w:rFonts w:ascii="Garamond" w:hAnsi="Garamond" w:cs="Times New Roman"/>
              </w:rPr>
            </w:pPr>
            <w:r w:rsidRPr="00B449C2">
              <w:rPr>
                <w:rFonts w:ascii="Garamond" w:hAnsi="Garamond" w:cs="Times New Roman"/>
              </w:rPr>
              <w:t>Yes</w:t>
            </w:r>
          </w:p>
        </w:tc>
      </w:tr>
    </w:tbl>
    <w:p w14:paraId="16C73EA9" w14:textId="77777777" w:rsidR="00B449C2" w:rsidRDefault="00B449C2" w:rsidP="00BA6FB8">
      <w:pPr>
        <w:autoSpaceDE w:val="0"/>
        <w:autoSpaceDN w:val="0"/>
        <w:adjustRightInd w:val="0"/>
        <w:rPr>
          <w:rFonts w:ascii="Garamond" w:hAnsi="Garamond" w:cs="Times New Roman"/>
          <w:sz w:val="20"/>
          <w:szCs w:val="20"/>
        </w:rPr>
      </w:pPr>
    </w:p>
    <w:p w14:paraId="148A6F64" w14:textId="5E7905E2" w:rsidR="00BA6FB8" w:rsidRPr="00B449C2" w:rsidRDefault="00BA6FB8" w:rsidP="00BA6FB8">
      <w:pPr>
        <w:autoSpaceDE w:val="0"/>
        <w:autoSpaceDN w:val="0"/>
        <w:adjustRightInd w:val="0"/>
        <w:rPr>
          <w:rFonts w:ascii="Garamond" w:hAnsi="Garamond" w:cs="Times New Roman"/>
          <w:sz w:val="20"/>
          <w:szCs w:val="20"/>
        </w:rPr>
      </w:pPr>
      <w:r w:rsidRPr="00B449C2">
        <w:rPr>
          <w:rFonts w:ascii="Garamond" w:hAnsi="Garamond" w:cs="Times New Roman"/>
          <w:sz w:val="20"/>
          <w:szCs w:val="20"/>
        </w:rPr>
        <w:t>Standard errors in parentheses</w:t>
      </w:r>
      <w:r w:rsidR="006D02AE">
        <w:rPr>
          <w:rFonts w:ascii="Garamond" w:hAnsi="Garamond" w:cs="Times New Roman"/>
          <w:sz w:val="20"/>
          <w:szCs w:val="20"/>
        </w:rPr>
        <w:t xml:space="preserve">: </w:t>
      </w:r>
      <w:r w:rsidRPr="00B449C2">
        <w:rPr>
          <w:rFonts w:ascii="Garamond" w:hAnsi="Garamond" w:cs="Times New Roman"/>
          <w:sz w:val="20"/>
          <w:szCs w:val="20"/>
        </w:rPr>
        <w:t>* p&lt;0.1, ** p&lt;0.05, *** p&lt;0.01</w:t>
      </w:r>
    </w:p>
    <w:p w14:paraId="17D91138" w14:textId="63E39501" w:rsidR="00BA6FB8" w:rsidRDefault="00BA6FB8">
      <w:pPr>
        <w:rPr>
          <w:rFonts w:ascii="Garamond" w:hAnsi="Garamond"/>
        </w:rPr>
      </w:pPr>
    </w:p>
    <w:p w14:paraId="2CD82267" w14:textId="5A32AF5E" w:rsidR="006D02AE" w:rsidRPr="006D02AE" w:rsidRDefault="006D02AE">
      <w:pPr>
        <w:rPr>
          <w:rFonts w:ascii="Garamond" w:hAnsi="Garamond"/>
          <w:b/>
          <w:bCs/>
        </w:rPr>
      </w:pPr>
      <w:r w:rsidRPr="006D02AE">
        <w:rPr>
          <w:rFonts w:ascii="Garamond" w:hAnsi="Garamond"/>
          <w:b/>
          <w:bCs/>
        </w:rPr>
        <w:t>Additional Questions</w:t>
      </w:r>
    </w:p>
    <w:p w14:paraId="657E9A37" w14:textId="44EF0D7E" w:rsidR="006D02AE" w:rsidRDefault="006D02AE">
      <w:pPr>
        <w:rPr>
          <w:rFonts w:ascii="Garamond" w:hAnsi="Garamond"/>
        </w:rPr>
      </w:pPr>
    </w:p>
    <w:p w14:paraId="142FF2B6" w14:textId="72A366D7" w:rsidR="006D02AE" w:rsidRDefault="006D02AE" w:rsidP="006D02AE">
      <w:pPr>
        <w:pStyle w:val="ListParagraph"/>
        <w:numPr>
          <w:ilvl w:val="0"/>
          <w:numId w:val="1"/>
        </w:numPr>
        <w:autoSpaceDE w:val="0"/>
        <w:autoSpaceDN w:val="0"/>
        <w:adjustRightInd w:val="0"/>
        <w:rPr>
          <w:rFonts w:ascii="Garamond" w:hAnsi="Garamond" w:cs="__X¶'3"/>
        </w:rPr>
      </w:pPr>
      <w:r w:rsidRPr="006D02AE">
        <w:rPr>
          <w:rFonts w:ascii="Garamond" w:hAnsi="Garamond" w:cs="__X¶'3"/>
        </w:rPr>
        <w:t>How many state-level fixed effects are there?</w:t>
      </w:r>
    </w:p>
    <w:p w14:paraId="01AD42CA" w14:textId="78EB4D26" w:rsidR="006D02AE" w:rsidRDefault="006D02AE" w:rsidP="006D02AE">
      <w:pPr>
        <w:autoSpaceDE w:val="0"/>
        <w:autoSpaceDN w:val="0"/>
        <w:adjustRightInd w:val="0"/>
        <w:rPr>
          <w:rFonts w:ascii="Garamond" w:hAnsi="Garamond" w:cs="__X¶'3"/>
        </w:rPr>
      </w:pPr>
    </w:p>
    <w:p w14:paraId="75FBB126" w14:textId="7AF75245" w:rsidR="006D02AE" w:rsidRDefault="006D02AE" w:rsidP="005A7D6E">
      <w:pPr>
        <w:autoSpaceDE w:val="0"/>
        <w:autoSpaceDN w:val="0"/>
        <w:adjustRightInd w:val="0"/>
        <w:jc w:val="both"/>
        <w:rPr>
          <w:rFonts w:ascii="Garamond" w:hAnsi="Garamond" w:cs="__X¶'3"/>
        </w:rPr>
      </w:pPr>
      <w:r>
        <w:rPr>
          <w:rFonts w:ascii="Garamond" w:hAnsi="Garamond" w:cs="__X¶'3"/>
        </w:rPr>
        <w:t xml:space="preserve">The model has a total of 49 variables (for each state from 2 till 50) to capture individual state-level fixed effects. The effect of the first state is the benchmark effect (i.e., absorbed in the constant term). </w:t>
      </w:r>
    </w:p>
    <w:p w14:paraId="7D1C2756" w14:textId="77777777" w:rsidR="006D02AE" w:rsidRPr="006D02AE" w:rsidRDefault="006D02AE" w:rsidP="006D02AE">
      <w:pPr>
        <w:autoSpaceDE w:val="0"/>
        <w:autoSpaceDN w:val="0"/>
        <w:adjustRightInd w:val="0"/>
        <w:rPr>
          <w:rFonts w:ascii="Garamond" w:hAnsi="Garamond" w:cs="__X¶'3"/>
        </w:rPr>
      </w:pPr>
    </w:p>
    <w:p w14:paraId="0E7EDD9A" w14:textId="3C1DFB43" w:rsidR="006D02AE" w:rsidRDefault="006D02AE" w:rsidP="006D02AE">
      <w:pPr>
        <w:pStyle w:val="ListParagraph"/>
        <w:numPr>
          <w:ilvl w:val="0"/>
          <w:numId w:val="1"/>
        </w:numPr>
        <w:autoSpaceDE w:val="0"/>
        <w:autoSpaceDN w:val="0"/>
        <w:adjustRightInd w:val="0"/>
        <w:rPr>
          <w:rFonts w:ascii="Garamond" w:hAnsi="Garamond" w:cs="__X¶'3"/>
        </w:rPr>
      </w:pPr>
      <w:r w:rsidRPr="006D02AE">
        <w:rPr>
          <w:rFonts w:ascii="Garamond" w:hAnsi="Garamond" w:cs="__X¶'3"/>
        </w:rPr>
        <w:t>What is the interpretation of the coefficient for each state-level fixed effect?</w:t>
      </w:r>
    </w:p>
    <w:p w14:paraId="575B5388" w14:textId="77777777" w:rsidR="006D02AE" w:rsidRDefault="006D02AE" w:rsidP="006D02AE">
      <w:pPr>
        <w:autoSpaceDE w:val="0"/>
        <w:autoSpaceDN w:val="0"/>
        <w:adjustRightInd w:val="0"/>
        <w:rPr>
          <w:rFonts w:ascii="Garamond" w:hAnsi="Garamond" w:cs="__X¶'3"/>
        </w:rPr>
      </w:pPr>
    </w:p>
    <w:p w14:paraId="10CFF356" w14:textId="60008592" w:rsidR="006D02AE" w:rsidRDefault="006D02AE" w:rsidP="005A7D6E">
      <w:pPr>
        <w:autoSpaceDE w:val="0"/>
        <w:autoSpaceDN w:val="0"/>
        <w:adjustRightInd w:val="0"/>
        <w:jc w:val="both"/>
        <w:rPr>
          <w:rFonts w:ascii="Garamond" w:hAnsi="Garamond" w:cs="__X¶'3"/>
        </w:rPr>
      </w:pPr>
      <w:r>
        <w:rPr>
          <w:rFonts w:ascii="Garamond" w:hAnsi="Garamond" w:cs="__X¶'3"/>
        </w:rPr>
        <w:t xml:space="preserve">Other things remaining constant, on average, the fixed effect for a particular state represents the </w:t>
      </w:r>
      <w:r w:rsidR="001968EB">
        <w:rPr>
          <w:rFonts w:ascii="Garamond" w:hAnsi="Garamond" w:cs="__X¶'3"/>
        </w:rPr>
        <w:t>additional</w:t>
      </w:r>
      <w:r w:rsidR="005A7D6E">
        <w:rPr>
          <w:rFonts w:ascii="Garamond" w:hAnsi="Garamond" w:cs="__X¶'3"/>
        </w:rPr>
        <w:t xml:space="preserve"> (or lower)</w:t>
      </w:r>
      <w:r w:rsidR="001968EB">
        <w:rPr>
          <w:rFonts w:ascii="Garamond" w:hAnsi="Garamond" w:cs="__X¶'3"/>
        </w:rPr>
        <w:t xml:space="preserve"> </w:t>
      </w:r>
      <w:r>
        <w:rPr>
          <w:rFonts w:ascii="Garamond" w:hAnsi="Garamond" w:cs="__X¶'3"/>
        </w:rPr>
        <w:t xml:space="preserve">number of lung hospitalizations that are likely to occur in </w:t>
      </w:r>
      <w:r w:rsidR="001968EB">
        <w:rPr>
          <w:rFonts w:ascii="Garamond" w:hAnsi="Garamond" w:cs="__X¶'3"/>
        </w:rPr>
        <w:t>that state in a particular year</w:t>
      </w:r>
      <w:r w:rsidR="005A7D6E">
        <w:rPr>
          <w:rFonts w:ascii="Garamond" w:hAnsi="Garamond" w:cs="__X¶'3"/>
        </w:rPr>
        <w:t xml:space="preserve">, </w:t>
      </w:r>
      <w:r>
        <w:rPr>
          <w:rFonts w:ascii="Garamond" w:hAnsi="Garamond" w:cs="__X¶'3"/>
        </w:rPr>
        <w:t xml:space="preserve">compared to the </w:t>
      </w:r>
      <w:r w:rsidR="005A7D6E">
        <w:rPr>
          <w:rFonts w:ascii="Garamond" w:hAnsi="Garamond" w:cs="__X¶'3"/>
        </w:rPr>
        <w:t xml:space="preserve">benchmark </w:t>
      </w:r>
      <w:r>
        <w:rPr>
          <w:rFonts w:ascii="Garamond" w:hAnsi="Garamond" w:cs="__X¶'3"/>
        </w:rPr>
        <w:t xml:space="preserve">number of hospitalizations in state 1. </w:t>
      </w:r>
      <w:r w:rsidR="005A7D6E">
        <w:rPr>
          <w:rFonts w:ascii="Garamond" w:hAnsi="Garamond" w:cs="__X¶'3"/>
        </w:rPr>
        <w:t xml:space="preserve">For example, a coefficient of 971 (for state 9) implies that for any particular year, state 9 is likely to have 971 more hospitalizations than state 1, with the other variables (year and treatment state) being held constant. </w:t>
      </w:r>
    </w:p>
    <w:p w14:paraId="6C076BAE" w14:textId="77777777" w:rsidR="006D02AE" w:rsidRPr="006D02AE" w:rsidRDefault="006D02AE" w:rsidP="006D02AE">
      <w:pPr>
        <w:autoSpaceDE w:val="0"/>
        <w:autoSpaceDN w:val="0"/>
        <w:adjustRightInd w:val="0"/>
        <w:rPr>
          <w:rFonts w:ascii="Garamond" w:hAnsi="Garamond" w:cs="__X¶'3"/>
        </w:rPr>
      </w:pPr>
    </w:p>
    <w:p w14:paraId="21E568A0" w14:textId="73BAD723" w:rsidR="006D02AE" w:rsidRPr="006D02AE" w:rsidRDefault="006D02AE" w:rsidP="006D02AE">
      <w:pPr>
        <w:pStyle w:val="ListParagraph"/>
        <w:numPr>
          <w:ilvl w:val="0"/>
          <w:numId w:val="1"/>
        </w:numPr>
        <w:rPr>
          <w:rFonts w:ascii="Garamond" w:hAnsi="Garamond"/>
          <w:sz w:val="28"/>
          <w:szCs w:val="28"/>
        </w:rPr>
      </w:pPr>
      <w:r w:rsidRPr="006D02AE">
        <w:rPr>
          <w:rFonts w:ascii="Garamond" w:hAnsi="Garamond" w:cs="__X¶'3"/>
        </w:rPr>
        <w:t>Can you reject the hypothesis that state fixed effects are all zero?</w:t>
      </w:r>
    </w:p>
    <w:p w14:paraId="61DC4D54" w14:textId="4145E927" w:rsidR="006D02AE" w:rsidRDefault="006D02AE" w:rsidP="006D02AE">
      <w:pPr>
        <w:rPr>
          <w:rFonts w:ascii="Garamond" w:hAnsi="Garamond"/>
          <w:sz w:val="28"/>
          <w:szCs w:val="28"/>
        </w:rPr>
      </w:pPr>
    </w:p>
    <w:p w14:paraId="320E57C2" w14:textId="7EE4394A" w:rsidR="006D02AE" w:rsidRPr="006D02AE" w:rsidRDefault="006D02AE" w:rsidP="006D02AE">
      <w:pPr>
        <w:rPr>
          <w:rFonts w:ascii="Garamond" w:hAnsi="Garamond"/>
        </w:rPr>
      </w:pPr>
      <w:r w:rsidRPr="006D02AE">
        <w:rPr>
          <w:rFonts w:ascii="Garamond" w:hAnsi="Garamond"/>
        </w:rPr>
        <w:t>No, we cannot reject this hypothesis. Running a combined hypothesis test for all 49 of our fixed effects to be 0 (i.e., there are no fixed effects), we find:</w:t>
      </w:r>
    </w:p>
    <w:p w14:paraId="1476CBA3" w14:textId="2C6EFA84" w:rsidR="006D02AE" w:rsidRPr="006D02AE" w:rsidRDefault="006D02AE" w:rsidP="006D02AE">
      <w:pPr>
        <w:rPr>
          <w:rFonts w:ascii="Garamond" w:hAnsi="Garamond"/>
        </w:rPr>
      </w:pPr>
    </w:p>
    <w:p w14:paraId="7A6067D3" w14:textId="7DCCB8B5" w:rsidR="006D02AE" w:rsidRPr="006D02AE" w:rsidRDefault="006D02AE" w:rsidP="006D02AE">
      <w:pPr>
        <w:rPr>
          <w:rFonts w:ascii="Garamond" w:hAnsi="Garamond"/>
          <w:u w:val="single"/>
        </w:rPr>
      </w:pPr>
      <w:proofErr w:type="gramStart"/>
      <w:r w:rsidRPr="006D02AE">
        <w:rPr>
          <w:rFonts w:ascii="Garamond" w:hAnsi="Garamond"/>
          <w:u w:val="single"/>
        </w:rPr>
        <w:t>F(</w:t>
      </w:r>
      <w:proofErr w:type="gramEnd"/>
      <w:r w:rsidRPr="006D02AE">
        <w:rPr>
          <w:rFonts w:ascii="Garamond" w:hAnsi="Garamond"/>
          <w:u w:val="single"/>
        </w:rPr>
        <w:t>49, 979) =  102.63</w:t>
      </w:r>
    </w:p>
    <w:p w14:paraId="388D6CAD" w14:textId="49C25A42" w:rsidR="006D02AE" w:rsidRPr="006D02AE" w:rsidRDefault="006D02AE" w:rsidP="006D02AE">
      <w:pPr>
        <w:rPr>
          <w:rFonts w:ascii="Garamond" w:hAnsi="Garamond"/>
          <w:u w:val="single"/>
        </w:rPr>
      </w:pPr>
      <w:r w:rsidRPr="006D02AE">
        <w:rPr>
          <w:rFonts w:ascii="Garamond" w:hAnsi="Garamond"/>
          <w:u w:val="single"/>
        </w:rPr>
        <w:t>Prob &gt; F =    0.0000</w:t>
      </w:r>
    </w:p>
    <w:p w14:paraId="24D3580B" w14:textId="5AE5596A" w:rsidR="006D02AE" w:rsidRPr="006D02AE" w:rsidRDefault="006D02AE" w:rsidP="006D02AE">
      <w:pPr>
        <w:rPr>
          <w:rFonts w:ascii="Garamond" w:hAnsi="Garamond"/>
        </w:rPr>
      </w:pPr>
    </w:p>
    <w:p w14:paraId="7D0DD55A" w14:textId="0F11092F" w:rsidR="006D02AE" w:rsidRPr="005A7D6E" w:rsidRDefault="006D02AE" w:rsidP="006D02AE">
      <w:pPr>
        <w:rPr>
          <w:rFonts w:ascii="Garamond" w:hAnsi="Garamond"/>
        </w:rPr>
      </w:pPr>
      <w:r w:rsidRPr="006D02AE">
        <w:rPr>
          <w:rFonts w:ascii="Garamond" w:hAnsi="Garamond"/>
        </w:rPr>
        <w:t xml:space="preserve">Thus, we reject the null hypothesis that there are no state-specific fixed effects. </w:t>
      </w:r>
    </w:p>
    <w:sectPr w:rsidR="006D02AE" w:rsidRPr="005A7D6E" w:rsidSect="00E459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__X¶'3">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353A1"/>
    <w:multiLevelType w:val="hybridMultilevel"/>
    <w:tmpl w:val="9FEE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B8"/>
    <w:rsid w:val="001968EB"/>
    <w:rsid w:val="005A7D6E"/>
    <w:rsid w:val="006D02AE"/>
    <w:rsid w:val="00823084"/>
    <w:rsid w:val="00B449C2"/>
    <w:rsid w:val="00BA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36776"/>
  <w15:chartTrackingRefBased/>
  <w15:docId w15:val="{72FBEFC8-1CE6-7E4D-AD54-74DE4755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Nandil</dc:creator>
  <cp:keywords/>
  <dc:description/>
  <cp:lastModifiedBy>Bhatia, Nandil</cp:lastModifiedBy>
  <cp:revision>2</cp:revision>
  <dcterms:created xsi:type="dcterms:W3CDTF">2021-11-05T15:16:00Z</dcterms:created>
  <dcterms:modified xsi:type="dcterms:W3CDTF">2021-11-05T16:01:00Z</dcterms:modified>
</cp:coreProperties>
</file>