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120" w:line="275.9999942779541" w:lineRule="auto"/>
        <w:rPr>
          <w:rFonts w:ascii="Open Sans" w:cs="Open Sans" w:eastAsia="Open Sans" w:hAnsi="Open Sans"/>
          <w:color w:val="666666"/>
          <w:sz w:val="30"/>
          <w:szCs w:val="30"/>
          <w:u w:val="single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34"/>
          <w:szCs w:val="34"/>
          <w:u w:val="single"/>
          <w:rtl w:val="0"/>
        </w:rPr>
        <w:t xml:space="preserve">Strategic Portfolio Analysis &amp; Operational Optimizatio</w:t>
      </w:r>
      <w:r w:rsidDel="00000000" w:rsidR="00000000" w:rsidRPr="00000000">
        <w:rPr>
          <w:rFonts w:ascii="Open Sans" w:cs="Open Sans" w:eastAsia="Open Sans" w:hAnsi="Open Sans"/>
          <w:color w:val="666666"/>
          <w:sz w:val="30"/>
          <w:szCs w:val="30"/>
          <w:u w:val="single"/>
          <w:rtl w:val="0"/>
        </w:rPr>
        <w:t xml:space="preserve">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120" w:line="275.9999942779541" w:lineRule="auto"/>
        <w:rPr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color w:val="6772e5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Hero FinCorp currently manages a massive and diverse portfolio of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70,000 unique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and over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495,000 individual transactions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 At its current critical scale, the portfolio holds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total expected revenue of $251.38 Billion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 This analysis moves beyond standard reporting to implement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Predictive Risk Model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designed to secure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$24.91 Billion in projected interest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by isolating the top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12% of high-risk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and protecting our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top 25% VIP segment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120" w:before="0" w:line="275.9999942779541" w:lineRule="auto"/>
        <w:rPr>
          <w:color w:val="1f1f1f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color w:val="6772e5"/>
          <w:rtl w:val="0"/>
        </w:rPr>
        <w:t xml:space="preserve">The Methodology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75.9999942779541" w:lineRule="auto"/>
        <w:rPr>
          <w:color w:val="1f1f1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We utilized advanced data science techniques to segment the portfolio based on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behavioral consistency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rather than just credit scores. By measuring the "Irregularity Score" of payments and the "Penalty Burden" on individual accounts, we shifted the focus from reactive collection to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proactive risk management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120" w:before="0" w:line="275.9999942779541" w:lineRule="auto"/>
        <w:rPr>
          <w:color w:val="1f1f1f"/>
          <w:sz w:val="32"/>
          <w:szCs w:val="32"/>
        </w:rPr>
      </w:pPr>
      <w:bookmarkStart w:colFirst="0" w:colLast="0" w:name="_r096atpfpnvf" w:id="0"/>
      <w:bookmarkEnd w:id="0"/>
      <w:r w:rsidDel="00000000" w:rsidR="00000000" w:rsidRPr="00000000">
        <w:rPr>
          <w:rFonts w:ascii="Open Sans" w:cs="Open Sans" w:eastAsia="Open Sans" w:hAnsi="Open Sans"/>
          <w:b w:val="0"/>
          <w:bCs w:val="0"/>
          <w:color w:val="6772e5"/>
          <w:rtl w:val="0"/>
        </w:rPr>
        <w:t xml:space="preserve">The 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="275.9999942779541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Our analysis successfully identified three high-impact areas for immediate action: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="275.9999942779541" w:lineRule="auto"/>
        <w:ind w:left="57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Risk Identification: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We have isolated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top 12% of "High-Risk"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who exhibit erratic payment patterns. These individuals represent the most likely candidates for default in the next 60–90 days.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75.9999942779541" w:lineRule="auto"/>
        <w:ind w:left="57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Operational Optimization: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Data revealed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200% variance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in loan processing times across branches. Standardizing these workflows could unlock significant capital and improve customer satisfaction.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120" w:before="0" w:beforeAutospacing="0" w:line="275.9999942779541" w:lineRule="auto"/>
        <w:ind w:left="57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Revenue Protection: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We identified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Top 25% "VIP Segment"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responsible for the highest share of stable interest income. We have developed a retention strategy to protect these high-value assets from competitors.</w:t>
      </w:r>
    </w:p>
    <w:p w:rsidR="00000000" w:rsidDel="00000000" w:rsidP="00000000" w:rsidRDefault="00000000" w:rsidRPr="00000000" w14:paraId="0000000D">
      <w:pPr>
        <w:spacing w:after="120" w:before="120" w:line="275.9999942779541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Open Sans" w:cs="Open Sans" w:eastAsia="Open Sans" w:hAnsi="Open Sans"/>
          <w:b w:val="0"/>
          <w:bCs w:val="0"/>
          <w:color w:val="6772e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Open Sans" w:cs="Open Sans" w:eastAsia="Open Sans" w:hAnsi="Open Sans"/>
          <w:b w:val="0"/>
          <w:bCs w:val="0"/>
          <w:color w:val="6772e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color w:val="6772e5"/>
          <w:sz w:val="28"/>
          <w:szCs w:val="28"/>
          <w:rtl w:val="0"/>
        </w:rPr>
        <w:t xml:space="preserve">Pillar 1: Minimizing Loan Defaults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Goal: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Transition from reactive collections to proactive behavioral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hd w:fill="ffffff" w:val="clear"/>
        <w:spacing w:line="276" w:lineRule="auto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03f9f"/>
          <w:sz w:val="21"/>
          <w:szCs w:val="21"/>
        </w:rPr>
        <w:drawing>
          <wp:inline distB="114300" distT="114300" distL="114300" distR="114300">
            <wp:extent cx="5376863" cy="3203636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2036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hd w:fill="ffffff" w:val="clear"/>
        <w:spacing w:line="276" w:lineRule="auto"/>
        <w:rPr>
          <w:rFonts w:ascii="Courier New" w:cs="Courier New" w:eastAsia="Courier New" w:hAnsi="Courier New"/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🚩 Regional Default Rankings:</w:t>
      </w:r>
    </w:p>
    <w:p w:rsidR="00000000" w:rsidDel="00000000" w:rsidP="00000000" w:rsidRDefault="00000000" w:rsidRPr="00000000" w14:paraId="00000016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7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Region  Default_Rate_%</w:t>
      </w:r>
    </w:p>
    <w:p w:rsidR="00000000" w:rsidDel="00000000" w:rsidP="00000000" w:rsidRDefault="00000000" w:rsidRPr="00000000" w14:paraId="00000018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South       10.040805</w:t>
      </w:r>
    </w:p>
    <w:p w:rsidR="00000000" w:rsidDel="00000000" w:rsidP="00000000" w:rsidRDefault="00000000" w:rsidRPr="00000000" w14:paraId="00000019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West        9.932219</w:t>
      </w:r>
    </w:p>
    <w:p w:rsidR="00000000" w:rsidDel="00000000" w:rsidP="00000000" w:rsidRDefault="00000000" w:rsidRPr="00000000" w14:paraId="0000001A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Central        9.583137</w:t>
      </w:r>
    </w:p>
    <w:p w:rsidR="00000000" w:rsidDel="00000000" w:rsidP="00000000" w:rsidRDefault="00000000" w:rsidRPr="00000000" w14:paraId="0000001B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Northeast        9.582441</w:t>
      </w:r>
    </w:p>
    <w:p w:rsidR="00000000" w:rsidDel="00000000" w:rsidP="00000000" w:rsidRDefault="00000000" w:rsidRPr="00000000" w14:paraId="0000001C">
      <w:pPr>
        <w:widowControl w:val="1"/>
        <w:spacing w:line="276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North        8.908982</w:t>
      </w:r>
    </w:p>
    <w:p w:rsidR="00000000" w:rsidDel="00000000" w:rsidP="00000000" w:rsidRDefault="00000000" w:rsidRPr="00000000" w14:paraId="0000001D">
      <w:pPr>
        <w:widowControl w:val="1"/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color w:val="303f9f"/>
          <w:sz w:val="21"/>
          <w:szCs w:val="21"/>
          <w:rtl w:val="0"/>
        </w:rPr>
        <w:t xml:space="preserve">     East        8.899190</w:t>
      </w:r>
    </w:p>
    <w:p w:rsidR="00000000" w:rsidDel="00000000" w:rsidP="00000000" w:rsidRDefault="00000000" w:rsidRPr="00000000" w14:paraId="0000001E">
      <w:pPr>
        <w:widowControl w:val="1"/>
        <w:shd w:fill="ffffff" w:val="clear"/>
        <w:spacing w:line="291.42960000000005" w:lineRule="auto"/>
        <w:rPr>
          <w:color w:val="303f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hd w:fill="ffffff" w:val="clear"/>
        <w:spacing w:line="291.42960000000005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Insights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Regional Risk Hotspots: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South (10.04%)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West (9.93%)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regions significantly exceed the portfolio average for defaults 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The "Irregularity" Threshold: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We have defined "High-Risk" as any customer with an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Irregularity Score &gt; 1,000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. This segment (including IDs C064322 and C043921) represents the highest immediate threat of failure.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High-Risk Demographic: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"Poor" credit tier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paired with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"Medium-High" income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is the most volatile group, with a group-specific overdue rate of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34.24%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Early-Term Failure: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Education loans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are currently "Early Failures," defaulting on average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6.2 months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after disbursement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="276" w:lineRule="auto"/>
        <w:rPr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Recommendation: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Deploy "Early Warning" nudges to all customers exceeding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1000+ Irregularity Score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and implement stricter manual underwriting for the South and West regions nudge for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12% of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identified as "Highly Irregular"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mrrolw7z1rg4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color w:val="6772e5"/>
          <w:sz w:val="28"/>
          <w:szCs w:val="28"/>
          <w:rtl w:val="0"/>
        </w:rPr>
        <w:t xml:space="preserve">Pillar 2: Optimizing Branch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Goal: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Standardize "Gold Standard" workflows and re-evaluate low-ROI tactics.</w:t>
      </w:r>
    </w:p>
    <w:p w:rsidR="00000000" w:rsidDel="00000000" w:rsidP="00000000" w:rsidRDefault="00000000" w:rsidRPr="00000000" w14:paraId="00000028">
      <w:pPr>
        <w:widowControl w:val="1"/>
        <w:shd w:fill="ffffff" w:val="clear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🐢 Slowest Bottleneck: Northeast Region for Home Renovation Loans</w:t>
      </w:r>
    </w:p>
    <w:p w:rsidR="00000000" w:rsidDel="00000000" w:rsidP="00000000" w:rsidRDefault="00000000" w:rsidRPr="00000000" w14:paraId="0000002B">
      <w:pPr>
        <w:widowControl w:val="1"/>
        <w:shd w:fill="ffffff" w:val="clear"/>
        <w:spacing w:line="291.42960000000005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⚡ Fastest Process: West Region for Education 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hd w:fill="ffffff" w:val="clear"/>
        <w:spacing w:line="291.42960000000005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Insights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The Northeast Bottleneck: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Home Renovation loans in the Northeast are currently an outlier, taking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210.6 days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to approve.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The "Education Paradox":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While the West region processes Education loans in a "Gold Standard"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130.5 days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, this same product is our fastest to default.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Strategic Note: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Speed may be compromising quality in the West; rapid processing must be balanced with manual documentation checks.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The Legal ROI Gap: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Legal Action yields only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0.56% improvement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in recovery rates (40.74% vs. 40.18%) 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Staffing Efficiency: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Data confirms a direct correlation: increasing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Relationship Managers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effectively lowers processing times .</w:t>
      </w:r>
    </w:p>
    <w:p w:rsidR="00000000" w:rsidDel="00000000" w:rsidP="00000000" w:rsidRDefault="00000000" w:rsidRPr="00000000" w14:paraId="00000032">
      <w:pPr>
        <w:spacing w:after="24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Recommendation: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Shift the recovery budget away from universal Legal Action toward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Pillar 1 Early Warning System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 Standardize the West region's speed for non-risky products while adding mandatory quality "toll-gates"(e.g., "A mandatory secondary manual audit of income documents")  for Education loans.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120" w:line="275.9999942779541" w:lineRule="auto"/>
        <w:rPr>
          <w:b w:val="0"/>
          <w:bCs w:val="0"/>
          <w:sz w:val="22"/>
          <w:szCs w:val="22"/>
        </w:rPr>
      </w:pPr>
      <w:bookmarkStart w:colFirst="0" w:colLast="0" w:name="_7q5aipokmv3c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color w:val="6772e5"/>
          <w:sz w:val="28"/>
          <w:szCs w:val="28"/>
          <w:rtl w:val="0"/>
        </w:rPr>
        <w:t xml:space="preserve">Pillar 3: Enhancing Profitability  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Protect high-value revenue streams and clarify earnings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hd w:fill="ffffff" w:val="clear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💎 Profitability Rankings by Loan Purpose: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39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Vehicle: $3,910,158,757.13</w:t>
      </w:r>
    </w:p>
    <w:p w:rsidR="00000000" w:rsidDel="00000000" w:rsidP="00000000" w:rsidRDefault="00000000" w:rsidRPr="00000000" w14:paraId="0000003A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Business: $3,897,289,983.39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Education: $3,867,958,675.34</w:t>
      </w:r>
    </w:p>
    <w:p w:rsidR="00000000" w:rsidDel="00000000" w:rsidP="00000000" w:rsidRDefault="00000000" w:rsidRPr="00000000" w14:paraId="0000003C">
      <w:pPr>
        <w:widowControl w:val="1"/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Renovation: $3,867,923,730.91</w:t>
      </w:r>
    </w:p>
    <w:p w:rsidR="00000000" w:rsidDel="00000000" w:rsidP="00000000" w:rsidRDefault="00000000" w:rsidRPr="00000000" w14:paraId="0000003D">
      <w:pPr>
        <w:widowControl w:val="1"/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Personal: $3,841,359,713.71</w:t>
      </w:r>
    </w:p>
    <w:p w:rsidR="00000000" w:rsidDel="00000000" w:rsidP="00000000" w:rsidRDefault="00000000" w:rsidRPr="00000000" w14:paraId="0000003E">
      <w:pPr>
        <w:widowControl w:val="1"/>
        <w:shd w:fill="ffffff" w:val="clear"/>
        <w:spacing w:line="291.42960000000005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hd w:fill="ffffff" w:val="clear"/>
        <w:spacing w:line="291.42960000000005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Insights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0" w:firstLine="0"/>
        <w:rPr>
          <w:rFonts w:ascii="Roboto" w:cs="Roboto" w:eastAsia="Roboto" w:hAnsi="Roboto"/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Interest Revenue Scale: 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Roboto" w:cs="Roboto" w:eastAsia="Roboto" w:hAnsi="Roboto"/>
          <w:color w:val="333333"/>
          <w:sz w:val="25"/>
          <w:szCs w:val="25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Regional View: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North region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is the primary driver, contributing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$58.47 Billion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in total interest.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Roboto" w:cs="Roboto" w:eastAsia="Roboto" w:hAnsi="Roboto"/>
          <w:color w:val="333333"/>
          <w:sz w:val="25"/>
          <w:szCs w:val="25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Purpose View: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Vehicle loans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lead as the most profitable product type at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$3.91 Billion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nationally.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Revenue Quality: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Only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4.99%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of revenue is penalty-dependent, confirming that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95.01%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of our cash flow is high-quality interest and principal 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VIP Core: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We have identified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11,465 VIP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(Top 25% of consistent payers) as the bedrock of our stable interest income.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x5tfa55byhtf" w:id="3"/>
      <w:bookmarkEnd w:id="3"/>
      <w:r w:rsidDel="00000000" w:rsidR="00000000" w:rsidRPr="00000000">
        <w:rPr>
          <w:rFonts w:ascii="Open Sans" w:cs="Open Sans" w:eastAsia="Open Sans" w:hAnsi="Open Sans"/>
          <w:b w:val="0"/>
          <w:bCs w:val="0"/>
          <w:color w:val="6772e5"/>
          <w:rtl w:val="0"/>
        </w:rPr>
        <w:t xml:space="preserve">Financial ROI for Loyalty: The "Cost of Churn" 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76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Protecting the identified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11,465 VIP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is not merely a customer service gesture; it is a high-yield defensive strategy.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The Math of Retention: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The cost of offering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0.25% interest rate reduction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on a single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$6.01M VIP loan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is approximately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$15,000 annually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The Cost of Acquisition (CAC):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In contrast, the marketing, administrative, and manual underwriting costs required to acquire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new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$6M borrower—plus the risk of the unknown—frequently exceed $45,000 to $60,000 in industry overhead.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Strategic Advantage: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By proactively securing these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45,858 consistent customers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, Hero FinCorp avoids the massive "replacement cost" of $68 Billion in stable capital while locking in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$24.91 Billion in projected interest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1"/>
        <w:shd w:fill="ffffff" w:val="clear"/>
        <w:spacing w:line="291.42960000000005" w:lineRule="auto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Insights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ind w:left="600" w:right="600" w:firstLine="0"/>
        <w:rPr/>
      </w:pP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It is 3–5x more cost-effective to "buy" loyalty through a small interest break than to "buy" a new high-value borrower through marketing. This program effectively "insures" our most profitable geographic market—the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North Region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—against competitor poaching.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color w:val="6772e5"/>
          <w:sz w:val="28"/>
          <w:szCs w:val="28"/>
          <w:rtl w:val="0"/>
        </w:rPr>
        <w:t xml:space="preserve">Actionable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Immediate Risk Intervention: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Redesign the West region's Education loan workflow to include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mandatory quality "toll-gates"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and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"Day 90" risk review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line="276" w:lineRule="auto"/>
        <w:ind w:left="1440" w:firstLine="0"/>
        <w:rPr>
          <w:rFonts w:ascii="Roboto" w:cs="Roboto" w:eastAsia="Roboto" w:hAnsi="Roboto"/>
          <w:i w:val="1"/>
          <w:iCs w:val="1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Reasoning: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While the West is the fastest at 130.5 days, Education loans are the fastest to default (6.2 months) . We must ensure speed is not compromising underwriting quality.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Operational Budget Reallocation: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Shift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15% of the Legal Recovery budget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into automated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SMS/Voice "Early Warning" technology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line="276" w:lineRule="auto"/>
        <w:ind w:left="1440" w:firstLine="0"/>
        <w:rPr>
          <w:rFonts w:ascii="Roboto" w:cs="Roboto" w:eastAsia="Roboto" w:hAnsi="Roboto"/>
          <w:i w:val="1"/>
          <w:iCs w:val="1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Reasoning: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Legal action provides a negligible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0.56% improvement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 in recovery rates (40.74% vs. 40.18%) . Proactive tech intervention offers a far higher ROI by preventing the default entirely.</w:t>
      </w:r>
    </w:p>
    <w:p w:rsidR="00000000" w:rsidDel="00000000" w:rsidP="00000000" w:rsidRDefault="00000000" w:rsidRPr="00000000" w14:paraId="00000052">
      <w:pPr>
        <w:spacing w:after="240" w:line="276" w:lineRule="auto"/>
        <w:ind w:left="1440" w:firstLine="0"/>
        <w:rPr>
          <w:rFonts w:ascii="Roboto" w:cs="Roboto" w:eastAsia="Roboto" w:hAnsi="Roboto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Strategic Regional Audit: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Conduct a forensic audit of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Northeast region’s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documentation process for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Home Renovation loans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to eliminate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210-day processing lag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line="276" w:lineRule="auto"/>
        <w:ind w:left="1440" w:firstLine="0"/>
        <w:rPr>
          <w:rFonts w:ascii="Roboto" w:cs="Roboto" w:eastAsia="Roboto" w:hAnsi="Roboto"/>
          <w:i w:val="1"/>
          <w:iCs w:val="1"/>
          <w:color w:val="333333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Reasoning: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This is the portfolio's primary operational bottleneck, slowing down capital turnover in a key market.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5"/>
          <w:szCs w:val="25"/>
          <w:rtl w:val="0"/>
        </w:rPr>
        <w:t xml:space="preserve">High-Value Retention (The Loyalty Program):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Deploy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"VIP Loyalty Program"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in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North region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(our most profitable market) offering a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0.25% interest rate reduction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 for the 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11,465 identified VIPs</w:t>
      </w: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line="276" w:lineRule="auto"/>
        <w:ind w:left="1440" w:firstLine="0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333333"/>
          <w:sz w:val="25"/>
          <w:szCs w:val="25"/>
          <w:rtl w:val="0"/>
        </w:rPr>
        <w:t xml:space="preserve">The ROI: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Retaining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$6M borrower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 at a 0.25% discount is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3x more cost-effective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5"/>
          <w:szCs w:val="25"/>
          <w:rtl w:val="0"/>
        </w:rPr>
        <w:t xml:space="preserve"> than the Marketing/Acquisition cost of finding a new customer of the same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120" w:line="275.9999942779541" w:lineRule="auto"/>
        <w:rPr/>
      </w:pPr>
      <w:bookmarkStart w:colFirst="0" w:colLast="0" w:name="_u9twuxmahlux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