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800"/>
        <w:rPr>
          <w:rFonts w:hint="eastAsia"/>
        </w:rPr>
      </w:pPr>
    </w:p>
    <w:p>
      <w:pPr>
        <w:spacing w:after="80"/>
        <w:rPr>
          <w:rFonts w:hint="eastAsia"/>
        </w:rPr>
      </w:pPr>
      <w:r>
        <w:rPr>
          <w:b/>
          <w:color w:val="20A39E"/>
          <w:sz w:val="18"/>
        </w:rPr>
        <w:t>MACHINE LEARNING CASE STUDY</w:t>
      </w:r>
    </w:p>
    <w:p>
      <w:pPr>
        <w:spacing w:after="200" w:line="240" w:lineRule="auto"/>
        <w:rPr>
          <w:rFonts w:hint="eastAsia"/>
        </w:rPr>
      </w:pPr>
      <w:r>
        <w:rPr>
          <w:b/>
          <w:color w:val="0B2743"/>
          <w:sz w:val="62"/>
        </w:rPr>
        <w:t>Customer Retention</w:t>
      </w:r>
      <w:r>
        <w:rPr>
          <w:b/>
          <w:color w:val="0B2743"/>
          <w:sz w:val="62"/>
        </w:rPr>
        <w:br/>
        <w:t>Risk Model</w:t>
      </w:r>
    </w:p>
    <w:p>
      <w:pPr>
        <w:spacing w:after="520" w:line="288" w:lineRule="auto"/>
        <w:rPr>
          <w:rFonts w:hint="eastAsia"/>
        </w:rPr>
      </w:pPr>
      <w:r>
        <w:rPr>
          <w:color w:val="607184"/>
          <w:sz w:val="30"/>
        </w:rPr>
        <w:t>An explainable framework for predicting cancellation risk and prioritizing timely retention outreach.</w:t>
      </w:r>
    </w:p>
    <w:p>
      <w:pPr>
        <w:keepNext/>
        <w:pBdr>
          <w:left w:val="single" w:sz="22" w:space="10" w:color="20A39E"/>
        </w:pBdr>
        <w:shd w:val="clear" w:color="auto" w:fill="F2F4F7"/>
        <w:spacing w:before="80" w:after="40"/>
        <w:ind w:left="230" w:right="173"/>
        <w:rPr>
          <w:rFonts w:hint="eastAsia"/>
        </w:rPr>
      </w:pPr>
      <w:r>
        <w:rPr>
          <w:b/>
          <w:color w:val="20A39E"/>
          <w:sz w:val="16"/>
        </w:rPr>
        <w:t>PROJECT THESIS</w:t>
      </w:r>
    </w:p>
    <w:p>
      <w:pPr>
        <w:keepNext/>
        <w:pBdr>
          <w:left w:val="single" w:sz="22" w:space="10" w:color="20A39E"/>
        </w:pBdr>
        <w:shd w:val="clear" w:color="auto" w:fill="F2F4F7"/>
        <w:spacing w:after="40"/>
        <w:ind w:left="230" w:right="173"/>
        <w:rPr>
          <w:rFonts w:hint="eastAsia"/>
        </w:rPr>
      </w:pPr>
      <w:r>
        <w:rPr>
          <w:b/>
          <w:color w:val="0B2743"/>
          <w:sz w:val="28"/>
        </w:rPr>
        <w:t>Predict earlier. Intervene thoughtfully.</w:t>
      </w:r>
    </w:p>
    <w:p>
      <w:pPr>
        <w:pBdr>
          <w:left w:val="single" w:sz="22" w:space="10" w:color="20A39E"/>
        </w:pBdr>
        <w:shd w:val="clear" w:color="auto" w:fill="F2F4F7"/>
        <w:spacing w:after="160"/>
        <w:ind w:left="230" w:right="173"/>
        <w:rPr>
          <w:rFonts w:hint="eastAsia"/>
        </w:rPr>
      </w:pPr>
      <w:r>
        <w:rPr>
          <w:color w:val="607184"/>
          <w:sz w:val="19"/>
        </w:rPr>
        <w:t>A transparent logistic-regression pipeline turns pre-outcome customer signals into human-reviewed retention priorities.</w:t>
      </w:r>
    </w:p>
    <w:p>
      <w:pPr>
        <w:spacing w:before="440" w:after="200" w:line="300" w:lineRule="auto"/>
        <w:jc w:val="center"/>
        <w:rPr>
          <w:rFonts w:hint="eastAsia"/>
        </w:rPr>
      </w:pPr>
      <w:r>
        <w:rPr>
          <w:i/>
          <w:color w:val="607184"/>
          <w:sz w:val="28"/>
        </w:rPr>
        <w:t>"The goal is not to automate customer decisions. It is to help retention teams focus attention where it may matter most."</w:t>
      </w:r>
    </w:p>
    <w:p>
      <w:pPr>
        <w:spacing w:after="400"/>
        <w:jc w:val="center"/>
        <w:rPr>
          <w:rFonts w:hint="eastAsia"/>
        </w:rPr>
      </w:pPr>
      <w:r>
        <w:rPr>
          <w:b/>
          <w:color w:val="F4B942"/>
          <w:sz w:val="18"/>
        </w:rPr>
        <w:t>Public portfolio edition | Synthetic data only</w:t>
      </w:r>
    </w:p>
    <w:p>
      <w:pPr>
        <w:rPr>
          <w:rFonts w:hint="eastAsia"/>
        </w:rPr>
      </w:pPr>
      <w:r>
        <w:br w:type="page"/>
      </w:r>
    </w:p>
    <w:p>
      <w:pPr>
        <w:spacing w:after="80"/>
        <w:rPr>
          <w:rFonts w:hint="eastAsia"/>
        </w:rPr>
      </w:pPr>
      <w:r>
        <w:rPr>
          <w:b/>
          <w:color w:val="20A39E"/>
          <w:sz w:val="18"/>
        </w:rPr>
        <w:lastRenderedPageBreak/>
        <w:t>EXECUTIVE OVERVIEW</w:t>
      </w:r>
    </w:p>
    <w:p>
      <w:pPr>
        <w:pStyle w:val="Heading1"/>
      </w:pPr>
      <w:r>
        <w:t>From cancellation history to an action queue</w:t>
      </w:r>
    </w:p>
    <w:p>
      <w:pPr>
        <w:spacing w:after="200"/>
        <w:rPr>
          <w:rFonts w:hint="eastAsia"/>
        </w:rPr>
      </w:pPr>
      <w:r>
        <w:t>The original prototype explored whether multiple customer, contract and service variables could predict a binary cancellation outcome. This public project retains that modeling logic while replacing all company-specific data, mappings and identities with synthetic examples.</w:t>
      </w:r>
    </w:p>
    <w:p>
      <w:pPr>
        <w:keepNext/>
        <w:pBdr>
          <w:left w:val="single" w:sz="22" w:space="10" w:color="20A39E"/>
        </w:pBdr>
        <w:shd w:val="clear" w:color="auto" w:fill="F2F4F7"/>
        <w:spacing w:before="80" w:after="40"/>
        <w:ind w:left="230" w:right="173"/>
        <w:rPr>
          <w:rFonts w:hint="eastAsia"/>
        </w:rPr>
      </w:pPr>
      <w:r>
        <w:rPr>
          <w:b/>
          <w:color w:val="20A39E"/>
          <w:sz w:val="16"/>
        </w:rPr>
        <w:t>BUSINESS VALUE</w:t>
      </w:r>
    </w:p>
    <w:p>
      <w:pPr>
        <w:keepNext/>
        <w:pBdr>
          <w:left w:val="single" w:sz="22" w:space="10" w:color="20A39E"/>
        </w:pBdr>
        <w:shd w:val="clear" w:color="auto" w:fill="F2F4F7"/>
        <w:spacing w:after="40"/>
        <w:ind w:left="230" w:right="173"/>
        <w:rPr>
          <w:rFonts w:hint="eastAsia"/>
        </w:rPr>
      </w:pPr>
      <w:r>
        <w:rPr>
          <w:b/>
          <w:color w:val="0B2743"/>
          <w:sz w:val="28"/>
        </w:rPr>
        <w:t>Rank risk before the outcome occurs.</w:t>
      </w:r>
    </w:p>
    <w:p>
      <w:pPr>
        <w:pBdr>
          <w:left w:val="single" w:sz="22" w:space="10" w:color="20A39E"/>
        </w:pBdr>
        <w:shd w:val="clear" w:color="auto" w:fill="F2F4F7"/>
        <w:spacing w:after="160"/>
        <w:ind w:left="230" w:right="173"/>
        <w:rPr>
          <w:rFonts w:hint="eastAsia"/>
        </w:rPr>
      </w:pPr>
      <w:r>
        <w:rPr>
          <w:color w:val="607184"/>
          <w:sz w:val="19"/>
        </w:rPr>
        <w:t>Probability scores support targeted outreach, consistent review thresholds and measurable retention experiments.</w:t>
      </w:r>
    </w:p>
    <w:p>
      <w:pPr>
        <w:pStyle w:val="Heading2"/>
      </w:pPr>
      <w:r>
        <w:t>Project at a glance</w:t>
      </w:r>
    </w:p>
    <w:tbl>
      <w:tblPr>
        <w:tblStyle w:val="TableGrid"/>
        <w:tblW w:w="9360" w:type="dxa"/>
        <w:tblInd w:w="120" w:type="dxa"/>
        <w:tblLayout w:type="fixed"/>
        <w:tblLook w:val="04A0" w:firstRow="1" w:lastRow="0" w:firstColumn="1" w:lastColumn="0" w:noHBand="0" w:noVBand="1"/>
      </w:tblPr>
      <w:tblGrid>
        <w:gridCol w:w="1700"/>
        <w:gridCol w:w="3900"/>
        <w:gridCol w:w="3760"/>
      </w:tblGrid>
      <w:tr>
        <w:trPr>
          <w:tblHeader/>
        </w:trPr>
        <w:tc>
          <w:tcPr>
            <w:tcW w:w="1700" w:type="dxa"/>
            <w:shd w:val="clear" w:color="auto" w:fill="0B2743"/>
            <w:tcMar>
              <w:top w:w="100" w:type="dxa"/>
              <w:left w:w="120" w:type="dxa"/>
              <w:bottom w:w="100" w:type="dxa"/>
              <w:right w:w="120" w:type="dxa"/>
            </w:tcMar>
            <w:vAlign w:val="center"/>
          </w:tcPr>
          <w:p>
            <w:pPr>
              <w:rPr>
                <w:rFonts w:hint="eastAsia"/>
              </w:rPr>
            </w:pPr>
            <w:r>
              <w:rPr>
                <w:b/>
                <w:color w:val="FFFFFF"/>
                <w:sz w:val="18"/>
              </w:rPr>
              <w:t>Layer</w:t>
            </w:r>
          </w:p>
        </w:tc>
        <w:tc>
          <w:tcPr>
            <w:tcW w:w="3900" w:type="dxa"/>
            <w:shd w:val="clear" w:color="auto" w:fill="0B2743"/>
            <w:tcMar>
              <w:top w:w="100" w:type="dxa"/>
              <w:left w:w="120" w:type="dxa"/>
              <w:bottom w:w="100" w:type="dxa"/>
              <w:right w:w="120" w:type="dxa"/>
            </w:tcMar>
            <w:vAlign w:val="center"/>
          </w:tcPr>
          <w:p>
            <w:pPr>
              <w:rPr>
                <w:rFonts w:hint="eastAsia"/>
              </w:rPr>
            </w:pPr>
            <w:r>
              <w:rPr>
                <w:b/>
                <w:color w:val="FFFFFF"/>
                <w:sz w:val="18"/>
              </w:rPr>
              <w:t>Public implementation</w:t>
            </w:r>
          </w:p>
        </w:tc>
        <w:tc>
          <w:tcPr>
            <w:tcW w:w="3760" w:type="dxa"/>
            <w:shd w:val="clear" w:color="auto" w:fill="0B2743"/>
            <w:tcMar>
              <w:top w:w="100" w:type="dxa"/>
              <w:left w:w="120" w:type="dxa"/>
              <w:bottom w:w="100" w:type="dxa"/>
              <w:right w:w="120" w:type="dxa"/>
            </w:tcMar>
            <w:vAlign w:val="center"/>
          </w:tcPr>
          <w:p>
            <w:pPr>
              <w:rPr>
                <w:rFonts w:hint="eastAsia"/>
              </w:rPr>
            </w:pPr>
            <w:r>
              <w:rPr>
                <w:b/>
                <w:color w:val="FFFFFF"/>
                <w:sz w:val="18"/>
              </w:rPr>
              <w:t>Decision supported</w:t>
            </w:r>
          </w:p>
        </w:tc>
      </w:tr>
      <w:tr>
        <w:tc>
          <w:tcPr>
            <w:tcW w:w="1700" w:type="dxa"/>
            <w:shd w:val="clear" w:color="auto" w:fill="FFFFFF"/>
            <w:tcMar>
              <w:top w:w="100" w:type="dxa"/>
              <w:left w:w="120" w:type="dxa"/>
              <w:bottom w:w="100" w:type="dxa"/>
              <w:right w:w="120" w:type="dxa"/>
            </w:tcMar>
            <w:vAlign w:val="center"/>
          </w:tcPr>
          <w:p>
            <w:pPr>
              <w:spacing w:after="0"/>
              <w:rPr>
                <w:rFonts w:hint="eastAsia"/>
              </w:rPr>
            </w:pPr>
            <w:r>
              <w:rPr>
                <w:b/>
                <w:sz w:val="18"/>
              </w:rPr>
              <w:t>Data</w:t>
            </w:r>
          </w:p>
        </w:tc>
        <w:tc>
          <w:tcPr>
            <w:tcW w:w="3900" w:type="dxa"/>
            <w:shd w:val="clear" w:color="auto" w:fill="FFFFFF"/>
            <w:tcMar>
              <w:top w:w="100" w:type="dxa"/>
              <w:left w:w="120" w:type="dxa"/>
              <w:bottom w:w="100" w:type="dxa"/>
              <w:right w:w="120" w:type="dxa"/>
            </w:tcMar>
            <w:vAlign w:val="center"/>
          </w:tcPr>
          <w:p>
            <w:pPr>
              <w:spacing w:after="0"/>
              <w:rPr>
                <w:rFonts w:hint="eastAsia"/>
              </w:rPr>
            </w:pPr>
            <w:r>
              <w:rPr>
                <w:sz w:val="18"/>
              </w:rPr>
              <w:t>Synthetic customer-level records</w:t>
            </w:r>
          </w:p>
        </w:tc>
        <w:tc>
          <w:tcPr>
            <w:tcW w:w="3760" w:type="dxa"/>
            <w:shd w:val="clear" w:color="auto" w:fill="FFFFFF"/>
            <w:tcMar>
              <w:top w:w="100" w:type="dxa"/>
              <w:left w:w="120" w:type="dxa"/>
              <w:bottom w:w="100" w:type="dxa"/>
              <w:right w:w="120" w:type="dxa"/>
            </w:tcMar>
            <w:vAlign w:val="center"/>
          </w:tcPr>
          <w:p>
            <w:pPr>
              <w:spacing w:after="0"/>
              <w:rPr>
                <w:rFonts w:hint="eastAsia"/>
              </w:rPr>
            </w:pPr>
            <w:r>
              <w:rPr>
                <w:sz w:val="18"/>
              </w:rPr>
              <w:t>Safe reproduction and testing</w:t>
            </w:r>
          </w:p>
        </w:tc>
      </w:tr>
      <w:tr>
        <w:tc>
          <w:tcPr>
            <w:tcW w:w="1700" w:type="dxa"/>
            <w:shd w:val="clear" w:color="auto" w:fill="F7F9FA"/>
            <w:tcMar>
              <w:top w:w="100" w:type="dxa"/>
              <w:left w:w="120" w:type="dxa"/>
              <w:bottom w:w="100" w:type="dxa"/>
              <w:right w:w="120" w:type="dxa"/>
            </w:tcMar>
            <w:vAlign w:val="center"/>
          </w:tcPr>
          <w:p>
            <w:pPr>
              <w:spacing w:after="0"/>
              <w:rPr>
                <w:rFonts w:hint="eastAsia"/>
              </w:rPr>
            </w:pPr>
            <w:r>
              <w:rPr>
                <w:b/>
                <w:sz w:val="18"/>
              </w:rPr>
              <w:t>Model</w:t>
            </w:r>
          </w:p>
        </w:tc>
        <w:tc>
          <w:tcPr>
            <w:tcW w:w="3900" w:type="dxa"/>
            <w:shd w:val="clear" w:color="auto" w:fill="F7F9FA"/>
            <w:tcMar>
              <w:top w:w="100" w:type="dxa"/>
              <w:left w:w="120" w:type="dxa"/>
              <w:bottom w:w="100" w:type="dxa"/>
              <w:right w:w="120" w:type="dxa"/>
            </w:tcMar>
            <w:vAlign w:val="center"/>
          </w:tcPr>
          <w:p>
            <w:pPr>
              <w:spacing w:after="0"/>
              <w:rPr>
                <w:rFonts w:hint="eastAsia"/>
              </w:rPr>
            </w:pPr>
            <w:r>
              <w:rPr>
                <w:sz w:val="18"/>
              </w:rPr>
              <w:t>Logistic regression pipeline</w:t>
            </w:r>
          </w:p>
        </w:tc>
        <w:tc>
          <w:tcPr>
            <w:tcW w:w="3760" w:type="dxa"/>
            <w:shd w:val="clear" w:color="auto" w:fill="F7F9FA"/>
            <w:tcMar>
              <w:top w:w="100" w:type="dxa"/>
              <w:left w:w="120" w:type="dxa"/>
              <w:bottom w:w="100" w:type="dxa"/>
              <w:right w:w="120" w:type="dxa"/>
            </w:tcMar>
            <w:vAlign w:val="center"/>
          </w:tcPr>
          <w:p>
            <w:pPr>
              <w:spacing w:after="0"/>
              <w:rPr>
                <w:rFonts w:hint="eastAsia"/>
              </w:rPr>
            </w:pPr>
            <w:r>
              <w:rPr>
                <w:sz w:val="18"/>
              </w:rPr>
              <w:t>Account-level cancellation probability</w:t>
            </w:r>
          </w:p>
        </w:tc>
      </w:tr>
      <w:tr>
        <w:tc>
          <w:tcPr>
            <w:tcW w:w="1700" w:type="dxa"/>
            <w:shd w:val="clear" w:color="auto" w:fill="FFFFFF"/>
            <w:tcMar>
              <w:top w:w="100" w:type="dxa"/>
              <w:left w:w="120" w:type="dxa"/>
              <w:bottom w:w="100" w:type="dxa"/>
              <w:right w:w="120" w:type="dxa"/>
            </w:tcMar>
            <w:vAlign w:val="center"/>
          </w:tcPr>
          <w:p>
            <w:pPr>
              <w:spacing w:after="0"/>
              <w:rPr>
                <w:rFonts w:hint="eastAsia"/>
              </w:rPr>
            </w:pPr>
            <w:r>
              <w:rPr>
                <w:b/>
                <w:sz w:val="18"/>
              </w:rPr>
              <w:t>Operations</w:t>
            </w:r>
          </w:p>
        </w:tc>
        <w:tc>
          <w:tcPr>
            <w:tcW w:w="3900" w:type="dxa"/>
            <w:shd w:val="clear" w:color="auto" w:fill="FFFFFF"/>
            <w:tcMar>
              <w:top w:w="100" w:type="dxa"/>
              <w:left w:w="120" w:type="dxa"/>
              <w:bottom w:w="100" w:type="dxa"/>
              <w:right w:w="120" w:type="dxa"/>
            </w:tcMar>
            <w:vAlign w:val="center"/>
          </w:tcPr>
          <w:p>
            <w:pPr>
              <w:spacing w:after="0"/>
              <w:rPr>
                <w:rFonts w:hint="eastAsia"/>
              </w:rPr>
            </w:pPr>
            <w:r>
              <w:rPr>
                <w:sz w:val="18"/>
              </w:rPr>
              <w:t>Risk bands and intervention threshold</w:t>
            </w:r>
          </w:p>
        </w:tc>
        <w:tc>
          <w:tcPr>
            <w:tcW w:w="3760" w:type="dxa"/>
            <w:shd w:val="clear" w:color="auto" w:fill="FFFFFF"/>
            <w:tcMar>
              <w:top w:w="100" w:type="dxa"/>
              <w:left w:w="120" w:type="dxa"/>
              <w:bottom w:w="100" w:type="dxa"/>
              <w:right w:w="120" w:type="dxa"/>
            </w:tcMar>
            <w:vAlign w:val="center"/>
          </w:tcPr>
          <w:p>
            <w:pPr>
              <w:spacing w:after="0"/>
              <w:rPr>
                <w:rFonts w:hint="eastAsia"/>
              </w:rPr>
            </w:pPr>
            <w:r>
              <w:rPr>
                <w:sz w:val="18"/>
              </w:rPr>
              <w:t>Prioritized retention review</w:t>
            </w:r>
          </w:p>
        </w:tc>
      </w:tr>
      <w:tr>
        <w:tc>
          <w:tcPr>
            <w:tcW w:w="1700" w:type="dxa"/>
            <w:shd w:val="clear" w:color="auto" w:fill="F7F9FA"/>
            <w:tcMar>
              <w:top w:w="100" w:type="dxa"/>
              <w:left w:w="120" w:type="dxa"/>
              <w:bottom w:w="100" w:type="dxa"/>
              <w:right w:w="120" w:type="dxa"/>
            </w:tcMar>
            <w:vAlign w:val="center"/>
          </w:tcPr>
          <w:p>
            <w:pPr>
              <w:spacing w:after="0"/>
              <w:rPr>
                <w:rFonts w:hint="eastAsia"/>
              </w:rPr>
            </w:pPr>
            <w:r>
              <w:rPr>
                <w:b/>
                <w:sz w:val="18"/>
              </w:rPr>
              <w:t>Governance</w:t>
            </w:r>
          </w:p>
        </w:tc>
        <w:tc>
          <w:tcPr>
            <w:tcW w:w="3900" w:type="dxa"/>
            <w:shd w:val="clear" w:color="auto" w:fill="F7F9FA"/>
            <w:tcMar>
              <w:top w:w="100" w:type="dxa"/>
              <w:left w:w="120" w:type="dxa"/>
              <w:bottom w:w="100" w:type="dxa"/>
              <w:right w:w="120" w:type="dxa"/>
            </w:tcMar>
            <w:vAlign w:val="center"/>
          </w:tcPr>
          <w:p>
            <w:pPr>
              <w:spacing w:after="0"/>
              <w:rPr>
                <w:rFonts w:hint="eastAsia"/>
              </w:rPr>
            </w:pPr>
            <w:r>
              <w:rPr>
                <w:sz w:val="18"/>
              </w:rPr>
              <w:t>Leakage, fairness and drift checks</w:t>
            </w:r>
          </w:p>
        </w:tc>
        <w:tc>
          <w:tcPr>
            <w:tcW w:w="3760" w:type="dxa"/>
            <w:shd w:val="clear" w:color="auto" w:fill="F7F9FA"/>
            <w:tcMar>
              <w:top w:w="100" w:type="dxa"/>
              <w:left w:w="120" w:type="dxa"/>
              <w:bottom w:w="100" w:type="dxa"/>
              <w:right w:w="120" w:type="dxa"/>
            </w:tcMar>
            <w:vAlign w:val="center"/>
          </w:tcPr>
          <w:p>
            <w:pPr>
              <w:spacing w:after="0"/>
              <w:rPr>
                <w:rFonts w:hint="eastAsia"/>
              </w:rPr>
            </w:pPr>
            <w:r>
              <w:rPr>
                <w:sz w:val="18"/>
              </w:rPr>
              <w:t>Responsible production use</w:t>
            </w:r>
          </w:p>
        </w:tc>
      </w:tr>
    </w:tbl>
    <w:p>
      <w:pPr>
        <w:spacing w:before="80" w:after="80"/>
        <w:rPr>
          <w:rFonts w:hint="eastAsia"/>
        </w:rPr>
      </w:pPr>
      <w:r>
        <w:rPr>
          <w:i/>
          <w:color w:val="607184"/>
          <w:sz w:val="17"/>
        </w:rPr>
        <w:t>Public metrics are illustrative and are not company performance results.</w:t>
      </w:r>
    </w:p>
    <w:p>
      <w:pPr>
        <w:rPr>
          <w:rFonts w:hint="eastAsia"/>
        </w:rPr>
      </w:pPr>
      <w:r>
        <w:br w:type="page"/>
      </w:r>
    </w:p>
    <w:p>
      <w:pPr>
        <w:spacing w:after="80"/>
        <w:rPr>
          <w:rFonts w:hint="eastAsia"/>
        </w:rPr>
      </w:pPr>
      <w:r>
        <w:rPr>
          <w:b/>
          <w:color w:val="20A39E"/>
          <w:sz w:val="18"/>
        </w:rPr>
        <w:lastRenderedPageBreak/>
        <w:t>MODEL DESIGN</w:t>
      </w:r>
    </w:p>
    <w:p>
      <w:pPr>
        <w:pStyle w:val="Heading1"/>
      </w:pPr>
      <w:r>
        <w:t>A reproducible, leakage-aware pipeline</w:t>
      </w:r>
    </w:p>
    <w:p>
      <w:pPr>
        <w:spacing w:after="200"/>
        <w:rPr>
          <w:rFonts w:hint="eastAsia"/>
        </w:rPr>
      </w:pPr>
      <w:r>
        <w:t>The model uses only fields intended to exist before the cancellation decision. Categorical variables are encoded inside the pipeline, numerical variables are standardized and the outcome is evaluated on a held-out stratified sample.</w:t>
      </w:r>
    </w:p>
    <w:p>
      <w:pPr>
        <w:spacing w:after="80"/>
        <w:rPr>
          <w:rFonts w:hint="eastAsia"/>
        </w:rPr>
      </w:pPr>
      <w:r>
        <w:rPr>
          <w:b/>
          <w:color w:val="20A39E"/>
          <w:sz w:val="20"/>
        </w:rPr>
        <w:t xml:space="preserve">01  </w:t>
      </w:r>
      <w:r>
        <w:rPr>
          <w:b/>
          <w:color w:val="0B2743"/>
        </w:rPr>
        <w:t>Define the scoring moment</w:t>
      </w:r>
    </w:p>
    <w:p>
      <w:pPr>
        <w:spacing w:after="140"/>
        <w:rPr>
          <w:rFonts w:hint="eastAsia"/>
        </w:rPr>
      </w:pPr>
      <w:r>
        <w:rPr>
          <w:color w:val="607184"/>
          <w:sz w:val="19"/>
        </w:rPr>
        <w:t>Document exactly when a score is produced and exclude fields created afterward.</w:t>
      </w:r>
    </w:p>
    <w:p>
      <w:pPr>
        <w:spacing w:after="80"/>
        <w:rPr>
          <w:rFonts w:hint="eastAsia"/>
        </w:rPr>
      </w:pPr>
      <w:r>
        <w:rPr>
          <w:b/>
          <w:color w:val="20A39E"/>
          <w:sz w:val="20"/>
        </w:rPr>
        <w:t xml:space="preserve">02  </w:t>
      </w:r>
      <w:r>
        <w:rPr>
          <w:b/>
          <w:color w:val="0B2743"/>
        </w:rPr>
        <w:t>Prepare features</w:t>
      </w:r>
    </w:p>
    <w:p>
      <w:pPr>
        <w:spacing w:after="140"/>
        <w:rPr>
          <w:rFonts w:hint="eastAsia"/>
        </w:rPr>
      </w:pPr>
      <w:r>
        <w:rPr>
          <w:color w:val="607184"/>
          <w:sz w:val="19"/>
        </w:rPr>
        <w:t>Impute missing values, one-hot encode categories and scale numerical inputs.</w:t>
      </w:r>
    </w:p>
    <w:p>
      <w:pPr>
        <w:spacing w:after="80"/>
        <w:rPr>
          <w:rFonts w:hint="eastAsia"/>
        </w:rPr>
      </w:pPr>
      <w:r>
        <w:rPr>
          <w:b/>
          <w:color w:val="20A39E"/>
          <w:sz w:val="20"/>
        </w:rPr>
        <w:t xml:space="preserve">03  </w:t>
      </w:r>
      <w:r>
        <w:rPr>
          <w:b/>
          <w:color w:val="0B2743"/>
        </w:rPr>
        <w:t>Estimate risk</w:t>
      </w:r>
    </w:p>
    <w:p>
      <w:pPr>
        <w:spacing w:after="140"/>
        <w:rPr>
          <w:rFonts w:hint="eastAsia"/>
        </w:rPr>
      </w:pPr>
      <w:r>
        <w:rPr>
          <w:color w:val="607184"/>
          <w:sz w:val="19"/>
        </w:rPr>
        <w:t>Fit logistic regression and return calibrated cancellation probabilities.</w:t>
      </w:r>
    </w:p>
    <w:p>
      <w:pPr>
        <w:spacing w:after="80"/>
        <w:rPr>
          <w:rFonts w:hint="eastAsia"/>
        </w:rPr>
      </w:pPr>
      <w:r>
        <w:rPr>
          <w:b/>
          <w:color w:val="20A39E"/>
          <w:sz w:val="20"/>
        </w:rPr>
        <w:t xml:space="preserve">04  </w:t>
      </w:r>
      <w:r>
        <w:rPr>
          <w:b/>
          <w:color w:val="0B2743"/>
        </w:rPr>
        <w:t>Connect to action</w:t>
      </w:r>
    </w:p>
    <w:p>
      <w:pPr>
        <w:spacing w:after="140"/>
        <w:rPr>
          <w:rFonts w:hint="eastAsia"/>
        </w:rPr>
      </w:pPr>
      <w:r>
        <w:rPr>
          <w:color w:val="607184"/>
          <w:sz w:val="19"/>
        </w:rPr>
        <w:t>Translate probability into low, medium and high review bands.</w:t>
      </w:r>
    </w:p>
    <w:p>
      <w:pPr>
        <w:pStyle w:val="Heading2"/>
      </w:pPr>
      <w:r>
        <w:t>Feature groups</w:t>
      </w:r>
    </w:p>
    <w:tbl>
      <w:tblPr>
        <w:tblStyle w:val="TableGrid"/>
        <w:tblW w:w="9360" w:type="dxa"/>
        <w:tblInd w:w="120" w:type="dxa"/>
        <w:tblLayout w:type="fixed"/>
        <w:tblLook w:val="04A0" w:firstRow="1" w:lastRow="0" w:firstColumn="1" w:lastColumn="0" w:noHBand="0" w:noVBand="1"/>
      </w:tblPr>
      <w:tblGrid>
        <w:gridCol w:w="1600"/>
        <w:gridCol w:w="3900"/>
        <w:gridCol w:w="3860"/>
      </w:tblGrid>
      <w:tr>
        <w:trPr>
          <w:tblHeader/>
        </w:trPr>
        <w:tc>
          <w:tcPr>
            <w:tcW w:w="1600" w:type="dxa"/>
            <w:shd w:val="clear" w:color="auto" w:fill="0B2743"/>
            <w:tcMar>
              <w:top w:w="100" w:type="dxa"/>
              <w:left w:w="120" w:type="dxa"/>
              <w:bottom w:w="100" w:type="dxa"/>
              <w:right w:w="120" w:type="dxa"/>
            </w:tcMar>
            <w:vAlign w:val="center"/>
          </w:tcPr>
          <w:p>
            <w:pPr>
              <w:rPr>
                <w:rFonts w:hint="eastAsia"/>
              </w:rPr>
            </w:pPr>
            <w:r>
              <w:rPr>
                <w:b/>
                <w:color w:val="FFFFFF"/>
                <w:sz w:val="18"/>
              </w:rPr>
              <w:t>Group</w:t>
            </w:r>
          </w:p>
        </w:tc>
        <w:tc>
          <w:tcPr>
            <w:tcW w:w="3900" w:type="dxa"/>
            <w:shd w:val="clear" w:color="auto" w:fill="0B2743"/>
            <w:tcMar>
              <w:top w:w="100" w:type="dxa"/>
              <w:left w:w="120" w:type="dxa"/>
              <w:bottom w:w="100" w:type="dxa"/>
              <w:right w:w="120" w:type="dxa"/>
            </w:tcMar>
            <w:vAlign w:val="center"/>
          </w:tcPr>
          <w:p>
            <w:pPr>
              <w:rPr>
                <w:rFonts w:hint="eastAsia"/>
              </w:rPr>
            </w:pPr>
            <w:r>
              <w:rPr>
                <w:b/>
                <w:color w:val="FFFFFF"/>
                <w:sz w:val="18"/>
              </w:rPr>
              <w:t>Examples</w:t>
            </w:r>
          </w:p>
        </w:tc>
        <w:tc>
          <w:tcPr>
            <w:tcW w:w="3860" w:type="dxa"/>
            <w:shd w:val="clear" w:color="auto" w:fill="0B2743"/>
            <w:tcMar>
              <w:top w:w="100" w:type="dxa"/>
              <w:left w:w="120" w:type="dxa"/>
              <w:bottom w:w="100" w:type="dxa"/>
              <w:right w:w="120" w:type="dxa"/>
            </w:tcMar>
            <w:vAlign w:val="center"/>
          </w:tcPr>
          <w:p>
            <w:pPr>
              <w:rPr>
                <w:rFonts w:hint="eastAsia"/>
              </w:rPr>
            </w:pPr>
            <w:r>
              <w:rPr>
                <w:b/>
                <w:color w:val="FFFFFF"/>
                <w:sz w:val="18"/>
              </w:rPr>
              <w:t>Control</w:t>
            </w:r>
          </w:p>
        </w:tc>
      </w:tr>
      <w:tr>
        <w:tc>
          <w:tcPr>
            <w:tcW w:w="1600" w:type="dxa"/>
            <w:shd w:val="clear" w:color="auto" w:fill="FFFFFF"/>
            <w:tcMar>
              <w:top w:w="100" w:type="dxa"/>
              <w:left w:w="120" w:type="dxa"/>
              <w:bottom w:w="100" w:type="dxa"/>
              <w:right w:w="120" w:type="dxa"/>
            </w:tcMar>
            <w:vAlign w:val="center"/>
          </w:tcPr>
          <w:p>
            <w:pPr>
              <w:spacing w:after="0"/>
              <w:rPr>
                <w:rFonts w:hint="eastAsia"/>
              </w:rPr>
            </w:pPr>
            <w:r>
              <w:rPr>
                <w:b/>
                <w:sz w:val="18"/>
              </w:rPr>
              <w:t>Acquisition</w:t>
            </w:r>
          </w:p>
        </w:tc>
        <w:tc>
          <w:tcPr>
            <w:tcW w:w="3900" w:type="dxa"/>
            <w:shd w:val="clear" w:color="auto" w:fill="FFFFFF"/>
            <w:tcMar>
              <w:top w:w="100" w:type="dxa"/>
              <w:left w:w="120" w:type="dxa"/>
              <w:bottom w:w="100" w:type="dxa"/>
              <w:right w:w="120" w:type="dxa"/>
            </w:tcMar>
            <w:vAlign w:val="center"/>
          </w:tcPr>
          <w:p>
            <w:pPr>
              <w:spacing w:after="0"/>
              <w:rPr>
                <w:rFonts w:hint="eastAsia"/>
              </w:rPr>
            </w:pPr>
            <w:r>
              <w:rPr>
                <w:sz w:val="18"/>
              </w:rPr>
              <w:t>Lead channel, region group</w:t>
            </w:r>
          </w:p>
        </w:tc>
        <w:tc>
          <w:tcPr>
            <w:tcW w:w="3860" w:type="dxa"/>
            <w:shd w:val="clear" w:color="auto" w:fill="FFFFFF"/>
            <w:tcMar>
              <w:top w:w="100" w:type="dxa"/>
              <w:left w:w="120" w:type="dxa"/>
              <w:bottom w:w="100" w:type="dxa"/>
              <w:right w:w="120" w:type="dxa"/>
            </w:tcMar>
            <w:vAlign w:val="center"/>
          </w:tcPr>
          <w:p>
            <w:pPr>
              <w:spacing w:after="0"/>
              <w:rPr>
                <w:rFonts w:hint="eastAsia"/>
              </w:rPr>
            </w:pPr>
            <w:r>
              <w:rPr>
                <w:sz w:val="18"/>
              </w:rPr>
              <w:t>Review proxy and segment effects</w:t>
            </w:r>
          </w:p>
        </w:tc>
      </w:tr>
      <w:tr>
        <w:tc>
          <w:tcPr>
            <w:tcW w:w="1600" w:type="dxa"/>
            <w:shd w:val="clear" w:color="auto" w:fill="F7F9FA"/>
            <w:tcMar>
              <w:top w:w="100" w:type="dxa"/>
              <w:left w:w="120" w:type="dxa"/>
              <w:bottom w:w="100" w:type="dxa"/>
              <w:right w:w="120" w:type="dxa"/>
            </w:tcMar>
            <w:vAlign w:val="center"/>
          </w:tcPr>
          <w:p>
            <w:pPr>
              <w:spacing w:after="0"/>
              <w:rPr>
                <w:rFonts w:hint="eastAsia"/>
              </w:rPr>
            </w:pPr>
            <w:r>
              <w:rPr>
                <w:b/>
                <w:sz w:val="18"/>
              </w:rPr>
              <w:t>Contract</w:t>
            </w:r>
          </w:p>
        </w:tc>
        <w:tc>
          <w:tcPr>
            <w:tcW w:w="3900" w:type="dxa"/>
            <w:shd w:val="clear" w:color="auto" w:fill="F7F9FA"/>
            <w:tcMar>
              <w:top w:w="100" w:type="dxa"/>
              <w:left w:w="120" w:type="dxa"/>
              <w:bottom w:w="100" w:type="dxa"/>
              <w:right w:w="120" w:type="dxa"/>
            </w:tcMar>
            <w:vAlign w:val="center"/>
          </w:tcPr>
          <w:p>
            <w:pPr>
              <w:spacing w:after="0"/>
              <w:rPr>
                <w:rFonts w:hint="eastAsia"/>
              </w:rPr>
            </w:pPr>
            <w:r>
              <w:rPr>
                <w:sz w:val="18"/>
              </w:rPr>
              <w:t>Term length, plan index</w:t>
            </w:r>
          </w:p>
        </w:tc>
        <w:tc>
          <w:tcPr>
            <w:tcW w:w="3860" w:type="dxa"/>
            <w:shd w:val="clear" w:color="auto" w:fill="F7F9FA"/>
            <w:tcMar>
              <w:top w:w="100" w:type="dxa"/>
              <w:left w:w="120" w:type="dxa"/>
              <w:bottom w:w="100" w:type="dxa"/>
              <w:right w:w="120" w:type="dxa"/>
            </w:tcMar>
            <w:vAlign w:val="center"/>
          </w:tcPr>
          <w:p>
            <w:pPr>
              <w:spacing w:after="0"/>
              <w:rPr>
                <w:rFonts w:hint="eastAsia"/>
              </w:rPr>
            </w:pPr>
            <w:r>
              <w:rPr>
                <w:sz w:val="18"/>
              </w:rPr>
              <w:t>Use values known at scoring time</w:t>
            </w:r>
          </w:p>
        </w:tc>
      </w:tr>
      <w:tr>
        <w:tc>
          <w:tcPr>
            <w:tcW w:w="1600" w:type="dxa"/>
            <w:shd w:val="clear" w:color="auto" w:fill="FFFFFF"/>
            <w:tcMar>
              <w:top w:w="100" w:type="dxa"/>
              <w:left w:w="120" w:type="dxa"/>
              <w:bottom w:w="100" w:type="dxa"/>
              <w:right w:w="120" w:type="dxa"/>
            </w:tcMar>
            <w:vAlign w:val="center"/>
          </w:tcPr>
          <w:p>
            <w:pPr>
              <w:spacing w:after="0"/>
              <w:rPr>
                <w:rFonts w:hint="eastAsia"/>
              </w:rPr>
            </w:pPr>
            <w:r>
              <w:rPr>
                <w:b/>
                <w:sz w:val="18"/>
              </w:rPr>
              <w:t>Delivery</w:t>
            </w:r>
          </w:p>
        </w:tc>
        <w:tc>
          <w:tcPr>
            <w:tcW w:w="3900" w:type="dxa"/>
            <w:shd w:val="clear" w:color="auto" w:fill="FFFFFF"/>
            <w:tcMar>
              <w:top w:w="100" w:type="dxa"/>
              <w:left w:w="120" w:type="dxa"/>
              <w:bottom w:w="100" w:type="dxa"/>
              <w:right w:w="120" w:type="dxa"/>
            </w:tcMar>
            <w:vAlign w:val="center"/>
          </w:tcPr>
          <w:p>
            <w:pPr>
              <w:spacing w:after="0"/>
              <w:rPr>
                <w:rFonts w:hint="eastAsia"/>
              </w:rPr>
            </w:pPr>
            <w:r>
              <w:rPr>
                <w:sz w:val="18"/>
              </w:rPr>
              <w:t>Installation delay, completion</w:t>
            </w:r>
          </w:p>
        </w:tc>
        <w:tc>
          <w:tcPr>
            <w:tcW w:w="3860" w:type="dxa"/>
            <w:shd w:val="clear" w:color="auto" w:fill="FFFFFF"/>
            <w:tcMar>
              <w:top w:w="100" w:type="dxa"/>
              <w:left w:w="120" w:type="dxa"/>
              <w:bottom w:w="100" w:type="dxa"/>
              <w:right w:w="120" w:type="dxa"/>
            </w:tcMar>
            <w:vAlign w:val="center"/>
          </w:tcPr>
          <w:p>
            <w:pPr>
              <w:spacing w:after="0"/>
              <w:rPr>
                <w:rFonts w:hint="eastAsia"/>
              </w:rPr>
            </w:pPr>
            <w:r>
              <w:rPr>
                <w:sz w:val="18"/>
              </w:rPr>
              <w:t>Prevent downstream outcome leakage</w:t>
            </w:r>
          </w:p>
        </w:tc>
      </w:tr>
      <w:tr>
        <w:tc>
          <w:tcPr>
            <w:tcW w:w="1600" w:type="dxa"/>
            <w:shd w:val="clear" w:color="auto" w:fill="F7F9FA"/>
            <w:tcMar>
              <w:top w:w="100" w:type="dxa"/>
              <w:left w:w="120" w:type="dxa"/>
              <w:bottom w:w="100" w:type="dxa"/>
              <w:right w:w="120" w:type="dxa"/>
            </w:tcMar>
            <w:vAlign w:val="center"/>
          </w:tcPr>
          <w:p>
            <w:pPr>
              <w:spacing w:after="0"/>
              <w:rPr>
                <w:rFonts w:hint="eastAsia"/>
              </w:rPr>
            </w:pPr>
            <w:r>
              <w:rPr>
                <w:b/>
                <w:sz w:val="18"/>
              </w:rPr>
              <w:t>Engagement</w:t>
            </w:r>
          </w:p>
        </w:tc>
        <w:tc>
          <w:tcPr>
            <w:tcW w:w="3900" w:type="dxa"/>
            <w:shd w:val="clear" w:color="auto" w:fill="F7F9FA"/>
            <w:tcMar>
              <w:top w:w="100" w:type="dxa"/>
              <w:left w:w="120" w:type="dxa"/>
              <w:bottom w:w="100" w:type="dxa"/>
              <w:right w:w="120" w:type="dxa"/>
            </w:tcMar>
            <w:vAlign w:val="center"/>
          </w:tcPr>
          <w:p>
            <w:pPr>
              <w:spacing w:after="0"/>
              <w:rPr>
                <w:rFonts w:hint="eastAsia"/>
              </w:rPr>
            </w:pPr>
            <w:r>
              <w:rPr>
                <w:sz w:val="18"/>
              </w:rPr>
              <w:t>Support touchpoints, account age</w:t>
            </w:r>
          </w:p>
        </w:tc>
        <w:tc>
          <w:tcPr>
            <w:tcW w:w="3860" w:type="dxa"/>
            <w:shd w:val="clear" w:color="auto" w:fill="F7F9FA"/>
            <w:tcMar>
              <w:top w:w="100" w:type="dxa"/>
              <w:left w:w="120" w:type="dxa"/>
              <w:bottom w:w="100" w:type="dxa"/>
              <w:right w:w="120" w:type="dxa"/>
            </w:tcMar>
            <w:vAlign w:val="center"/>
          </w:tcPr>
          <w:p>
            <w:pPr>
              <w:spacing w:after="0"/>
              <w:rPr>
                <w:rFonts w:hint="eastAsia"/>
              </w:rPr>
            </w:pPr>
            <w:r>
              <w:rPr>
                <w:sz w:val="18"/>
              </w:rPr>
              <w:t>Monitor distribution drift</w:t>
            </w:r>
          </w:p>
        </w:tc>
      </w:tr>
    </w:tbl>
    <w:p>
      <w:pPr>
        <w:rPr>
          <w:rFonts w:hint="eastAsia"/>
        </w:rPr>
      </w:pPr>
      <w:r>
        <w:br w:type="page"/>
      </w:r>
    </w:p>
    <w:p>
      <w:pPr>
        <w:spacing w:after="80"/>
        <w:rPr>
          <w:rFonts w:hint="eastAsia"/>
        </w:rPr>
      </w:pPr>
      <w:r>
        <w:rPr>
          <w:b/>
          <w:color w:val="20A39E"/>
          <w:sz w:val="18"/>
        </w:rPr>
        <w:lastRenderedPageBreak/>
        <w:t>RISK LANDSCAPE</w:t>
      </w:r>
    </w:p>
    <w:p>
      <w:pPr>
        <w:pStyle w:val="Heading1"/>
      </w:pPr>
      <w:r>
        <w:t>Scores create a portfolio view, not a verdict</w:t>
      </w:r>
    </w:p>
    <w:p>
      <w:pPr>
        <w:spacing w:after="160"/>
        <w:rPr>
          <w:rFonts w:hint="eastAsia"/>
        </w:rPr>
      </w:pPr>
      <w:r>
        <w:t>The synthetic distribution below demonstrates how a retention team can combine risk ranking with capacity planning. The threshold should reflect the cost of missed cancellations, the cost of outreach and the team's available review capacity.</w:t>
      </w:r>
    </w:p>
    <w:p>
      <w:pPr>
        <w:jc w:val="center"/>
        <w:rPr>
          <w:rFonts w:hint="eastAsia"/>
        </w:rPr>
      </w:pPr>
      <w:r>
        <w:rPr>
          <w:noProof/>
          <w:lang w:val="en-IN" w:eastAsia="en-IN"/>
        </w:rPr>
        <w:drawing>
          <wp:inline distT="0" distB="0" distL="0" distR="0" wp14:anchorId="39445EC0" wp14:editId="0EF3B5B5">
            <wp:extent cx="5806440" cy="2322576"/>
            <wp:effectExtent l="0" t="0" r="0" b="0"/>
            <wp:docPr id="1" name="Picture 1" descr="Synthetic distribution of customer cancellation-risk scores across low, medium and high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distribution.png"/>
                    <pic:cNvPicPr/>
                  </pic:nvPicPr>
                  <pic:blipFill>
                    <a:blip r:embed="rId4"/>
                    <a:stretch>
                      <a:fillRect/>
                    </a:stretch>
                  </pic:blipFill>
                  <pic:spPr>
                    <a:xfrm>
                      <a:off x="0" y="0"/>
                      <a:ext cx="5806440" cy="2322576"/>
                    </a:xfrm>
                    <a:prstGeom prst="rect">
                      <a:avLst/>
                    </a:prstGeom>
                  </pic:spPr>
                </pic:pic>
              </a:graphicData>
            </a:graphic>
          </wp:inline>
        </w:drawing>
      </w:r>
    </w:p>
    <w:p>
      <w:pPr>
        <w:spacing w:before="80" w:after="160"/>
        <w:rPr>
          <w:rFonts w:hint="eastAsia"/>
        </w:rPr>
      </w:pPr>
      <w:r>
        <w:rPr>
          <w:i/>
          <w:color w:val="607184"/>
          <w:sz w:val="17"/>
        </w:rPr>
        <w:t>Figure 1. Synthetic risk-score distribution. Values are illustrative and not derived from company records.</w:t>
      </w:r>
    </w:p>
    <w:p>
      <w:pPr>
        <w:keepNext/>
        <w:pBdr>
          <w:left w:val="single" w:sz="22" w:space="10" w:color="F4B942"/>
        </w:pBdr>
        <w:shd w:val="clear" w:color="auto" w:fill="F2F4F7"/>
        <w:spacing w:before="80" w:after="40"/>
        <w:ind w:left="230" w:right="173"/>
        <w:rPr>
          <w:rFonts w:hint="eastAsia"/>
        </w:rPr>
      </w:pPr>
      <w:r>
        <w:rPr>
          <w:b/>
          <w:color w:val="F4B942"/>
          <w:sz w:val="16"/>
        </w:rPr>
        <w:t>THRESHOLD PRINCIPLE</w:t>
      </w:r>
    </w:p>
    <w:p>
      <w:pPr>
        <w:keepNext/>
        <w:pBdr>
          <w:left w:val="single" w:sz="22" w:space="10" w:color="F4B942"/>
        </w:pBdr>
        <w:shd w:val="clear" w:color="auto" w:fill="F2F4F7"/>
        <w:spacing w:after="40"/>
        <w:ind w:left="230" w:right="173"/>
        <w:rPr>
          <w:rFonts w:hint="eastAsia"/>
        </w:rPr>
      </w:pPr>
      <w:r>
        <w:rPr>
          <w:b/>
          <w:color w:val="0B2743"/>
          <w:sz w:val="28"/>
        </w:rPr>
        <w:t>A lower threshold catches more potential cancellations but creates a larger review queue.</w:t>
      </w:r>
    </w:p>
    <w:p>
      <w:pPr>
        <w:pBdr>
          <w:left w:val="single" w:sz="22" w:space="10" w:color="F4B942"/>
        </w:pBdr>
        <w:shd w:val="clear" w:color="auto" w:fill="F2F4F7"/>
        <w:spacing w:after="160"/>
        <w:ind w:left="230" w:right="173"/>
        <w:rPr>
          <w:rFonts w:hint="eastAsia"/>
        </w:rPr>
      </w:pPr>
      <w:r>
        <w:rPr>
          <w:color w:val="607184"/>
          <w:sz w:val="19"/>
        </w:rPr>
        <w:t>Choose the operating point with precision-recall trade-offs, intervention capacity and customer experience in view.</w:t>
      </w:r>
    </w:p>
    <w:p>
      <w:pPr>
        <w:rPr>
          <w:rFonts w:hint="eastAsia"/>
        </w:rPr>
      </w:pPr>
      <w:r>
        <w:br w:type="page"/>
      </w:r>
    </w:p>
    <w:p>
      <w:pPr>
        <w:spacing w:after="80"/>
        <w:rPr>
          <w:rFonts w:hint="eastAsia"/>
        </w:rPr>
      </w:pPr>
      <w:r>
        <w:rPr>
          <w:b/>
          <w:color w:val="20A39E"/>
          <w:sz w:val="18"/>
        </w:rPr>
        <w:lastRenderedPageBreak/>
        <w:t>VALIDATION</w:t>
      </w:r>
    </w:p>
    <w:p>
      <w:pPr>
        <w:pStyle w:val="Heading1"/>
      </w:pPr>
      <w:r>
        <w:t>Accuracy alone is not enough</w:t>
      </w:r>
    </w:p>
    <w:p>
      <w:pPr>
        <w:spacing w:after="200"/>
        <w:rPr>
          <w:rFonts w:hint="eastAsia"/>
        </w:rPr>
      </w:pPr>
      <w:r>
        <w:t>The source prototype reported a very high initial accuracy. A production-ready assessment should challenge that result before celebrating it: verify the split strategy, check for duplicate customers, test feature availability and compare against the majority-class baseline.</w:t>
      </w:r>
    </w:p>
    <w:p>
      <w:pPr>
        <w:pStyle w:val="Heading2"/>
      </w:pPr>
      <w:r>
        <w:t>Evaluation scorecard</w:t>
      </w:r>
    </w:p>
    <w:tbl>
      <w:tblPr>
        <w:tblStyle w:val="TableGrid"/>
        <w:tblW w:w="9360" w:type="dxa"/>
        <w:tblInd w:w="120" w:type="dxa"/>
        <w:tblLayout w:type="fixed"/>
        <w:tblLook w:val="04A0" w:firstRow="1" w:lastRow="0" w:firstColumn="1" w:lastColumn="0" w:noHBand="0" w:noVBand="1"/>
      </w:tblPr>
      <w:tblGrid>
        <w:gridCol w:w="1500"/>
        <w:gridCol w:w="3900"/>
        <w:gridCol w:w="3960"/>
      </w:tblGrid>
      <w:tr>
        <w:trPr>
          <w:tblHeader/>
        </w:trPr>
        <w:tc>
          <w:tcPr>
            <w:tcW w:w="1500" w:type="dxa"/>
            <w:shd w:val="clear" w:color="auto" w:fill="0B2743"/>
            <w:tcMar>
              <w:top w:w="100" w:type="dxa"/>
              <w:left w:w="120" w:type="dxa"/>
              <w:bottom w:w="100" w:type="dxa"/>
              <w:right w:w="120" w:type="dxa"/>
            </w:tcMar>
            <w:vAlign w:val="center"/>
          </w:tcPr>
          <w:p>
            <w:pPr>
              <w:rPr>
                <w:rFonts w:hint="eastAsia"/>
              </w:rPr>
            </w:pPr>
            <w:r>
              <w:rPr>
                <w:b/>
                <w:color w:val="FFFFFF"/>
                <w:sz w:val="18"/>
              </w:rPr>
              <w:t>Measure</w:t>
            </w:r>
          </w:p>
        </w:tc>
        <w:tc>
          <w:tcPr>
            <w:tcW w:w="3900" w:type="dxa"/>
            <w:shd w:val="clear" w:color="auto" w:fill="0B2743"/>
            <w:tcMar>
              <w:top w:w="100" w:type="dxa"/>
              <w:left w:w="120" w:type="dxa"/>
              <w:bottom w:w="100" w:type="dxa"/>
              <w:right w:w="120" w:type="dxa"/>
            </w:tcMar>
            <w:vAlign w:val="center"/>
          </w:tcPr>
          <w:p>
            <w:pPr>
              <w:rPr>
                <w:rFonts w:hint="eastAsia"/>
              </w:rPr>
            </w:pPr>
            <w:r>
              <w:rPr>
                <w:b/>
                <w:color w:val="FFFFFF"/>
                <w:sz w:val="18"/>
              </w:rPr>
              <w:t>Why it matters</w:t>
            </w:r>
          </w:p>
        </w:tc>
        <w:tc>
          <w:tcPr>
            <w:tcW w:w="3960" w:type="dxa"/>
            <w:shd w:val="clear" w:color="auto" w:fill="0B2743"/>
            <w:tcMar>
              <w:top w:w="100" w:type="dxa"/>
              <w:left w:w="120" w:type="dxa"/>
              <w:bottom w:w="100" w:type="dxa"/>
              <w:right w:w="120" w:type="dxa"/>
            </w:tcMar>
            <w:vAlign w:val="center"/>
          </w:tcPr>
          <w:p>
            <w:pPr>
              <w:rPr>
                <w:rFonts w:hint="eastAsia"/>
              </w:rPr>
            </w:pPr>
            <w:r>
              <w:rPr>
                <w:b/>
                <w:color w:val="FFFFFF"/>
                <w:sz w:val="18"/>
              </w:rPr>
              <w:t>Failure signal</w:t>
            </w:r>
          </w:p>
        </w:tc>
      </w:tr>
      <w:tr>
        <w:tc>
          <w:tcPr>
            <w:tcW w:w="1500" w:type="dxa"/>
            <w:shd w:val="clear" w:color="auto" w:fill="FFFFFF"/>
            <w:tcMar>
              <w:top w:w="100" w:type="dxa"/>
              <w:left w:w="120" w:type="dxa"/>
              <w:bottom w:w="100" w:type="dxa"/>
              <w:right w:w="120" w:type="dxa"/>
            </w:tcMar>
            <w:vAlign w:val="center"/>
          </w:tcPr>
          <w:p>
            <w:pPr>
              <w:spacing w:after="0"/>
              <w:rPr>
                <w:rFonts w:hint="eastAsia"/>
              </w:rPr>
            </w:pPr>
            <w:r>
              <w:rPr>
                <w:b/>
                <w:sz w:val="18"/>
              </w:rPr>
              <w:t>ROC-AUC</w:t>
            </w:r>
          </w:p>
        </w:tc>
        <w:tc>
          <w:tcPr>
            <w:tcW w:w="3900" w:type="dxa"/>
            <w:shd w:val="clear" w:color="auto" w:fill="FFFFFF"/>
            <w:tcMar>
              <w:top w:w="100" w:type="dxa"/>
              <w:left w:w="120" w:type="dxa"/>
              <w:bottom w:w="100" w:type="dxa"/>
              <w:right w:w="120" w:type="dxa"/>
            </w:tcMar>
            <w:vAlign w:val="center"/>
          </w:tcPr>
          <w:p>
            <w:pPr>
              <w:spacing w:after="0"/>
              <w:rPr>
                <w:rFonts w:hint="eastAsia"/>
              </w:rPr>
            </w:pPr>
            <w:r>
              <w:rPr>
                <w:sz w:val="18"/>
              </w:rPr>
              <w:t>Ranking quality across thresholds</w:t>
            </w:r>
          </w:p>
        </w:tc>
        <w:tc>
          <w:tcPr>
            <w:tcW w:w="3960" w:type="dxa"/>
            <w:shd w:val="clear" w:color="auto" w:fill="FFFFFF"/>
            <w:tcMar>
              <w:top w:w="100" w:type="dxa"/>
              <w:left w:w="120" w:type="dxa"/>
              <w:bottom w:w="100" w:type="dxa"/>
              <w:right w:w="120" w:type="dxa"/>
            </w:tcMar>
            <w:vAlign w:val="center"/>
          </w:tcPr>
          <w:p>
            <w:pPr>
              <w:spacing w:after="0"/>
              <w:rPr>
                <w:rFonts w:hint="eastAsia"/>
              </w:rPr>
            </w:pPr>
            <w:r>
              <w:rPr>
                <w:sz w:val="18"/>
              </w:rPr>
              <w:t>Near-random separation</w:t>
            </w:r>
          </w:p>
        </w:tc>
      </w:tr>
      <w:tr>
        <w:tc>
          <w:tcPr>
            <w:tcW w:w="1500" w:type="dxa"/>
            <w:shd w:val="clear" w:color="auto" w:fill="F7F9FA"/>
            <w:tcMar>
              <w:top w:w="100" w:type="dxa"/>
              <w:left w:w="120" w:type="dxa"/>
              <w:bottom w:w="100" w:type="dxa"/>
              <w:right w:w="120" w:type="dxa"/>
            </w:tcMar>
            <w:vAlign w:val="center"/>
          </w:tcPr>
          <w:p>
            <w:pPr>
              <w:spacing w:after="0"/>
              <w:rPr>
                <w:rFonts w:hint="eastAsia"/>
              </w:rPr>
            </w:pPr>
            <w:r>
              <w:rPr>
                <w:b/>
                <w:sz w:val="18"/>
              </w:rPr>
              <w:t>Recall</w:t>
            </w:r>
          </w:p>
        </w:tc>
        <w:tc>
          <w:tcPr>
            <w:tcW w:w="3900" w:type="dxa"/>
            <w:shd w:val="clear" w:color="auto" w:fill="F7F9FA"/>
            <w:tcMar>
              <w:top w:w="100" w:type="dxa"/>
              <w:left w:w="120" w:type="dxa"/>
              <w:bottom w:w="100" w:type="dxa"/>
              <w:right w:w="120" w:type="dxa"/>
            </w:tcMar>
            <w:vAlign w:val="center"/>
          </w:tcPr>
          <w:p>
            <w:pPr>
              <w:spacing w:after="0"/>
              <w:rPr>
                <w:rFonts w:hint="eastAsia"/>
              </w:rPr>
            </w:pPr>
            <w:r>
              <w:rPr>
                <w:sz w:val="18"/>
              </w:rPr>
              <w:t>Share of cancellations identified</w:t>
            </w:r>
          </w:p>
        </w:tc>
        <w:tc>
          <w:tcPr>
            <w:tcW w:w="3960" w:type="dxa"/>
            <w:shd w:val="clear" w:color="auto" w:fill="F7F9FA"/>
            <w:tcMar>
              <w:top w:w="100" w:type="dxa"/>
              <w:left w:w="120" w:type="dxa"/>
              <w:bottom w:w="100" w:type="dxa"/>
              <w:right w:w="120" w:type="dxa"/>
            </w:tcMar>
            <w:vAlign w:val="center"/>
          </w:tcPr>
          <w:p>
            <w:pPr>
              <w:spacing w:after="0"/>
              <w:rPr>
                <w:rFonts w:hint="eastAsia"/>
              </w:rPr>
            </w:pPr>
            <w:r>
              <w:rPr>
                <w:sz w:val="18"/>
              </w:rPr>
              <w:t>Too many missed at-risk accounts</w:t>
            </w:r>
          </w:p>
        </w:tc>
      </w:tr>
      <w:tr>
        <w:tc>
          <w:tcPr>
            <w:tcW w:w="1500" w:type="dxa"/>
            <w:shd w:val="clear" w:color="auto" w:fill="FFFFFF"/>
            <w:tcMar>
              <w:top w:w="100" w:type="dxa"/>
              <w:left w:w="120" w:type="dxa"/>
              <w:bottom w:w="100" w:type="dxa"/>
              <w:right w:w="120" w:type="dxa"/>
            </w:tcMar>
            <w:vAlign w:val="center"/>
          </w:tcPr>
          <w:p>
            <w:pPr>
              <w:spacing w:after="0"/>
              <w:rPr>
                <w:rFonts w:hint="eastAsia"/>
              </w:rPr>
            </w:pPr>
            <w:r>
              <w:rPr>
                <w:b/>
                <w:sz w:val="18"/>
              </w:rPr>
              <w:t>Precision</w:t>
            </w:r>
          </w:p>
        </w:tc>
        <w:tc>
          <w:tcPr>
            <w:tcW w:w="3900" w:type="dxa"/>
            <w:shd w:val="clear" w:color="auto" w:fill="FFFFFF"/>
            <w:tcMar>
              <w:top w:w="100" w:type="dxa"/>
              <w:left w:w="120" w:type="dxa"/>
              <w:bottom w:w="100" w:type="dxa"/>
              <w:right w:w="120" w:type="dxa"/>
            </w:tcMar>
            <w:vAlign w:val="center"/>
          </w:tcPr>
          <w:p>
            <w:pPr>
              <w:spacing w:after="0"/>
              <w:rPr>
                <w:rFonts w:hint="eastAsia"/>
              </w:rPr>
            </w:pPr>
            <w:r>
              <w:rPr>
                <w:sz w:val="18"/>
              </w:rPr>
              <w:t>Quality of the outreach queue</w:t>
            </w:r>
          </w:p>
        </w:tc>
        <w:tc>
          <w:tcPr>
            <w:tcW w:w="3960" w:type="dxa"/>
            <w:shd w:val="clear" w:color="auto" w:fill="FFFFFF"/>
            <w:tcMar>
              <w:top w:w="100" w:type="dxa"/>
              <w:left w:w="120" w:type="dxa"/>
              <w:bottom w:w="100" w:type="dxa"/>
              <w:right w:w="120" w:type="dxa"/>
            </w:tcMar>
            <w:vAlign w:val="center"/>
          </w:tcPr>
          <w:p>
            <w:pPr>
              <w:spacing w:after="0"/>
              <w:rPr>
                <w:rFonts w:hint="eastAsia"/>
              </w:rPr>
            </w:pPr>
            <w:r>
              <w:rPr>
                <w:sz w:val="18"/>
              </w:rPr>
              <w:t>Review effort wasted</w:t>
            </w:r>
          </w:p>
        </w:tc>
      </w:tr>
      <w:tr>
        <w:tc>
          <w:tcPr>
            <w:tcW w:w="1500" w:type="dxa"/>
            <w:shd w:val="clear" w:color="auto" w:fill="F7F9FA"/>
            <w:tcMar>
              <w:top w:w="100" w:type="dxa"/>
              <w:left w:w="120" w:type="dxa"/>
              <w:bottom w:w="100" w:type="dxa"/>
              <w:right w:w="120" w:type="dxa"/>
            </w:tcMar>
            <w:vAlign w:val="center"/>
          </w:tcPr>
          <w:p>
            <w:pPr>
              <w:spacing w:after="0"/>
              <w:rPr>
                <w:rFonts w:hint="eastAsia"/>
              </w:rPr>
            </w:pPr>
            <w:r>
              <w:rPr>
                <w:b/>
                <w:sz w:val="18"/>
              </w:rPr>
              <w:t>Calibration</w:t>
            </w:r>
          </w:p>
        </w:tc>
        <w:tc>
          <w:tcPr>
            <w:tcW w:w="3900" w:type="dxa"/>
            <w:shd w:val="clear" w:color="auto" w:fill="F7F9FA"/>
            <w:tcMar>
              <w:top w:w="100" w:type="dxa"/>
              <w:left w:w="120" w:type="dxa"/>
              <w:bottom w:w="100" w:type="dxa"/>
              <w:right w:w="120" w:type="dxa"/>
            </w:tcMar>
            <w:vAlign w:val="center"/>
          </w:tcPr>
          <w:p>
            <w:pPr>
              <w:spacing w:after="0"/>
              <w:rPr>
                <w:rFonts w:hint="eastAsia"/>
              </w:rPr>
            </w:pPr>
            <w:r>
              <w:rPr>
                <w:sz w:val="18"/>
              </w:rPr>
              <w:t>Whether probabilities match outcomes</w:t>
            </w:r>
          </w:p>
        </w:tc>
        <w:tc>
          <w:tcPr>
            <w:tcW w:w="3960" w:type="dxa"/>
            <w:shd w:val="clear" w:color="auto" w:fill="F7F9FA"/>
            <w:tcMar>
              <w:top w:w="100" w:type="dxa"/>
              <w:left w:w="120" w:type="dxa"/>
              <w:bottom w:w="100" w:type="dxa"/>
              <w:right w:w="120" w:type="dxa"/>
            </w:tcMar>
            <w:vAlign w:val="center"/>
          </w:tcPr>
          <w:p>
            <w:pPr>
              <w:spacing w:after="0"/>
              <w:rPr>
                <w:rFonts w:hint="eastAsia"/>
              </w:rPr>
            </w:pPr>
            <w:r>
              <w:rPr>
                <w:sz w:val="18"/>
              </w:rPr>
              <w:t>Scores overstate or understate risk</w:t>
            </w:r>
          </w:p>
        </w:tc>
      </w:tr>
      <w:tr>
        <w:tc>
          <w:tcPr>
            <w:tcW w:w="1500" w:type="dxa"/>
            <w:shd w:val="clear" w:color="auto" w:fill="FFFFFF"/>
            <w:tcMar>
              <w:top w:w="100" w:type="dxa"/>
              <w:left w:w="120" w:type="dxa"/>
              <w:bottom w:w="100" w:type="dxa"/>
              <w:right w:w="120" w:type="dxa"/>
            </w:tcMar>
            <w:vAlign w:val="center"/>
          </w:tcPr>
          <w:p>
            <w:pPr>
              <w:spacing w:after="0"/>
              <w:rPr>
                <w:rFonts w:hint="eastAsia"/>
              </w:rPr>
            </w:pPr>
            <w:r>
              <w:rPr>
                <w:b/>
                <w:sz w:val="18"/>
              </w:rPr>
              <w:t>Segment recall</w:t>
            </w:r>
          </w:p>
        </w:tc>
        <w:tc>
          <w:tcPr>
            <w:tcW w:w="3900" w:type="dxa"/>
            <w:shd w:val="clear" w:color="auto" w:fill="FFFFFF"/>
            <w:tcMar>
              <w:top w:w="100" w:type="dxa"/>
              <w:left w:w="120" w:type="dxa"/>
              <w:bottom w:w="100" w:type="dxa"/>
              <w:right w:w="120" w:type="dxa"/>
            </w:tcMar>
            <w:vAlign w:val="center"/>
          </w:tcPr>
          <w:p>
            <w:pPr>
              <w:spacing w:after="0"/>
              <w:rPr>
                <w:rFonts w:hint="eastAsia"/>
              </w:rPr>
            </w:pPr>
            <w:r>
              <w:rPr>
                <w:sz w:val="18"/>
              </w:rPr>
              <w:t>Consistency across customer groups</w:t>
            </w:r>
          </w:p>
        </w:tc>
        <w:tc>
          <w:tcPr>
            <w:tcW w:w="3960" w:type="dxa"/>
            <w:shd w:val="clear" w:color="auto" w:fill="FFFFFF"/>
            <w:tcMar>
              <w:top w:w="100" w:type="dxa"/>
              <w:left w:w="120" w:type="dxa"/>
              <w:bottom w:w="100" w:type="dxa"/>
              <w:right w:w="120" w:type="dxa"/>
            </w:tcMar>
            <w:vAlign w:val="center"/>
          </w:tcPr>
          <w:p>
            <w:pPr>
              <w:spacing w:after="0"/>
              <w:rPr>
                <w:rFonts w:hint="eastAsia"/>
              </w:rPr>
            </w:pPr>
            <w:r>
              <w:rPr>
                <w:sz w:val="18"/>
              </w:rPr>
              <w:t>Unequal error rates</w:t>
            </w:r>
          </w:p>
        </w:tc>
      </w:tr>
    </w:tbl>
    <w:p>
      <w:pPr>
        <w:spacing w:after="60"/>
        <w:rPr>
          <w:rFonts w:hint="eastAsia"/>
        </w:rPr>
      </w:pPr>
    </w:p>
    <w:p>
      <w:pPr>
        <w:keepNext/>
        <w:pBdr>
          <w:left w:val="single" w:sz="22" w:space="10" w:color="FF6B5F"/>
        </w:pBdr>
        <w:shd w:val="clear" w:color="auto" w:fill="F2F4F7"/>
        <w:spacing w:before="80" w:after="40"/>
        <w:ind w:left="230" w:right="173"/>
        <w:rPr>
          <w:rFonts w:hint="eastAsia"/>
        </w:rPr>
      </w:pPr>
      <w:r>
        <w:rPr>
          <w:b/>
          <w:color w:val="FF6B5F"/>
          <w:sz w:val="16"/>
        </w:rPr>
        <w:t>LEAKAGE CHECK</w:t>
      </w:r>
    </w:p>
    <w:p>
      <w:pPr>
        <w:keepNext/>
        <w:pBdr>
          <w:left w:val="single" w:sz="22" w:space="10" w:color="FF6B5F"/>
        </w:pBdr>
        <w:shd w:val="clear" w:color="auto" w:fill="F2F4F7"/>
        <w:spacing w:after="40"/>
        <w:ind w:left="230" w:right="173"/>
        <w:rPr>
          <w:rFonts w:hint="eastAsia"/>
        </w:rPr>
      </w:pPr>
      <w:r>
        <w:rPr>
          <w:b/>
          <w:color w:val="0B2743"/>
          <w:sz w:val="28"/>
        </w:rPr>
        <w:t>Do not train on the answer in disguise.</w:t>
      </w:r>
    </w:p>
    <w:p>
      <w:pPr>
        <w:pBdr>
          <w:left w:val="single" w:sz="22" w:space="10" w:color="FF6B5F"/>
        </w:pBdr>
        <w:shd w:val="clear" w:color="auto" w:fill="F2F4F7"/>
        <w:spacing w:after="160"/>
        <w:ind w:left="230" w:right="173"/>
        <w:rPr>
          <w:rFonts w:hint="eastAsia"/>
        </w:rPr>
      </w:pPr>
      <w:r>
        <w:rPr>
          <w:color w:val="607184"/>
          <w:sz w:val="19"/>
        </w:rPr>
        <w:t>Cancellation status, post-cancellation monitoring states and fields updated after the scoring moment must be excluded from production features.</w:t>
      </w:r>
    </w:p>
    <w:p>
      <w:pPr>
        <w:rPr>
          <w:rFonts w:hint="eastAsia"/>
        </w:rPr>
      </w:pPr>
      <w:r>
        <w:br w:type="page"/>
      </w:r>
    </w:p>
    <w:p>
      <w:pPr>
        <w:spacing w:after="80"/>
        <w:rPr>
          <w:rFonts w:hint="eastAsia"/>
        </w:rPr>
      </w:pPr>
      <w:r>
        <w:rPr>
          <w:b/>
          <w:color w:val="20A39E"/>
          <w:sz w:val="18"/>
        </w:rPr>
        <w:lastRenderedPageBreak/>
        <w:t>OPERATING MODEL</w:t>
      </w:r>
    </w:p>
    <w:p>
      <w:pPr>
        <w:pStyle w:val="Heading1"/>
      </w:pPr>
      <w:r>
        <w:t>Turn probability into the next best action</w:t>
      </w:r>
    </w:p>
    <w:tbl>
      <w:tblPr>
        <w:tblStyle w:val="TableGrid"/>
        <w:tblW w:w="9360" w:type="dxa"/>
        <w:tblInd w:w="120" w:type="dxa"/>
        <w:tblLayout w:type="fixed"/>
        <w:tblLook w:val="04A0" w:firstRow="1" w:lastRow="0" w:firstColumn="1" w:lastColumn="0" w:noHBand="0" w:noVBand="1"/>
      </w:tblPr>
      <w:tblGrid>
        <w:gridCol w:w="1200"/>
        <w:gridCol w:w="1500"/>
        <w:gridCol w:w="4100"/>
        <w:gridCol w:w="2560"/>
      </w:tblGrid>
      <w:tr>
        <w:trPr>
          <w:tblHeader/>
        </w:trPr>
        <w:tc>
          <w:tcPr>
            <w:tcW w:w="1200" w:type="dxa"/>
            <w:shd w:val="clear" w:color="auto" w:fill="0B2743"/>
            <w:tcMar>
              <w:top w:w="100" w:type="dxa"/>
              <w:left w:w="120" w:type="dxa"/>
              <w:bottom w:w="100" w:type="dxa"/>
              <w:right w:w="120" w:type="dxa"/>
            </w:tcMar>
            <w:vAlign w:val="center"/>
          </w:tcPr>
          <w:p>
            <w:pPr>
              <w:rPr>
                <w:rFonts w:hint="eastAsia"/>
              </w:rPr>
            </w:pPr>
            <w:r>
              <w:rPr>
                <w:b/>
                <w:color w:val="FFFFFF"/>
                <w:sz w:val="18"/>
              </w:rPr>
              <w:t>Risk band</w:t>
            </w:r>
          </w:p>
        </w:tc>
        <w:tc>
          <w:tcPr>
            <w:tcW w:w="1500" w:type="dxa"/>
            <w:shd w:val="clear" w:color="auto" w:fill="0B2743"/>
            <w:tcMar>
              <w:top w:w="100" w:type="dxa"/>
              <w:left w:w="120" w:type="dxa"/>
              <w:bottom w:w="100" w:type="dxa"/>
              <w:right w:w="120" w:type="dxa"/>
            </w:tcMar>
            <w:vAlign w:val="center"/>
          </w:tcPr>
          <w:p>
            <w:pPr>
              <w:rPr>
                <w:rFonts w:hint="eastAsia"/>
              </w:rPr>
            </w:pPr>
            <w:r>
              <w:rPr>
                <w:b/>
                <w:color w:val="FFFFFF"/>
                <w:sz w:val="18"/>
              </w:rPr>
              <w:t>Illustrative range</w:t>
            </w:r>
          </w:p>
        </w:tc>
        <w:tc>
          <w:tcPr>
            <w:tcW w:w="4100" w:type="dxa"/>
            <w:shd w:val="clear" w:color="auto" w:fill="0B2743"/>
            <w:tcMar>
              <w:top w:w="100" w:type="dxa"/>
              <w:left w:w="120" w:type="dxa"/>
              <w:bottom w:w="100" w:type="dxa"/>
              <w:right w:w="120" w:type="dxa"/>
            </w:tcMar>
            <w:vAlign w:val="center"/>
          </w:tcPr>
          <w:p>
            <w:pPr>
              <w:rPr>
                <w:rFonts w:hint="eastAsia"/>
              </w:rPr>
            </w:pPr>
            <w:r>
              <w:rPr>
                <w:b/>
                <w:color w:val="FFFFFF"/>
                <w:sz w:val="18"/>
              </w:rPr>
              <w:t>Recommended action</w:t>
            </w:r>
          </w:p>
        </w:tc>
        <w:tc>
          <w:tcPr>
            <w:tcW w:w="2560" w:type="dxa"/>
            <w:shd w:val="clear" w:color="auto" w:fill="0B2743"/>
            <w:tcMar>
              <w:top w:w="100" w:type="dxa"/>
              <w:left w:w="120" w:type="dxa"/>
              <w:bottom w:w="100" w:type="dxa"/>
              <w:right w:w="120" w:type="dxa"/>
            </w:tcMar>
            <w:vAlign w:val="center"/>
          </w:tcPr>
          <w:p>
            <w:pPr>
              <w:rPr>
                <w:rFonts w:hint="eastAsia"/>
              </w:rPr>
            </w:pPr>
            <w:r>
              <w:rPr>
                <w:b/>
                <w:color w:val="FFFFFF"/>
                <w:sz w:val="18"/>
              </w:rPr>
              <w:t>Service level</w:t>
            </w:r>
          </w:p>
        </w:tc>
      </w:tr>
      <w:tr>
        <w:tc>
          <w:tcPr>
            <w:tcW w:w="1200" w:type="dxa"/>
            <w:shd w:val="clear" w:color="auto" w:fill="FFFFFF"/>
            <w:tcMar>
              <w:top w:w="100" w:type="dxa"/>
              <w:left w:w="120" w:type="dxa"/>
              <w:bottom w:w="100" w:type="dxa"/>
              <w:right w:w="120" w:type="dxa"/>
            </w:tcMar>
            <w:vAlign w:val="center"/>
          </w:tcPr>
          <w:p>
            <w:pPr>
              <w:spacing w:after="0"/>
              <w:rPr>
                <w:rFonts w:hint="eastAsia"/>
              </w:rPr>
            </w:pPr>
            <w:r>
              <w:rPr>
                <w:b/>
                <w:sz w:val="18"/>
              </w:rPr>
              <w:t>High</w:t>
            </w:r>
          </w:p>
        </w:tc>
        <w:tc>
          <w:tcPr>
            <w:tcW w:w="1500" w:type="dxa"/>
            <w:shd w:val="clear" w:color="auto" w:fill="FFFFFF"/>
            <w:tcMar>
              <w:top w:w="100" w:type="dxa"/>
              <w:left w:w="120" w:type="dxa"/>
              <w:bottom w:w="100" w:type="dxa"/>
              <w:right w:w="120" w:type="dxa"/>
            </w:tcMar>
            <w:vAlign w:val="center"/>
          </w:tcPr>
          <w:p>
            <w:pPr>
              <w:spacing w:after="0"/>
              <w:rPr>
                <w:rFonts w:hint="eastAsia"/>
              </w:rPr>
            </w:pPr>
            <w:r>
              <w:rPr>
                <w:sz w:val="18"/>
              </w:rPr>
              <w:t>70-100%</w:t>
            </w:r>
          </w:p>
        </w:tc>
        <w:tc>
          <w:tcPr>
            <w:tcW w:w="4100" w:type="dxa"/>
            <w:shd w:val="clear" w:color="auto" w:fill="FFFFFF"/>
            <w:tcMar>
              <w:top w:w="100" w:type="dxa"/>
              <w:left w:w="120" w:type="dxa"/>
              <w:bottom w:w="100" w:type="dxa"/>
              <w:right w:w="120" w:type="dxa"/>
            </w:tcMar>
            <w:vAlign w:val="center"/>
          </w:tcPr>
          <w:p>
            <w:pPr>
              <w:spacing w:after="0"/>
              <w:rPr>
                <w:rFonts w:hint="eastAsia"/>
              </w:rPr>
            </w:pPr>
            <w:r>
              <w:rPr>
                <w:sz w:val="18"/>
              </w:rPr>
              <w:t>Human review; diagnose friction; prioritized outreach</w:t>
            </w:r>
          </w:p>
        </w:tc>
        <w:tc>
          <w:tcPr>
            <w:tcW w:w="2560" w:type="dxa"/>
            <w:shd w:val="clear" w:color="auto" w:fill="FFFFFF"/>
            <w:tcMar>
              <w:top w:w="100" w:type="dxa"/>
              <w:left w:w="120" w:type="dxa"/>
              <w:bottom w:w="100" w:type="dxa"/>
              <w:right w:w="120" w:type="dxa"/>
            </w:tcMar>
            <w:vAlign w:val="center"/>
          </w:tcPr>
          <w:p>
            <w:pPr>
              <w:spacing w:after="0"/>
              <w:rPr>
                <w:rFonts w:hint="eastAsia"/>
              </w:rPr>
            </w:pPr>
            <w:r>
              <w:rPr>
                <w:sz w:val="18"/>
              </w:rPr>
              <w:t>Within 1 business day</w:t>
            </w:r>
          </w:p>
        </w:tc>
      </w:tr>
      <w:tr>
        <w:tc>
          <w:tcPr>
            <w:tcW w:w="1200" w:type="dxa"/>
            <w:shd w:val="clear" w:color="auto" w:fill="F7F9FA"/>
            <w:tcMar>
              <w:top w:w="100" w:type="dxa"/>
              <w:left w:w="120" w:type="dxa"/>
              <w:bottom w:w="100" w:type="dxa"/>
              <w:right w:w="120" w:type="dxa"/>
            </w:tcMar>
            <w:vAlign w:val="center"/>
          </w:tcPr>
          <w:p>
            <w:pPr>
              <w:spacing w:after="0"/>
              <w:rPr>
                <w:rFonts w:hint="eastAsia"/>
              </w:rPr>
            </w:pPr>
            <w:r>
              <w:rPr>
                <w:b/>
                <w:sz w:val="18"/>
              </w:rPr>
              <w:t>Medium</w:t>
            </w:r>
          </w:p>
        </w:tc>
        <w:tc>
          <w:tcPr>
            <w:tcW w:w="1500" w:type="dxa"/>
            <w:shd w:val="clear" w:color="auto" w:fill="F7F9FA"/>
            <w:tcMar>
              <w:top w:w="100" w:type="dxa"/>
              <w:left w:w="120" w:type="dxa"/>
              <w:bottom w:w="100" w:type="dxa"/>
              <w:right w:w="120" w:type="dxa"/>
            </w:tcMar>
            <w:vAlign w:val="center"/>
          </w:tcPr>
          <w:p>
            <w:pPr>
              <w:spacing w:after="0"/>
              <w:rPr>
                <w:rFonts w:hint="eastAsia"/>
              </w:rPr>
            </w:pPr>
            <w:r>
              <w:rPr>
                <w:sz w:val="18"/>
              </w:rPr>
              <w:t>45-69%</w:t>
            </w:r>
          </w:p>
        </w:tc>
        <w:tc>
          <w:tcPr>
            <w:tcW w:w="4100" w:type="dxa"/>
            <w:shd w:val="clear" w:color="auto" w:fill="F7F9FA"/>
            <w:tcMar>
              <w:top w:w="100" w:type="dxa"/>
              <w:left w:w="120" w:type="dxa"/>
              <w:bottom w:w="100" w:type="dxa"/>
              <w:right w:w="120" w:type="dxa"/>
            </w:tcMar>
            <w:vAlign w:val="center"/>
          </w:tcPr>
          <w:p>
            <w:pPr>
              <w:spacing w:after="0"/>
              <w:rPr>
                <w:rFonts w:hint="eastAsia"/>
              </w:rPr>
            </w:pPr>
            <w:r>
              <w:rPr>
                <w:sz w:val="18"/>
              </w:rPr>
              <w:t>Targeted nurture; confirm installation and service health</w:t>
            </w:r>
          </w:p>
        </w:tc>
        <w:tc>
          <w:tcPr>
            <w:tcW w:w="2560" w:type="dxa"/>
            <w:shd w:val="clear" w:color="auto" w:fill="F7F9FA"/>
            <w:tcMar>
              <w:top w:w="100" w:type="dxa"/>
              <w:left w:w="120" w:type="dxa"/>
              <w:bottom w:w="100" w:type="dxa"/>
              <w:right w:w="120" w:type="dxa"/>
            </w:tcMar>
            <w:vAlign w:val="center"/>
          </w:tcPr>
          <w:p>
            <w:pPr>
              <w:spacing w:after="0"/>
              <w:rPr>
                <w:rFonts w:hint="eastAsia"/>
              </w:rPr>
            </w:pPr>
            <w:r>
              <w:rPr>
                <w:sz w:val="18"/>
              </w:rPr>
              <w:t>Within 3 business days</w:t>
            </w:r>
          </w:p>
        </w:tc>
      </w:tr>
      <w:tr>
        <w:tc>
          <w:tcPr>
            <w:tcW w:w="1200" w:type="dxa"/>
            <w:shd w:val="clear" w:color="auto" w:fill="FFFFFF"/>
            <w:tcMar>
              <w:top w:w="100" w:type="dxa"/>
              <w:left w:w="120" w:type="dxa"/>
              <w:bottom w:w="100" w:type="dxa"/>
              <w:right w:w="120" w:type="dxa"/>
            </w:tcMar>
            <w:vAlign w:val="center"/>
          </w:tcPr>
          <w:p>
            <w:pPr>
              <w:spacing w:after="0"/>
              <w:rPr>
                <w:rFonts w:hint="eastAsia"/>
              </w:rPr>
            </w:pPr>
            <w:r>
              <w:rPr>
                <w:b/>
                <w:sz w:val="18"/>
              </w:rPr>
              <w:t>Low</w:t>
            </w:r>
          </w:p>
        </w:tc>
        <w:tc>
          <w:tcPr>
            <w:tcW w:w="1500" w:type="dxa"/>
            <w:shd w:val="clear" w:color="auto" w:fill="FFFFFF"/>
            <w:tcMar>
              <w:top w:w="100" w:type="dxa"/>
              <w:left w:w="120" w:type="dxa"/>
              <w:bottom w:w="100" w:type="dxa"/>
              <w:right w:w="120" w:type="dxa"/>
            </w:tcMar>
            <w:vAlign w:val="center"/>
          </w:tcPr>
          <w:p>
            <w:pPr>
              <w:spacing w:after="0"/>
              <w:rPr>
                <w:rFonts w:hint="eastAsia"/>
              </w:rPr>
            </w:pPr>
            <w:r>
              <w:rPr>
                <w:sz w:val="18"/>
              </w:rPr>
              <w:t>0-44%</w:t>
            </w:r>
          </w:p>
        </w:tc>
        <w:tc>
          <w:tcPr>
            <w:tcW w:w="4100" w:type="dxa"/>
            <w:shd w:val="clear" w:color="auto" w:fill="FFFFFF"/>
            <w:tcMar>
              <w:top w:w="100" w:type="dxa"/>
              <w:left w:w="120" w:type="dxa"/>
              <w:bottom w:w="100" w:type="dxa"/>
              <w:right w:w="120" w:type="dxa"/>
            </w:tcMar>
            <w:vAlign w:val="center"/>
          </w:tcPr>
          <w:p>
            <w:pPr>
              <w:spacing w:after="0"/>
              <w:rPr>
                <w:rFonts w:hint="eastAsia"/>
              </w:rPr>
            </w:pPr>
            <w:r>
              <w:rPr>
                <w:sz w:val="18"/>
              </w:rPr>
              <w:t>Standard lifecycle communication; monitor for change</w:t>
            </w:r>
          </w:p>
        </w:tc>
        <w:tc>
          <w:tcPr>
            <w:tcW w:w="2560" w:type="dxa"/>
            <w:shd w:val="clear" w:color="auto" w:fill="FFFFFF"/>
            <w:tcMar>
              <w:top w:w="100" w:type="dxa"/>
              <w:left w:w="120" w:type="dxa"/>
              <w:bottom w:w="100" w:type="dxa"/>
              <w:right w:w="120" w:type="dxa"/>
            </w:tcMar>
            <w:vAlign w:val="center"/>
          </w:tcPr>
          <w:p>
            <w:pPr>
              <w:spacing w:after="0"/>
              <w:rPr>
                <w:rFonts w:hint="eastAsia"/>
              </w:rPr>
            </w:pPr>
            <w:r>
              <w:rPr>
                <w:sz w:val="18"/>
              </w:rPr>
              <w:t>Routine cadence</w:t>
            </w:r>
          </w:p>
        </w:tc>
      </w:tr>
    </w:tbl>
    <w:p>
      <w:pPr>
        <w:spacing w:before="80" w:after="160"/>
        <w:rPr>
          <w:rFonts w:hint="eastAsia"/>
        </w:rPr>
      </w:pPr>
      <w:r>
        <w:rPr>
          <w:i/>
          <w:color w:val="607184"/>
          <w:sz w:val="17"/>
        </w:rPr>
        <w:t>Risk bands are operational examples. Final thresholds require validation against real intervention outcomes.</w:t>
      </w:r>
    </w:p>
    <w:p>
      <w:pPr>
        <w:pStyle w:val="Heading2"/>
      </w:pPr>
      <w:r>
        <w:t>Closed-loop learning</w:t>
      </w:r>
    </w:p>
    <w:p>
      <w:pPr>
        <w:spacing w:after="40"/>
        <w:rPr>
          <w:rFonts w:hint="eastAsia"/>
        </w:rPr>
      </w:pPr>
      <w:r>
        <w:rPr>
          <w:b/>
          <w:color w:val="20A39E"/>
          <w:sz w:val="21"/>
        </w:rPr>
        <w:t xml:space="preserve">Score: </w:t>
      </w:r>
      <w:r>
        <w:rPr>
          <w:sz w:val="21"/>
        </w:rPr>
        <w:t>Create a timestamped probability using approved pre-outcome features.</w:t>
      </w:r>
    </w:p>
    <w:p>
      <w:pPr>
        <w:spacing w:after="40"/>
        <w:rPr>
          <w:rFonts w:hint="eastAsia"/>
        </w:rPr>
      </w:pPr>
      <w:r>
        <w:rPr>
          <w:b/>
          <w:color w:val="20A39E"/>
          <w:sz w:val="21"/>
        </w:rPr>
        <w:t xml:space="preserve">Review: </w:t>
      </w:r>
      <w:r>
        <w:rPr>
          <w:sz w:val="21"/>
        </w:rPr>
        <w:t>Show the leading drivers and let a trained owner confirm the outreach plan.</w:t>
      </w:r>
    </w:p>
    <w:p>
      <w:pPr>
        <w:spacing w:after="40"/>
        <w:rPr>
          <w:rFonts w:hint="eastAsia"/>
        </w:rPr>
      </w:pPr>
      <w:r>
        <w:rPr>
          <w:b/>
          <w:color w:val="20A39E"/>
          <w:sz w:val="21"/>
        </w:rPr>
        <w:t xml:space="preserve">Intervene: </w:t>
      </w:r>
      <w:r>
        <w:rPr>
          <w:sz w:val="21"/>
        </w:rPr>
        <w:t>Record the action, channel, timing and customer response.</w:t>
      </w:r>
    </w:p>
    <w:p>
      <w:pPr>
        <w:spacing w:after="40"/>
        <w:rPr>
          <w:rFonts w:hint="eastAsia"/>
        </w:rPr>
      </w:pPr>
      <w:r>
        <w:rPr>
          <w:b/>
          <w:color w:val="20A39E"/>
          <w:sz w:val="21"/>
        </w:rPr>
        <w:t xml:space="preserve">Learn: </w:t>
      </w:r>
      <w:r>
        <w:rPr>
          <w:sz w:val="21"/>
        </w:rPr>
        <w:t>Measure incremental retention lift, calibration and segment-level outcomes.</w:t>
      </w:r>
    </w:p>
    <w:p>
      <w:pPr>
        <w:rPr>
          <w:rFonts w:hint="eastAsia"/>
        </w:rPr>
      </w:pPr>
      <w:r>
        <w:br w:type="page"/>
      </w:r>
    </w:p>
    <w:p>
      <w:pPr>
        <w:spacing w:after="80"/>
        <w:rPr>
          <w:rFonts w:hint="eastAsia"/>
        </w:rPr>
      </w:pPr>
      <w:r>
        <w:rPr>
          <w:b/>
          <w:color w:val="20A39E"/>
          <w:sz w:val="18"/>
        </w:rPr>
        <w:lastRenderedPageBreak/>
        <w:t>PRIVACY + GOVERNANCE</w:t>
      </w:r>
    </w:p>
    <w:p>
      <w:pPr>
        <w:pStyle w:val="Heading1"/>
      </w:pPr>
      <w:r>
        <w:t>Designed for responsible public sharing</w:t>
      </w:r>
    </w:p>
    <w:p>
      <w:pPr>
        <w:spacing w:after="200"/>
        <w:rPr>
          <w:rFonts w:hint="eastAsia"/>
        </w:rPr>
      </w:pPr>
      <w:r>
        <w:t>This case study was rebuilt rather than visually redacted. That prevents names, internal encodings, raw account records, notebook identifiers and screenshot metadata from surviving in hidden document parts or embedded images.</w:t>
      </w:r>
    </w:p>
    <w:p>
      <w:pPr>
        <w:pStyle w:val="Heading2"/>
      </w:pPr>
      <w:r>
        <w:t>Public-release controls</w:t>
      </w:r>
    </w:p>
    <w:tbl>
      <w:tblPr>
        <w:tblStyle w:val="TableGrid"/>
        <w:tblW w:w="9360" w:type="dxa"/>
        <w:tblInd w:w="120" w:type="dxa"/>
        <w:tblLayout w:type="fixed"/>
        <w:tblLook w:val="04A0" w:firstRow="1" w:lastRow="0" w:firstColumn="1" w:lastColumn="0" w:noHBand="0" w:noVBand="1"/>
      </w:tblPr>
      <w:tblGrid>
        <w:gridCol w:w="2200"/>
        <w:gridCol w:w="7160"/>
      </w:tblGrid>
      <w:tr>
        <w:trPr>
          <w:tblHeader/>
        </w:trPr>
        <w:tc>
          <w:tcPr>
            <w:tcW w:w="2200" w:type="dxa"/>
            <w:shd w:val="clear" w:color="auto" w:fill="0B2743"/>
            <w:tcMar>
              <w:top w:w="100" w:type="dxa"/>
              <w:left w:w="120" w:type="dxa"/>
              <w:bottom w:w="100" w:type="dxa"/>
              <w:right w:w="120" w:type="dxa"/>
            </w:tcMar>
            <w:vAlign w:val="center"/>
          </w:tcPr>
          <w:p>
            <w:pPr>
              <w:rPr>
                <w:rFonts w:hint="eastAsia"/>
              </w:rPr>
            </w:pPr>
            <w:r>
              <w:rPr>
                <w:b/>
                <w:color w:val="FFFFFF"/>
                <w:sz w:val="18"/>
              </w:rPr>
              <w:t>Control</w:t>
            </w:r>
          </w:p>
        </w:tc>
        <w:tc>
          <w:tcPr>
            <w:tcW w:w="7160" w:type="dxa"/>
            <w:shd w:val="clear" w:color="auto" w:fill="0B2743"/>
            <w:tcMar>
              <w:top w:w="100" w:type="dxa"/>
              <w:left w:w="120" w:type="dxa"/>
              <w:bottom w:w="100" w:type="dxa"/>
              <w:right w:w="120" w:type="dxa"/>
            </w:tcMar>
            <w:vAlign w:val="center"/>
          </w:tcPr>
          <w:p>
            <w:pPr>
              <w:rPr>
                <w:rFonts w:hint="eastAsia"/>
              </w:rPr>
            </w:pPr>
            <w:r>
              <w:rPr>
                <w:b/>
                <w:color w:val="FFFFFF"/>
                <w:sz w:val="18"/>
              </w:rPr>
              <w:t>Implementation</w:t>
            </w:r>
          </w:p>
        </w:tc>
      </w:tr>
      <w:tr>
        <w:tc>
          <w:tcPr>
            <w:tcW w:w="2200" w:type="dxa"/>
            <w:shd w:val="clear" w:color="auto" w:fill="FFFFFF"/>
            <w:tcMar>
              <w:top w:w="100" w:type="dxa"/>
              <w:left w:w="120" w:type="dxa"/>
              <w:bottom w:w="100" w:type="dxa"/>
              <w:right w:w="120" w:type="dxa"/>
            </w:tcMar>
            <w:vAlign w:val="center"/>
          </w:tcPr>
          <w:p>
            <w:pPr>
              <w:spacing w:after="0"/>
              <w:rPr>
                <w:rFonts w:hint="eastAsia"/>
              </w:rPr>
            </w:pPr>
            <w:r>
              <w:rPr>
                <w:b/>
                <w:sz w:val="18"/>
              </w:rPr>
              <w:t>De-identification</w:t>
            </w:r>
          </w:p>
        </w:tc>
        <w:tc>
          <w:tcPr>
            <w:tcW w:w="7160" w:type="dxa"/>
            <w:shd w:val="clear" w:color="auto" w:fill="FFFFFF"/>
            <w:tcMar>
              <w:top w:w="100" w:type="dxa"/>
              <w:left w:w="120" w:type="dxa"/>
              <w:bottom w:w="100" w:type="dxa"/>
              <w:right w:w="120" w:type="dxa"/>
            </w:tcMar>
            <w:vAlign w:val="center"/>
          </w:tcPr>
          <w:p>
            <w:pPr>
              <w:spacing w:after="0"/>
              <w:rPr>
                <w:rFonts w:hint="eastAsia"/>
              </w:rPr>
            </w:pPr>
            <w:r>
              <w:rPr>
                <w:sz w:val="18"/>
              </w:rPr>
              <w:t>Company, product and employee identities removed</w:t>
            </w:r>
          </w:p>
        </w:tc>
      </w:tr>
      <w:tr>
        <w:tc>
          <w:tcPr>
            <w:tcW w:w="2200" w:type="dxa"/>
            <w:shd w:val="clear" w:color="auto" w:fill="F7F9FA"/>
            <w:tcMar>
              <w:top w:w="100" w:type="dxa"/>
              <w:left w:w="120" w:type="dxa"/>
              <w:bottom w:w="100" w:type="dxa"/>
              <w:right w:w="120" w:type="dxa"/>
            </w:tcMar>
            <w:vAlign w:val="center"/>
          </w:tcPr>
          <w:p>
            <w:pPr>
              <w:spacing w:after="0"/>
              <w:rPr>
                <w:rFonts w:hint="eastAsia"/>
              </w:rPr>
            </w:pPr>
            <w:r>
              <w:rPr>
                <w:b/>
                <w:sz w:val="18"/>
              </w:rPr>
              <w:t>Synthetic replacement</w:t>
            </w:r>
          </w:p>
        </w:tc>
        <w:tc>
          <w:tcPr>
            <w:tcW w:w="7160" w:type="dxa"/>
            <w:shd w:val="clear" w:color="auto" w:fill="F7F9FA"/>
            <w:tcMar>
              <w:top w:w="100" w:type="dxa"/>
              <w:left w:w="120" w:type="dxa"/>
              <w:bottom w:w="100" w:type="dxa"/>
              <w:right w:w="120" w:type="dxa"/>
            </w:tcMar>
            <w:vAlign w:val="center"/>
          </w:tcPr>
          <w:p>
            <w:pPr>
              <w:spacing w:after="0"/>
              <w:rPr>
                <w:rFonts w:hint="eastAsia"/>
              </w:rPr>
            </w:pPr>
            <w:r>
              <w:rPr>
                <w:sz w:val="18"/>
              </w:rPr>
              <w:t>Public dataset generated independently from source records</w:t>
            </w:r>
          </w:p>
        </w:tc>
      </w:tr>
      <w:tr>
        <w:tc>
          <w:tcPr>
            <w:tcW w:w="2200" w:type="dxa"/>
            <w:shd w:val="clear" w:color="auto" w:fill="FFFFFF"/>
            <w:tcMar>
              <w:top w:w="100" w:type="dxa"/>
              <w:left w:w="120" w:type="dxa"/>
              <w:bottom w:w="100" w:type="dxa"/>
              <w:right w:w="120" w:type="dxa"/>
            </w:tcMar>
            <w:vAlign w:val="center"/>
          </w:tcPr>
          <w:p>
            <w:pPr>
              <w:spacing w:after="0"/>
              <w:rPr>
                <w:rFonts w:hint="eastAsia"/>
              </w:rPr>
            </w:pPr>
            <w:r>
              <w:rPr>
                <w:b/>
                <w:sz w:val="18"/>
              </w:rPr>
              <w:t>Metadata scrub</w:t>
            </w:r>
          </w:p>
        </w:tc>
        <w:tc>
          <w:tcPr>
            <w:tcW w:w="7160" w:type="dxa"/>
            <w:shd w:val="clear" w:color="auto" w:fill="FFFFFF"/>
            <w:tcMar>
              <w:top w:w="100" w:type="dxa"/>
              <w:left w:w="120" w:type="dxa"/>
              <w:bottom w:w="100" w:type="dxa"/>
              <w:right w:w="120" w:type="dxa"/>
            </w:tcMar>
            <w:vAlign w:val="center"/>
          </w:tcPr>
          <w:p>
            <w:pPr>
              <w:spacing w:after="0"/>
              <w:rPr>
                <w:rFonts w:hint="eastAsia"/>
              </w:rPr>
            </w:pPr>
            <w:r>
              <w:rPr>
                <w:sz w:val="18"/>
              </w:rPr>
              <w:t>Creator, revision identity and custom metadata removed</w:t>
            </w:r>
          </w:p>
        </w:tc>
      </w:tr>
      <w:tr>
        <w:tc>
          <w:tcPr>
            <w:tcW w:w="2200" w:type="dxa"/>
            <w:shd w:val="clear" w:color="auto" w:fill="F7F9FA"/>
            <w:tcMar>
              <w:top w:w="100" w:type="dxa"/>
              <w:left w:w="120" w:type="dxa"/>
              <w:bottom w:w="100" w:type="dxa"/>
              <w:right w:w="120" w:type="dxa"/>
            </w:tcMar>
            <w:vAlign w:val="center"/>
          </w:tcPr>
          <w:p>
            <w:pPr>
              <w:spacing w:after="0"/>
              <w:rPr>
                <w:rFonts w:hint="eastAsia"/>
              </w:rPr>
            </w:pPr>
            <w:r>
              <w:rPr>
                <w:b/>
                <w:sz w:val="18"/>
              </w:rPr>
              <w:t>Reproducibility</w:t>
            </w:r>
          </w:p>
        </w:tc>
        <w:tc>
          <w:tcPr>
            <w:tcW w:w="7160" w:type="dxa"/>
            <w:shd w:val="clear" w:color="auto" w:fill="F7F9FA"/>
            <w:tcMar>
              <w:top w:w="100" w:type="dxa"/>
              <w:left w:w="120" w:type="dxa"/>
              <w:bottom w:w="100" w:type="dxa"/>
              <w:right w:w="120" w:type="dxa"/>
            </w:tcMar>
            <w:vAlign w:val="center"/>
          </w:tcPr>
          <w:p>
            <w:pPr>
              <w:spacing w:after="0"/>
              <w:rPr>
                <w:rFonts w:hint="eastAsia"/>
              </w:rPr>
            </w:pPr>
            <w:r>
              <w:rPr>
                <w:sz w:val="18"/>
              </w:rPr>
              <w:t>Training script, model card and dashboard included</w:t>
            </w:r>
          </w:p>
        </w:tc>
      </w:tr>
      <w:tr>
        <w:tc>
          <w:tcPr>
            <w:tcW w:w="2200" w:type="dxa"/>
            <w:shd w:val="clear" w:color="auto" w:fill="FFFFFF"/>
            <w:tcMar>
              <w:top w:w="100" w:type="dxa"/>
              <w:left w:w="120" w:type="dxa"/>
              <w:bottom w:w="100" w:type="dxa"/>
              <w:right w:w="120" w:type="dxa"/>
            </w:tcMar>
            <w:vAlign w:val="center"/>
          </w:tcPr>
          <w:p>
            <w:pPr>
              <w:spacing w:after="0"/>
              <w:rPr>
                <w:rFonts w:hint="eastAsia"/>
              </w:rPr>
            </w:pPr>
            <w:r>
              <w:rPr>
                <w:b/>
                <w:sz w:val="18"/>
              </w:rPr>
              <w:t>Human oversight</w:t>
            </w:r>
          </w:p>
        </w:tc>
        <w:tc>
          <w:tcPr>
            <w:tcW w:w="7160" w:type="dxa"/>
            <w:shd w:val="clear" w:color="auto" w:fill="FFFFFF"/>
            <w:tcMar>
              <w:top w:w="100" w:type="dxa"/>
              <w:left w:w="120" w:type="dxa"/>
              <w:bottom w:w="100" w:type="dxa"/>
              <w:right w:w="120" w:type="dxa"/>
            </w:tcMar>
            <w:vAlign w:val="center"/>
          </w:tcPr>
          <w:p>
            <w:pPr>
              <w:spacing w:after="0"/>
              <w:rPr>
                <w:rFonts w:hint="eastAsia"/>
              </w:rPr>
            </w:pPr>
            <w:r>
              <w:rPr>
                <w:sz w:val="18"/>
              </w:rPr>
              <w:t>Scores support review and do not automate adverse decisions</w:t>
            </w:r>
          </w:p>
        </w:tc>
      </w:tr>
    </w:tbl>
    <w:p>
      <w:pPr>
        <w:spacing w:after="60"/>
        <w:rPr>
          <w:rFonts w:hint="eastAsia"/>
        </w:rPr>
      </w:pPr>
    </w:p>
    <w:p>
      <w:pPr>
        <w:keepNext/>
        <w:pBdr>
          <w:left w:val="single" w:sz="22" w:space="10" w:color="20A39E"/>
        </w:pBdr>
        <w:shd w:val="clear" w:color="auto" w:fill="F2F4F7"/>
        <w:spacing w:before="80" w:after="40"/>
        <w:ind w:left="230" w:right="173"/>
        <w:rPr>
          <w:rFonts w:hint="eastAsia"/>
        </w:rPr>
      </w:pPr>
      <w:r>
        <w:rPr>
          <w:b/>
          <w:color w:val="20A39E"/>
          <w:sz w:val="16"/>
        </w:rPr>
        <w:t>RELEASE RULE</w:t>
      </w:r>
    </w:p>
    <w:p>
      <w:pPr>
        <w:keepNext/>
        <w:pBdr>
          <w:left w:val="single" w:sz="22" w:space="10" w:color="20A39E"/>
        </w:pBdr>
        <w:shd w:val="clear" w:color="auto" w:fill="F2F4F7"/>
        <w:spacing w:after="40"/>
        <w:ind w:left="230" w:right="173"/>
        <w:rPr>
          <w:rFonts w:hint="eastAsia"/>
        </w:rPr>
      </w:pPr>
      <w:r>
        <w:rPr>
          <w:b/>
          <w:color w:val="0B2743"/>
          <w:sz w:val="28"/>
        </w:rPr>
        <w:t>Raw company records remain outside the repository.</w:t>
      </w:r>
    </w:p>
    <w:p>
      <w:pPr>
        <w:pBdr>
          <w:left w:val="single" w:sz="22" w:space="10" w:color="20A39E"/>
        </w:pBdr>
        <w:shd w:val="clear" w:color="auto" w:fill="F2F4F7"/>
        <w:spacing w:after="160"/>
        <w:ind w:left="230" w:right="173"/>
        <w:rPr>
          <w:rFonts w:hint="eastAsia"/>
        </w:rPr>
      </w:pPr>
      <w:r>
        <w:rPr>
          <w:color w:val="607184"/>
          <w:sz w:val="19"/>
        </w:rPr>
        <w:t>Only synthetic data, anonymized documentation and generic feature categories are included in the public project.</w:t>
      </w:r>
    </w:p>
    <w:p>
      <w:pPr>
        <w:pStyle w:val="Heading2"/>
      </w:pPr>
      <w:r>
        <w:t>Next production steps</w:t>
      </w:r>
    </w:p>
    <w:p>
      <w:pPr>
        <w:spacing w:after="160"/>
        <w:rPr>
          <w:rFonts w:hint="eastAsia"/>
        </w:rPr>
      </w:pPr>
      <w:r>
        <w:t>Run temporal validation, probability calibration, feature-availability tests, duplicate-account checks, fairness review and a controlled retention experiment before deployment.</w:t>
      </w:r>
    </w:p>
    <w:p>
      <w:bookmarkStart w:id="0" w:name="_GoBack"/>
      <w:bookmarkEnd w:id="0"/>
    </w:p>
    <w:sectPr>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rPr>
        <w:rFonts w:hint="eastAsia"/>
      </w:rPr>
    </w:pPr>
    <w:r>
      <w:rPr>
        <w:b/>
        <w:color w:val="607184"/>
        <w:sz w:val="16"/>
      </w:rPr>
      <w:t>ANONYMIZED CASE STUDY</w:t>
    </w:r>
  </w:p>
  <w:p>
    <w:pPr>
      <w:jc w:val="right"/>
      <w:rPr>
        <w:rFonts w:hint="eastAsia"/>
      </w:rPr>
    </w:pPr>
    <w:r>
      <w:rPr>
        <w:color w:val="607184"/>
        <w:sz w:val="16"/>
      </w:rPr>
      <w:fldChar w:fldCharType="begin"/>
    </w:r>
    <w:r>
      <w:rPr>
        <w:color w:val="607184"/>
        <w:sz w:val="16"/>
      </w:rPr>
      <w:instrText xml:space="preserve"> PAGE </w:instrText>
    </w:r>
    <w:r>
      <w:rPr>
        <w:color w:val="607184"/>
        <w:sz w:val="16"/>
      </w:rPr>
      <w:fldChar w:fldCharType="separate"/>
    </w:r>
    <w:r>
      <w:rPr>
        <w:noProof/>
        <w:color w:val="607184"/>
        <w:sz w:val="16"/>
      </w:rPr>
      <w:t>7</w:t>
    </w:r>
    <w:r>
      <w:rPr>
        <w:color w:val="607184"/>
        <w:sz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Header"/>
      <w:rPr>
        <w:rFonts w:hint="eastAsia"/>
      </w:rPr>
    </w:pPr>
    <w:r>
      <w:rPr>
        <w:b/>
        <w:color w:val="607184"/>
        <w:sz w:val="16"/>
      </w:rPr>
      <w:t>CUSTOMER RETENTION RISK MODEL  |  PUBLIC PORTFOLIO EDITION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C94"/>
    <w:rsid w:val="00067317"/>
    <w:rsid w:val="003D6C94"/>
    <w:rsid w:val="00DA6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03A69D-C352-4596-9718-25105395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C94"/>
    <w:pPr>
      <w:spacing w:after="120" w:line="264" w:lineRule="auto"/>
    </w:pPr>
    <w:rPr>
      <w:rFonts w:ascii="Aptos" w:eastAsiaTheme="minorEastAsia" w:hAnsi="Aptos"/>
      <w:color w:val="102031"/>
      <w:lang w:val="en-US"/>
    </w:rPr>
  </w:style>
  <w:style w:type="paragraph" w:styleId="Heading1">
    <w:name w:val="heading 1"/>
    <w:basedOn w:val="Normal"/>
    <w:next w:val="Normal"/>
    <w:link w:val="Heading1Char"/>
    <w:uiPriority w:val="9"/>
    <w:qFormat/>
    <w:rsid w:val="003D6C94"/>
    <w:pPr>
      <w:keepNext/>
      <w:keepLines/>
      <w:spacing w:before="320" w:after="160"/>
      <w:outlineLvl w:val="0"/>
    </w:pPr>
    <w:rPr>
      <w:rFonts w:asciiTheme="majorHAnsi" w:eastAsiaTheme="majorEastAsia" w:hAnsiTheme="majorHAnsi" w:cstheme="majorBidi"/>
      <w:b/>
      <w:bCs/>
      <w:color w:val="20A39E"/>
      <w:sz w:val="32"/>
      <w:szCs w:val="28"/>
    </w:rPr>
  </w:style>
  <w:style w:type="paragraph" w:styleId="Heading2">
    <w:name w:val="heading 2"/>
    <w:basedOn w:val="Normal"/>
    <w:next w:val="Normal"/>
    <w:link w:val="Heading2Char"/>
    <w:uiPriority w:val="9"/>
    <w:unhideWhenUsed/>
    <w:qFormat/>
    <w:rsid w:val="003D6C94"/>
    <w:pPr>
      <w:keepNext/>
      <w:keepLines/>
      <w:spacing w:before="240"/>
      <w:outlineLvl w:val="1"/>
    </w:pPr>
    <w:rPr>
      <w:rFonts w:asciiTheme="majorHAnsi" w:eastAsiaTheme="majorEastAsia" w:hAnsiTheme="majorHAnsi" w:cstheme="majorBidi"/>
      <w:b/>
      <w:bCs/>
      <w:color w:val="20A39E"/>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C94"/>
    <w:rPr>
      <w:rFonts w:asciiTheme="majorHAnsi" w:eastAsiaTheme="majorEastAsia" w:hAnsiTheme="majorHAnsi" w:cstheme="majorBidi"/>
      <w:b/>
      <w:bCs/>
      <w:color w:val="20A39E"/>
      <w:sz w:val="32"/>
      <w:szCs w:val="28"/>
      <w:lang w:val="en-US"/>
    </w:rPr>
  </w:style>
  <w:style w:type="character" w:customStyle="1" w:styleId="Heading2Char">
    <w:name w:val="Heading 2 Char"/>
    <w:basedOn w:val="DefaultParagraphFont"/>
    <w:link w:val="Heading2"/>
    <w:uiPriority w:val="9"/>
    <w:rsid w:val="003D6C94"/>
    <w:rPr>
      <w:rFonts w:asciiTheme="majorHAnsi" w:eastAsiaTheme="majorEastAsia" w:hAnsiTheme="majorHAnsi" w:cstheme="majorBidi"/>
      <w:b/>
      <w:bCs/>
      <w:color w:val="20A39E"/>
      <w:sz w:val="26"/>
      <w:szCs w:val="26"/>
      <w:lang w:val="en-US"/>
    </w:rPr>
  </w:style>
  <w:style w:type="paragraph" w:styleId="Header">
    <w:name w:val="header"/>
    <w:basedOn w:val="Normal"/>
    <w:link w:val="HeaderChar"/>
    <w:uiPriority w:val="99"/>
    <w:unhideWhenUsed/>
    <w:rsid w:val="003D6C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C94"/>
    <w:rPr>
      <w:rFonts w:ascii="Aptos" w:eastAsiaTheme="minorEastAsia" w:hAnsi="Aptos"/>
      <w:color w:val="102031"/>
      <w:lang w:val="en-US"/>
    </w:rPr>
  </w:style>
  <w:style w:type="paragraph" w:styleId="Footer">
    <w:name w:val="footer"/>
    <w:basedOn w:val="Normal"/>
    <w:link w:val="FooterChar"/>
    <w:uiPriority w:val="99"/>
    <w:unhideWhenUsed/>
    <w:rsid w:val="003D6C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C94"/>
    <w:rPr>
      <w:rFonts w:ascii="Aptos" w:eastAsiaTheme="minorEastAsia" w:hAnsi="Aptos"/>
      <w:color w:val="102031"/>
      <w:lang w:val="en-US"/>
    </w:rPr>
  </w:style>
  <w:style w:type="table" w:styleId="TableGrid">
    <w:name w:val="Table Grid"/>
    <w:basedOn w:val="TableNormal"/>
    <w:uiPriority w:val="59"/>
    <w:rsid w:val="003D6C94"/>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2026-08-05T16:48:00Z</dcterms:created>
  <dcterms:modified xsi:type="dcterms:W3CDTF">2026-08-05T16:48:00Z</dcterms:modified>
</cp:coreProperties>
</file>