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0" w:after="280"/>
        <w:jc w:val="center"/>
      </w:pPr>
      <w:r>
        <w:rPr>
          <w:b/>
          <w:color w:val="D89B2B"/>
        </w:rPr>
        <w:t>CASE STUDY</w:t>
      </w:r>
    </w:p>
    <w:p>
      <w:pPr>
        <w:spacing w:after="240"/>
        <w:jc w:val="center"/>
      </w:pPr>
      <w:r>
        <w:rPr>
          <w:b/>
          <w:color w:val="16324F"/>
          <w:sz w:val="54"/>
        </w:rPr>
        <w:t>Digital Lending Bureau Risk</w:t>
      </w:r>
      <w:r>
        <w:rPr>
          <w:b/>
          <w:color w:val="16324F"/>
          <w:sz w:val="54"/>
        </w:rPr>
        <w:br/>
        <w:t>and Lender Partnership Dashboard</w:t>
      </w:r>
    </w:p>
    <w:p>
      <w:pPr>
        <w:spacing w:after="680"/>
        <w:jc w:val="center"/>
      </w:pPr>
      <w:r>
        <w:rPr>
          <w:color w:val="667085"/>
          <w:sz w:val="26"/>
        </w:rPr>
        <w:t>A MySQL-to-Tableau decision system for originations, portfolio risk and partner governance</w:t>
      </w:r>
    </w:p>
    <w:tbl>
      <w:tblPr>
        <w:tblW w:w="9360" w:type="dxa"/>
        <w:tblInd w:w="120" w:type="dxa"/>
        <w:tblLayout w:type="fixed"/>
        <w:tblLook w:val="04A0" w:firstRow="1" w:lastRow="0" w:firstColumn="1" w:lastColumn="0" w:noHBand="0" w:noVBand="1"/>
      </w:tblPr>
      <w:tblGrid>
        <w:gridCol w:w="3120"/>
        <w:gridCol w:w="3120"/>
        <w:gridCol w:w="3120"/>
      </w:tblGrid>
      <w:tr>
        <w:trPr>
          <w:tblHeader/>
        </w:trPr>
        <w:tc>
          <w:tcPr>
            <w:tcW w:w="3120" w:type="dxa"/>
            <w:shd w:val="clear" w:color="auto" w:fill="E8F1F8"/>
            <w:tcMar>
              <w:top w:w="80" w:type="dxa"/>
              <w:left w:w="120" w:type="dxa"/>
              <w:bottom w:w="80" w:type="dxa"/>
              <w:right w:w="120" w:type="dxa"/>
            </w:tcMar>
            <w:vAlign w:val="center"/>
          </w:tcPr>
          <w:p>
            <w:pPr>
              <w:spacing w:after="40"/>
              <w:jc w:val="center"/>
            </w:pPr>
            <w:r>
              <w:rPr>
                <w:b/>
                <w:color w:val="16324F"/>
                <w:sz w:val="40"/>
              </w:rPr>
              <w:t>600</w:t>
            </w:r>
          </w:p>
          <w:p>
            <w:pPr>
              <w:spacing w:after="0"/>
              <w:jc w:val="center"/>
            </w:pPr>
            <w:r>
              <w:rPr>
                <w:color w:val="667085"/>
                <w:sz w:val="18"/>
              </w:rPr>
              <w:t>Applications</w:t>
            </w:r>
          </w:p>
        </w:tc>
        <w:tc>
          <w:tcPr>
            <w:tcW w:w="3120" w:type="dxa"/>
            <w:shd w:val="clear" w:color="auto" w:fill="E8F1F8"/>
            <w:tcMar>
              <w:top w:w="80" w:type="dxa"/>
              <w:left w:w="120" w:type="dxa"/>
              <w:bottom w:w="80" w:type="dxa"/>
              <w:right w:w="120" w:type="dxa"/>
            </w:tcMar>
            <w:vAlign w:val="center"/>
          </w:tcPr>
          <w:p>
            <w:pPr>
              <w:spacing w:after="40"/>
              <w:jc w:val="center"/>
            </w:pPr>
            <w:r>
              <w:rPr>
                <w:b/>
                <w:color w:val="16324F"/>
                <w:sz w:val="40"/>
              </w:rPr>
              <w:t>312</w:t>
            </w:r>
          </w:p>
          <w:p>
            <w:pPr>
              <w:spacing w:after="0"/>
              <w:jc w:val="center"/>
            </w:pPr>
            <w:r>
              <w:rPr>
                <w:color w:val="667085"/>
                <w:sz w:val="18"/>
              </w:rPr>
              <w:t>Funded loans</w:t>
            </w:r>
          </w:p>
        </w:tc>
        <w:tc>
          <w:tcPr>
            <w:tcW w:w="3120" w:type="dxa"/>
            <w:shd w:val="clear" w:color="auto" w:fill="E8F1F8"/>
            <w:tcMar>
              <w:top w:w="80" w:type="dxa"/>
              <w:left w:w="120" w:type="dxa"/>
              <w:bottom w:w="80" w:type="dxa"/>
              <w:right w:w="120" w:type="dxa"/>
            </w:tcMar>
            <w:vAlign w:val="center"/>
          </w:tcPr>
          <w:p>
            <w:pPr>
              <w:spacing w:after="40"/>
              <w:jc w:val="center"/>
            </w:pPr>
            <w:r>
              <w:rPr>
                <w:b/>
                <w:color w:val="16324F"/>
                <w:sz w:val="40"/>
              </w:rPr>
              <w:t>62.3%</w:t>
            </w:r>
          </w:p>
          <w:p>
            <w:pPr>
              <w:spacing w:after="0"/>
              <w:jc w:val="center"/>
            </w:pPr>
            <w:r>
              <w:rPr>
                <w:color w:val="667085"/>
                <w:sz w:val="18"/>
              </w:rPr>
              <w:t>PAR 30</w:t>
            </w:r>
          </w:p>
        </w:tc>
      </w:tr>
    </w:tbl>
    <w:p>
      <w:pPr>
        <w:spacing w:after="900"/>
      </w:pPr>
    </w:p>
    <w:p>
      <w:pPr>
        <w:spacing w:after="80"/>
        <w:jc w:val="center"/>
      </w:pPr>
      <w:r>
        <w:rPr>
          <w:b/>
          <w:color w:val="2E6F9E"/>
          <w:sz w:val="20"/>
        </w:rPr>
        <w:t>Prepared as a portfolio analytics demonstration</w:t>
      </w:r>
    </w:p>
    <w:p>
      <w:pPr>
        <w:jc w:val="center"/>
      </w:pPr>
      <w:r>
        <w:rPr>
          <w:color w:val="667085"/>
          <w:sz w:val="19"/>
        </w:rPr>
        <w:t>Reporting cut-off: 31 July 2026 | Synthetic data | MySQL 8.0 + Tableau</w:t>
      </w:r>
    </w:p>
    <w:p>
      <w:r>
        <w:br w:type="page"/>
      </w:r>
    </w:p>
    <w:p>
      <w:pPr>
        <w:pStyle w:val="Heading1"/>
      </w:pPr>
      <w:r>
        <w:lastRenderedPageBreak/>
        <w:t>Executive summary</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E8F6F3"/>
            <w:tcMar>
              <w:top w:w="80" w:type="dxa"/>
              <w:left w:w="120" w:type="dxa"/>
              <w:bottom w:w="80" w:type="dxa"/>
              <w:right w:w="120" w:type="dxa"/>
            </w:tcMar>
          </w:tcPr>
          <w:p>
            <w:pPr>
              <w:spacing w:after="40"/>
            </w:pPr>
            <w:r>
              <w:rPr>
                <w:b/>
                <w:color w:val="1F9D8A"/>
                <w:sz w:val="18"/>
              </w:rPr>
              <w:t>PORTFOLIO CONCLUSION</w:t>
            </w:r>
          </w:p>
          <w:p>
            <w:pPr>
              <w:spacing w:after="0"/>
            </w:pPr>
            <w:r>
              <w:t>The demonstration portfolio converts 64.0% of applications to approval and 81.2% of approvals to disbursal. Current PAR 30 is 62.3% and FPD is 23.1%, making partner selection and early collections the two highest-value management levers.</w:t>
            </w:r>
          </w:p>
        </w:tc>
      </w:tr>
    </w:tbl>
    <w:p>
      <w:pPr>
        <w:spacing w:after="60"/>
      </w:pPr>
    </w:p>
    <w:p>
      <w:r>
        <w:t>This case study demonstrates how a digital lender can bring bureau, application, partner and repayment data into one governed risk cockpit. The solution is intentionally decision-oriented: it allows executives to compare lenders, credit teams to inspect risk mix, and collections teams to prioritize accounts before delinquency becomes loss.</w:t>
      </w:r>
    </w:p>
    <w:p>
      <w:pPr>
        <w:pStyle w:val="Heading2"/>
      </w:pPr>
      <w:r>
        <w:t>What the dashboard answers</w:t>
      </w:r>
    </w:p>
    <w:p>
      <w:pPr>
        <w:pStyle w:val="ListBullet"/>
        <w:spacing w:after="100"/>
        <w:ind w:left="720"/>
      </w:pPr>
      <w:r>
        <w:t>Which lender partners deliver the best combination of conversion and portfolio quality?</w:t>
      </w:r>
    </w:p>
    <w:p>
      <w:pPr>
        <w:pStyle w:val="ListBullet"/>
        <w:spacing w:after="100"/>
        <w:ind w:left="720"/>
      </w:pPr>
      <w:r>
        <w:t>Where does the application funnel lose eligible borrowers?</w:t>
      </w:r>
    </w:p>
    <w:p>
      <w:pPr>
        <w:pStyle w:val="ListBullet"/>
        <w:spacing w:after="100"/>
        <w:ind w:left="720"/>
      </w:pPr>
      <w:r>
        <w:t>How concentrated is bureau stress across utilization, enquiries and prior delinquency?</w:t>
      </w:r>
    </w:p>
    <w:p>
      <w:pPr>
        <w:pStyle w:val="ListBullet"/>
        <w:spacing w:after="100"/>
        <w:ind w:left="720"/>
      </w:pPr>
      <w:r>
        <w:t>Are newer vintages deteriorating faster at comparable months on book?</w:t>
      </w:r>
    </w:p>
    <w:p>
      <w:pPr>
        <w:pStyle w:val="ListBullet"/>
        <w:spacing w:after="100"/>
        <w:ind w:left="720"/>
      </w:pPr>
      <w:r>
        <w:t>Which accounts require action now, and what intervention is recommended?</w:t>
      </w:r>
    </w:p>
    <w:p>
      <w:pPr>
        <w:pStyle w:val="Heading2"/>
      </w:pPr>
      <w:r>
        <w:t>Headline findings</w:t>
      </w:r>
    </w:p>
    <w:tbl>
      <w:tblPr>
        <w:tblStyle w:val="TableGrid"/>
        <w:tblW w:w="9360" w:type="dxa"/>
        <w:tblInd w:w="120" w:type="dxa"/>
        <w:tblLayout w:type="fixed"/>
        <w:tblLook w:val="04A0" w:firstRow="1" w:lastRow="0" w:firstColumn="1" w:lastColumn="0" w:noHBand="0" w:noVBand="1"/>
      </w:tblPr>
      <w:tblGrid>
        <w:gridCol w:w="1700"/>
        <w:gridCol w:w="3100"/>
        <w:gridCol w:w="4560"/>
      </w:tblGrid>
      <w:tr>
        <w:trPr>
          <w:tblHeader/>
        </w:trPr>
        <w:tc>
          <w:tcPr>
            <w:tcW w:w="1700" w:type="dxa"/>
            <w:shd w:val="clear" w:color="auto" w:fill="E8EEF5"/>
            <w:tcMar>
              <w:top w:w="80" w:type="dxa"/>
              <w:left w:w="120" w:type="dxa"/>
              <w:bottom w:w="80" w:type="dxa"/>
              <w:right w:w="120" w:type="dxa"/>
            </w:tcMar>
            <w:vAlign w:val="center"/>
          </w:tcPr>
          <w:p>
            <w:pPr>
              <w:jc w:val="center"/>
            </w:pPr>
            <w:r>
              <w:rPr>
                <w:b/>
                <w:color w:val="16324F"/>
                <w:sz w:val="19"/>
              </w:rPr>
              <w:t>Area</w:t>
            </w:r>
          </w:p>
        </w:tc>
        <w:tc>
          <w:tcPr>
            <w:tcW w:w="3100" w:type="dxa"/>
            <w:shd w:val="clear" w:color="auto" w:fill="E8EEF5"/>
            <w:tcMar>
              <w:top w:w="80" w:type="dxa"/>
              <w:left w:w="120" w:type="dxa"/>
              <w:bottom w:w="80" w:type="dxa"/>
              <w:right w:w="120" w:type="dxa"/>
            </w:tcMar>
            <w:vAlign w:val="center"/>
          </w:tcPr>
          <w:p>
            <w:pPr>
              <w:jc w:val="center"/>
            </w:pPr>
            <w:r>
              <w:rPr>
                <w:b/>
                <w:color w:val="16324F"/>
                <w:sz w:val="19"/>
              </w:rPr>
              <w:t>Observed result</w:t>
            </w:r>
          </w:p>
        </w:tc>
        <w:tc>
          <w:tcPr>
            <w:tcW w:w="4560" w:type="dxa"/>
            <w:shd w:val="clear" w:color="auto" w:fill="E8EEF5"/>
            <w:tcMar>
              <w:top w:w="80" w:type="dxa"/>
              <w:left w:w="120" w:type="dxa"/>
              <w:bottom w:w="80" w:type="dxa"/>
              <w:right w:w="120" w:type="dxa"/>
            </w:tcMar>
            <w:vAlign w:val="center"/>
          </w:tcPr>
          <w:p>
            <w:pPr>
              <w:jc w:val="center"/>
            </w:pPr>
            <w:r>
              <w:rPr>
                <w:b/>
                <w:color w:val="16324F"/>
                <w:sz w:val="19"/>
              </w:rPr>
              <w:t>Management implication</w:t>
            </w:r>
          </w:p>
        </w:tc>
      </w:tr>
      <w:tr>
        <w:tc>
          <w:tcPr>
            <w:tcW w:w="1700" w:type="dxa"/>
            <w:tcMar>
              <w:top w:w="80" w:type="dxa"/>
              <w:left w:w="120" w:type="dxa"/>
              <w:bottom w:w="80" w:type="dxa"/>
              <w:right w:w="120" w:type="dxa"/>
            </w:tcMar>
            <w:vAlign w:val="center"/>
          </w:tcPr>
          <w:p>
            <w:pPr>
              <w:spacing w:after="0" w:line="252" w:lineRule="auto"/>
            </w:pPr>
            <w:r>
              <w:rPr>
                <w:sz w:val="18"/>
              </w:rPr>
              <w:t>Originations</w:t>
            </w:r>
          </w:p>
        </w:tc>
        <w:tc>
          <w:tcPr>
            <w:tcW w:w="3100" w:type="dxa"/>
            <w:tcMar>
              <w:top w:w="80" w:type="dxa"/>
              <w:left w:w="120" w:type="dxa"/>
              <w:bottom w:w="80" w:type="dxa"/>
              <w:right w:w="120" w:type="dxa"/>
            </w:tcMar>
            <w:vAlign w:val="center"/>
          </w:tcPr>
          <w:p>
            <w:pPr>
              <w:spacing w:after="0" w:line="252" w:lineRule="auto"/>
            </w:pPr>
            <w:r>
              <w:rPr>
                <w:sz w:val="18"/>
              </w:rPr>
              <w:t>600 applications; 384 approvals; 312 disbursals</w:t>
            </w:r>
          </w:p>
        </w:tc>
        <w:tc>
          <w:tcPr>
            <w:tcW w:w="4560" w:type="dxa"/>
            <w:tcMar>
              <w:top w:w="80" w:type="dxa"/>
              <w:left w:w="120" w:type="dxa"/>
              <w:bottom w:w="80" w:type="dxa"/>
              <w:right w:w="120" w:type="dxa"/>
            </w:tcMar>
            <w:vAlign w:val="center"/>
          </w:tcPr>
          <w:p>
            <w:pPr>
              <w:spacing w:after="0" w:line="252" w:lineRule="auto"/>
            </w:pPr>
            <w:r>
              <w:rPr>
                <w:sz w:val="18"/>
              </w:rPr>
              <w:t>Track conversion with risk-adjusted partner quality.</w:t>
            </w:r>
          </w:p>
        </w:tc>
      </w:tr>
      <w:tr>
        <w:tc>
          <w:tcPr>
            <w:tcW w:w="1700" w:type="dxa"/>
            <w:shd w:val="clear" w:color="auto" w:fill="F8FAFC"/>
            <w:tcMar>
              <w:top w:w="80" w:type="dxa"/>
              <w:left w:w="120" w:type="dxa"/>
              <w:bottom w:w="80" w:type="dxa"/>
              <w:right w:w="120" w:type="dxa"/>
            </w:tcMar>
            <w:vAlign w:val="center"/>
          </w:tcPr>
          <w:p>
            <w:pPr>
              <w:spacing w:after="0" w:line="252" w:lineRule="auto"/>
            </w:pPr>
            <w:r>
              <w:rPr>
                <w:sz w:val="18"/>
              </w:rPr>
              <w:t>Current risk</w:t>
            </w:r>
          </w:p>
        </w:tc>
        <w:tc>
          <w:tcPr>
            <w:tcW w:w="3100" w:type="dxa"/>
            <w:shd w:val="clear" w:color="auto" w:fill="F8FAFC"/>
            <w:tcMar>
              <w:top w:w="80" w:type="dxa"/>
              <w:left w:w="120" w:type="dxa"/>
              <w:bottom w:w="80" w:type="dxa"/>
              <w:right w:w="120" w:type="dxa"/>
            </w:tcMar>
            <w:vAlign w:val="center"/>
          </w:tcPr>
          <w:p>
            <w:pPr>
              <w:spacing w:after="0" w:line="252" w:lineRule="auto"/>
            </w:pPr>
            <w:r>
              <w:rPr>
                <w:sz w:val="18"/>
              </w:rPr>
              <w:t>30+/60+/90+ account rates: 57.8% / 27.3% / 12.4%</w:t>
            </w:r>
          </w:p>
        </w:tc>
        <w:tc>
          <w:tcPr>
            <w:tcW w:w="4560" w:type="dxa"/>
            <w:shd w:val="clear" w:color="auto" w:fill="F8FAFC"/>
            <w:tcMar>
              <w:top w:w="80" w:type="dxa"/>
              <w:left w:w="120" w:type="dxa"/>
              <w:bottom w:w="80" w:type="dxa"/>
              <w:right w:w="120" w:type="dxa"/>
            </w:tcMar>
            <w:vAlign w:val="center"/>
          </w:tcPr>
          <w:p>
            <w:pPr>
              <w:spacing w:after="0" w:line="252" w:lineRule="auto"/>
            </w:pPr>
            <w:r>
              <w:rPr>
                <w:sz w:val="18"/>
              </w:rPr>
              <w:t>Use exposure-weighted PAR for capital and collections prioritization.</w:t>
            </w:r>
          </w:p>
        </w:tc>
      </w:tr>
      <w:tr>
        <w:tc>
          <w:tcPr>
            <w:tcW w:w="1700" w:type="dxa"/>
            <w:tcMar>
              <w:top w:w="80" w:type="dxa"/>
              <w:left w:w="120" w:type="dxa"/>
              <w:bottom w:w="80" w:type="dxa"/>
              <w:right w:w="120" w:type="dxa"/>
            </w:tcMar>
            <w:vAlign w:val="center"/>
          </w:tcPr>
          <w:p>
            <w:pPr>
              <w:spacing w:after="0" w:line="252" w:lineRule="auto"/>
            </w:pPr>
            <w:r>
              <w:rPr>
                <w:sz w:val="18"/>
              </w:rPr>
              <w:t>First payment</w:t>
            </w:r>
          </w:p>
        </w:tc>
        <w:tc>
          <w:tcPr>
            <w:tcW w:w="3100" w:type="dxa"/>
            <w:tcMar>
              <w:top w:w="80" w:type="dxa"/>
              <w:left w:w="120" w:type="dxa"/>
              <w:bottom w:w="80" w:type="dxa"/>
              <w:right w:w="120" w:type="dxa"/>
            </w:tcMar>
            <w:vAlign w:val="center"/>
          </w:tcPr>
          <w:p>
            <w:pPr>
              <w:spacing w:after="0" w:line="252" w:lineRule="auto"/>
            </w:pPr>
            <w:r>
              <w:rPr>
                <w:sz w:val="18"/>
              </w:rPr>
              <w:t>FPD rate: 23.1%</w:t>
            </w:r>
          </w:p>
        </w:tc>
        <w:tc>
          <w:tcPr>
            <w:tcW w:w="4560" w:type="dxa"/>
            <w:tcMar>
              <w:top w:w="80" w:type="dxa"/>
              <w:left w:w="120" w:type="dxa"/>
              <w:bottom w:w="80" w:type="dxa"/>
              <w:right w:w="120" w:type="dxa"/>
            </w:tcMar>
            <w:vAlign w:val="center"/>
          </w:tcPr>
          <w:p>
            <w:pPr>
              <w:spacing w:after="0" w:line="252" w:lineRule="auto"/>
            </w:pPr>
            <w:r>
              <w:rPr>
                <w:sz w:val="18"/>
              </w:rPr>
              <w:t>Escalate first-cycle misses because they often signal affordability, process or fraud risk.</w:t>
            </w:r>
          </w:p>
        </w:tc>
      </w:tr>
      <w:tr>
        <w:tc>
          <w:tcPr>
            <w:tcW w:w="1700" w:type="dxa"/>
            <w:shd w:val="clear" w:color="auto" w:fill="F8FAFC"/>
            <w:tcMar>
              <w:top w:w="80" w:type="dxa"/>
              <w:left w:w="120" w:type="dxa"/>
              <w:bottom w:w="80" w:type="dxa"/>
              <w:right w:w="120" w:type="dxa"/>
            </w:tcMar>
            <w:vAlign w:val="center"/>
          </w:tcPr>
          <w:p>
            <w:pPr>
              <w:spacing w:after="0" w:line="252" w:lineRule="auto"/>
            </w:pPr>
            <w:r>
              <w:rPr>
                <w:sz w:val="18"/>
              </w:rPr>
              <w:t>Early warning</w:t>
            </w:r>
          </w:p>
        </w:tc>
        <w:tc>
          <w:tcPr>
            <w:tcW w:w="3100" w:type="dxa"/>
            <w:shd w:val="clear" w:color="auto" w:fill="F8FAFC"/>
            <w:tcMar>
              <w:top w:w="80" w:type="dxa"/>
              <w:left w:w="120" w:type="dxa"/>
              <w:bottom w:w="80" w:type="dxa"/>
              <w:right w:w="120" w:type="dxa"/>
            </w:tcMar>
            <w:vAlign w:val="center"/>
          </w:tcPr>
          <w:p>
            <w:pPr>
              <w:spacing w:after="0" w:line="252" w:lineRule="auto"/>
            </w:pPr>
            <w:r>
              <w:rPr>
                <w:sz w:val="18"/>
              </w:rPr>
              <w:t>41 critical, 59 high, 12 watch accounts</w:t>
            </w:r>
          </w:p>
        </w:tc>
        <w:tc>
          <w:tcPr>
            <w:tcW w:w="4560" w:type="dxa"/>
            <w:shd w:val="clear" w:color="auto" w:fill="F8FAFC"/>
            <w:tcMar>
              <w:top w:w="80" w:type="dxa"/>
              <w:left w:w="120" w:type="dxa"/>
              <w:bottom w:w="80" w:type="dxa"/>
              <w:right w:w="120" w:type="dxa"/>
            </w:tcMar>
            <w:vAlign w:val="center"/>
          </w:tcPr>
          <w:p>
            <w:pPr>
              <w:spacing w:after="0" w:line="252" w:lineRule="auto"/>
            </w:pPr>
            <w:r>
              <w:rPr>
                <w:sz w:val="18"/>
              </w:rPr>
              <w:t>Route accounts into differentiated treatment queues.</w:t>
            </w:r>
          </w:p>
        </w:tc>
      </w:tr>
    </w:tbl>
    <w:p>
      <w:pPr>
        <w:spacing w:after="0"/>
      </w:pPr>
      <w:r>
        <w:t>Note: All observed results in this report are generated from deterministic synthetic data and illustrate the analytical method rather than actual lender performance.</w:t>
      </w:r>
    </w:p>
    <w:p>
      <w:r>
        <w:br w:type="page"/>
      </w:r>
    </w:p>
    <w:p>
      <w:pPr>
        <w:pStyle w:val="Heading1"/>
      </w:pPr>
      <w:r>
        <w:lastRenderedPageBreak/>
        <w:t>1. Business context and problem statement</w:t>
      </w:r>
    </w:p>
    <w:p>
      <w:r>
        <w:t>Digital lending performance can look healthy at origination while deteriorating after disbursal. Application conversion, bureau quality, lender economics and repayment outcomes are often managed in separate systems. That fragmentation makes it difficult to distinguish productive growth from risk-heavy growth and delays intervention on accounts beginning to roll forward.</w:t>
      </w:r>
    </w:p>
    <w:p>
      <w:pPr>
        <w:pStyle w:val="Heading2"/>
      </w:pPr>
      <w:r>
        <w:t>Business objective</w:t>
      </w:r>
    </w:p>
    <w:p>
      <w:r>
        <w:t>Build a single MySQL analytical layer and Tableau dashboard that connects customer bureau behavior, the application funnel, lender-partner performance and repayment risk at an auditable grain.</w:t>
      </w:r>
    </w:p>
    <w:p>
      <w:pPr>
        <w:pStyle w:val="Heading2"/>
      </w:pPr>
      <w:r>
        <w:t>Primary stakeholders</w:t>
      </w:r>
    </w:p>
    <w:tbl>
      <w:tblPr>
        <w:tblStyle w:val="TableGrid"/>
        <w:tblW w:w="9360" w:type="dxa"/>
        <w:tblInd w:w="120" w:type="dxa"/>
        <w:tblLayout w:type="fixed"/>
        <w:tblLook w:val="04A0" w:firstRow="1" w:lastRow="0" w:firstColumn="1" w:lastColumn="0" w:noHBand="0" w:noVBand="1"/>
      </w:tblPr>
      <w:tblGrid>
        <w:gridCol w:w="2300"/>
        <w:gridCol w:w="7060"/>
      </w:tblGrid>
      <w:tr>
        <w:trPr>
          <w:tblHeader/>
        </w:trPr>
        <w:tc>
          <w:tcPr>
            <w:tcW w:w="2300" w:type="dxa"/>
            <w:shd w:val="clear" w:color="auto" w:fill="E8EEF5"/>
            <w:tcMar>
              <w:top w:w="80" w:type="dxa"/>
              <w:left w:w="120" w:type="dxa"/>
              <w:bottom w:w="80" w:type="dxa"/>
              <w:right w:w="120" w:type="dxa"/>
            </w:tcMar>
            <w:vAlign w:val="center"/>
          </w:tcPr>
          <w:p>
            <w:pPr>
              <w:jc w:val="center"/>
            </w:pPr>
            <w:r>
              <w:rPr>
                <w:b/>
                <w:color w:val="16324F"/>
                <w:sz w:val="19"/>
              </w:rPr>
              <w:t>Stakeholder</w:t>
            </w:r>
          </w:p>
        </w:tc>
        <w:tc>
          <w:tcPr>
            <w:tcW w:w="7060" w:type="dxa"/>
            <w:shd w:val="clear" w:color="auto" w:fill="E8EEF5"/>
            <w:tcMar>
              <w:top w:w="80" w:type="dxa"/>
              <w:left w:w="120" w:type="dxa"/>
              <w:bottom w:w="80" w:type="dxa"/>
              <w:right w:w="120" w:type="dxa"/>
            </w:tcMar>
            <w:vAlign w:val="center"/>
          </w:tcPr>
          <w:p>
            <w:pPr>
              <w:jc w:val="center"/>
            </w:pPr>
            <w:r>
              <w:rPr>
                <w:b/>
                <w:color w:val="16324F"/>
                <w:sz w:val="19"/>
              </w:rPr>
              <w:t>Decision enabled</w:t>
            </w:r>
          </w:p>
        </w:tc>
      </w:tr>
      <w:tr>
        <w:tc>
          <w:tcPr>
            <w:tcW w:w="2300" w:type="dxa"/>
            <w:tcMar>
              <w:top w:w="80" w:type="dxa"/>
              <w:left w:w="120" w:type="dxa"/>
              <w:bottom w:w="80" w:type="dxa"/>
              <w:right w:w="120" w:type="dxa"/>
            </w:tcMar>
            <w:vAlign w:val="center"/>
          </w:tcPr>
          <w:p>
            <w:pPr>
              <w:spacing w:after="0" w:line="252" w:lineRule="auto"/>
            </w:pPr>
            <w:r>
              <w:rPr>
                <w:sz w:val="18"/>
              </w:rPr>
              <w:t>Executive / CRO</w:t>
            </w:r>
          </w:p>
        </w:tc>
        <w:tc>
          <w:tcPr>
            <w:tcW w:w="7060" w:type="dxa"/>
            <w:tcMar>
              <w:top w:w="80" w:type="dxa"/>
              <w:left w:w="120" w:type="dxa"/>
              <w:bottom w:w="80" w:type="dxa"/>
              <w:right w:w="120" w:type="dxa"/>
            </w:tcMar>
            <w:vAlign w:val="center"/>
          </w:tcPr>
          <w:p>
            <w:pPr>
              <w:spacing w:after="0" w:line="252" w:lineRule="auto"/>
            </w:pPr>
            <w:r>
              <w:rPr>
                <w:sz w:val="18"/>
              </w:rPr>
              <w:t>Risk-adjusted growth, lender comparison, PAR and vintage direction</w:t>
            </w:r>
          </w:p>
        </w:tc>
      </w:tr>
      <w:tr>
        <w:tc>
          <w:tcPr>
            <w:tcW w:w="2300" w:type="dxa"/>
            <w:shd w:val="clear" w:color="auto" w:fill="F8FAFC"/>
            <w:tcMar>
              <w:top w:w="80" w:type="dxa"/>
              <w:left w:w="120" w:type="dxa"/>
              <w:bottom w:w="80" w:type="dxa"/>
              <w:right w:w="120" w:type="dxa"/>
            </w:tcMar>
            <w:vAlign w:val="center"/>
          </w:tcPr>
          <w:p>
            <w:pPr>
              <w:spacing w:after="0" w:line="252" w:lineRule="auto"/>
            </w:pPr>
            <w:r>
              <w:rPr>
                <w:sz w:val="18"/>
              </w:rPr>
              <w:t>Credit policy</w:t>
            </w:r>
          </w:p>
        </w:tc>
        <w:tc>
          <w:tcPr>
            <w:tcW w:w="7060" w:type="dxa"/>
            <w:shd w:val="clear" w:color="auto" w:fill="F8FAFC"/>
            <w:tcMar>
              <w:top w:w="80" w:type="dxa"/>
              <w:left w:w="120" w:type="dxa"/>
              <w:bottom w:w="80" w:type="dxa"/>
              <w:right w:w="120" w:type="dxa"/>
            </w:tcMar>
            <w:vAlign w:val="center"/>
          </w:tcPr>
          <w:p>
            <w:pPr>
              <w:spacing w:after="0" w:line="252" w:lineRule="auto"/>
            </w:pPr>
            <w:r>
              <w:rPr>
                <w:sz w:val="18"/>
              </w:rPr>
              <w:t>Bureau-risk mix, approval outcomes and threshold review</w:t>
            </w:r>
          </w:p>
        </w:tc>
      </w:tr>
      <w:tr>
        <w:tc>
          <w:tcPr>
            <w:tcW w:w="2300" w:type="dxa"/>
            <w:tcMar>
              <w:top w:w="80" w:type="dxa"/>
              <w:left w:w="120" w:type="dxa"/>
              <w:bottom w:w="80" w:type="dxa"/>
              <w:right w:w="120" w:type="dxa"/>
            </w:tcMar>
            <w:vAlign w:val="center"/>
          </w:tcPr>
          <w:p>
            <w:pPr>
              <w:spacing w:after="0" w:line="252" w:lineRule="auto"/>
            </w:pPr>
            <w:r>
              <w:rPr>
                <w:sz w:val="18"/>
              </w:rPr>
              <w:t>Partnerships</w:t>
            </w:r>
          </w:p>
        </w:tc>
        <w:tc>
          <w:tcPr>
            <w:tcW w:w="7060" w:type="dxa"/>
            <w:tcMar>
              <w:top w:w="80" w:type="dxa"/>
              <w:left w:w="120" w:type="dxa"/>
              <w:bottom w:w="80" w:type="dxa"/>
              <w:right w:w="120" w:type="dxa"/>
            </w:tcMar>
            <w:vAlign w:val="center"/>
          </w:tcPr>
          <w:p>
            <w:pPr>
              <w:spacing w:after="0" w:line="252" w:lineRule="auto"/>
            </w:pPr>
            <w:r>
              <w:rPr>
                <w:sz w:val="18"/>
              </w:rPr>
              <w:t>Conversion, turnaround and quality by lender</w:t>
            </w:r>
          </w:p>
        </w:tc>
      </w:tr>
      <w:tr>
        <w:tc>
          <w:tcPr>
            <w:tcW w:w="2300" w:type="dxa"/>
            <w:shd w:val="clear" w:color="auto" w:fill="F8FAFC"/>
            <w:tcMar>
              <w:top w:w="80" w:type="dxa"/>
              <w:left w:w="120" w:type="dxa"/>
              <w:bottom w:w="80" w:type="dxa"/>
              <w:right w:w="120" w:type="dxa"/>
            </w:tcMar>
            <w:vAlign w:val="center"/>
          </w:tcPr>
          <w:p>
            <w:pPr>
              <w:spacing w:after="0" w:line="252" w:lineRule="auto"/>
            </w:pPr>
            <w:r>
              <w:rPr>
                <w:sz w:val="18"/>
              </w:rPr>
              <w:t>Collections</w:t>
            </w:r>
          </w:p>
        </w:tc>
        <w:tc>
          <w:tcPr>
            <w:tcW w:w="7060" w:type="dxa"/>
            <w:shd w:val="clear" w:color="auto" w:fill="F8FAFC"/>
            <w:tcMar>
              <w:top w:w="80" w:type="dxa"/>
              <w:left w:w="120" w:type="dxa"/>
              <w:bottom w:w="80" w:type="dxa"/>
              <w:right w:w="120" w:type="dxa"/>
            </w:tcMar>
            <w:vAlign w:val="center"/>
          </w:tcPr>
          <w:p>
            <w:pPr>
              <w:spacing w:after="0" w:line="252" w:lineRule="auto"/>
            </w:pPr>
            <w:r>
              <w:rPr>
                <w:sz w:val="18"/>
              </w:rPr>
              <w:t>DPD movement, FPD, roll rates and prioritized action queues</w:t>
            </w:r>
          </w:p>
        </w:tc>
      </w:tr>
      <w:tr>
        <w:tc>
          <w:tcPr>
            <w:tcW w:w="2300" w:type="dxa"/>
            <w:tcMar>
              <w:top w:w="80" w:type="dxa"/>
              <w:left w:w="120" w:type="dxa"/>
              <w:bottom w:w="80" w:type="dxa"/>
              <w:right w:w="120" w:type="dxa"/>
            </w:tcMar>
            <w:vAlign w:val="center"/>
          </w:tcPr>
          <w:p>
            <w:pPr>
              <w:spacing w:after="0" w:line="252" w:lineRule="auto"/>
            </w:pPr>
            <w:r>
              <w:rPr>
                <w:sz w:val="18"/>
              </w:rPr>
              <w:t>Data / BI</w:t>
            </w:r>
          </w:p>
        </w:tc>
        <w:tc>
          <w:tcPr>
            <w:tcW w:w="7060" w:type="dxa"/>
            <w:tcMar>
              <w:top w:w="80" w:type="dxa"/>
              <w:left w:w="120" w:type="dxa"/>
              <w:bottom w:w="80" w:type="dxa"/>
              <w:right w:w="120" w:type="dxa"/>
            </w:tcMar>
            <w:vAlign w:val="center"/>
          </w:tcPr>
          <w:p>
            <w:pPr>
              <w:spacing w:after="0" w:line="252" w:lineRule="auto"/>
            </w:pPr>
            <w:r>
              <w:rPr>
                <w:sz w:val="18"/>
              </w:rPr>
              <w:t>Metric governance, refresh reliability and reconciliation</w:t>
            </w:r>
          </w:p>
        </w:tc>
      </w:tr>
    </w:tbl>
    <w:p>
      <w:pPr>
        <w:pStyle w:val="Heading2"/>
      </w:pPr>
      <w:r>
        <w:t>Success criteria</w:t>
      </w:r>
    </w:p>
    <w:p>
      <w:pPr>
        <w:pStyle w:val="ListBullet"/>
        <w:spacing w:after="100"/>
        <w:ind w:left="720"/>
      </w:pPr>
      <w:r>
        <w:t>One governed definition for approval, disbursal, DPD, FPD, vintage, roll rate and PAR.</w:t>
      </w:r>
    </w:p>
    <w:p>
      <w:pPr>
        <w:pStyle w:val="ListBullet"/>
        <w:spacing w:after="100"/>
        <w:ind w:left="720"/>
      </w:pPr>
      <w:r>
        <w:t>Partner comparisons that balance conversion with downstream risk.</w:t>
      </w:r>
    </w:p>
    <w:p>
      <w:pPr>
        <w:pStyle w:val="ListBullet"/>
        <w:spacing w:after="100"/>
        <w:ind w:left="720"/>
      </w:pPr>
      <w:r>
        <w:t>Early-warning segmentation that explains each trigger and recommended treatment.</w:t>
      </w:r>
    </w:p>
    <w:p>
      <w:pPr>
        <w:pStyle w:val="ListBullet"/>
        <w:spacing w:after="100"/>
        <w:ind w:left="720"/>
      </w:pPr>
      <w:r>
        <w:t>Tableau sources separated by grain to prevent duplicate measures.</w:t>
      </w:r>
    </w:p>
    <w:p>
      <w:pPr>
        <w:pStyle w:val="ListBullet"/>
        <w:spacing w:after="100"/>
        <w:ind w:left="720"/>
      </w:pPr>
      <w:r>
        <w:t>Reconciliation checks that fail visibly before dashboard publication.</w:t>
      </w:r>
    </w:p>
    <w:p>
      <w:pPr>
        <w:pStyle w:val="Heading1"/>
      </w:pPr>
      <w:r>
        <w:lastRenderedPageBreak/>
        <w:t>2. Solution architecture</w:t>
      </w:r>
    </w:p>
    <w:p>
      <w:r>
        <w:rPr>
          <w:noProof/>
          <w:lang w:val="en-IN" w:eastAsia="en-IN"/>
        </w:rPr>
        <w:drawing>
          <wp:inline distT="0" distB="0" distL="0" distR="0" wp14:anchorId="6A67ACED" wp14:editId="2661E4F4">
            <wp:extent cx="5943600" cy="2456688"/>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5"/>
                    <a:stretch>
                      <a:fillRect/>
                    </a:stretch>
                  </pic:blipFill>
                  <pic:spPr>
                    <a:xfrm>
                      <a:off x="0" y="0"/>
                      <a:ext cx="5943600" cy="2456688"/>
                    </a:xfrm>
                    <a:prstGeom prst="rect">
                      <a:avLst/>
                    </a:prstGeom>
                  </pic:spPr>
                </pic:pic>
              </a:graphicData>
            </a:graphic>
          </wp:inline>
        </w:drawing>
      </w:r>
    </w:p>
    <w:p>
      <w:pPr>
        <w:spacing w:before="80" w:after="160"/>
        <w:jc w:val="center"/>
      </w:pPr>
      <w:r>
        <w:rPr>
          <w:i/>
          <w:color w:val="667085"/>
          <w:sz w:val="18"/>
        </w:rPr>
        <w:t>Figure 1. MySQL feature layer and Tableau consumption model</w:t>
      </w:r>
    </w:p>
    <w:p>
      <w:r>
        <w:t>Seven normalized source tables preserve operational grain. Twelve MySQL views aggregate those tables into purpose-built Tableau sources. Each dashboard sheet connects to the view matching its analytical grain; views are not physically joined in Tableau, avoiding fan-out and double counting.</w:t>
      </w:r>
    </w:p>
    <w:p>
      <w:r>
        <w:br w:type="page"/>
      </w:r>
    </w:p>
    <w:p>
      <w:pPr>
        <w:pStyle w:val="Heading1"/>
      </w:pPr>
      <w:r>
        <w:lastRenderedPageBreak/>
        <w:t>3. Data model</w:t>
      </w:r>
    </w:p>
    <w:tbl>
      <w:tblPr>
        <w:tblStyle w:val="TableGrid"/>
        <w:tblW w:w="9360" w:type="dxa"/>
        <w:tblInd w:w="120" w:type="dxa"/>
        <w:tblLayout w:type="fixed"/>
        <w:tblLook w:val="04A0" w:firstRow="1" w:lastRow="0" w:firstColumn="1" w:lastColumn="0" w:noHBand="0" w:noVBand="1"/>
      </w:tblPr>
      <w:tblGrid>
        <w:gridCol w:w="2400"/>
        <w:gridCol w:w="1700"/>
        <w:gridCol w:w="5260"/>
      </w:tblGrid>
      <w:tr>
        <w:trPr>
          <w:tblHeader/>
        </w:trPr>
        <w:tc>
          <w:tcPr>
            <w:tcW w:w="2400" w:type="dxa"/>
            <w:shd w:val="clear" w:color="auto" w:fill="E8EEF5"/>
            <w:tcMar>
              <w:top w:w="80" w:type="dxa"/>
              <w:left w:w="120" w:type="dxa"/>
              <w:bottom w:w="80" w:type="dxa"/>
              <w:right w:w="120" w:type="dxa"/>
            </w:tcMar>
            <w:vAlign w:val="center"/>
          </w:tcPr>
          <w:p>
            <w:pPr>
              <w:jc w:val="center"/>
            </w:pPr>
            <w:r>
              <w:rPr>
                <w:b/>
                <w:color w:val="16324F"/>
                <w:sz w:val="19"/>
              </w:rPr>
              <w:t>Table</w:t>
            </w:r>
          </w:p>
        </w:tc>
        <w:tc>
          <w:tcPr>
            <w:tcW w:w="1700" w:type="dxa"/>
            <w:shd w:val="clear" w:color="auto" w:fill="E8EEF5"/>
            <w:tcMar>
              <w:top w:w="80" w:type="dxa"/>
              <w:left w:w="120" w:type="dxa"/>
              <w:bottom w:w="80" w:type="dxa"/>
              <w:right w:w="120" w:type="dxa"/>
            </w:tcMar>
            <w:vAlign w:val="center"/>
          </w:tcPr>
          <w:p>
            <w:pPr>
              <w:jc w:val="center"/>
            </w:pPr>
            <w:r>
              <w:rPr>
                <w:b/>
                <w:color w:val="16324F"/>
                <w:sz w:val="19"/>
              </w:rPr>
              <w:t>Grain</w:t>
            </w:r>
          </w:p>
        </w:tc>
        <w:tc>
          <w:tcPr>
            <w:tcW w:w="5260" w:type="dxa"/>
            <w:shd w:val="clear" w:color="auto" w:fill="E8EEF5"/>
            <w:tcMar>
              <w:top w:w="80" w:type="dxa"/>
              <w:left w:w="120" w:type="dxa"/>
              <w:bottom w:w="80" w:type="dxa"/>
              <w:right w:w="120" w:type="dxa"/>
            </w:tcMar>
            <w:vAlign w:val="center"/>
          </w:tcPr>
          <w:p>
            <w:pPr>
              <w:jc w:val="center"/>
            </w:pPr>
            <w:r>
              <w:rPr>
                <w:b/>
                <w:color w:val="16324F"/>
                <w:sz w:val="19"/>
              </w:rPr>
              <w:t>Role</w:t>
            </w:r>
          </w:p>
        </w:tc>
      </w:tr>
      <w:tr>
        <w:tc>
          <w:tcPr>
            <w:tcW w:w="2400" w:type="dxa"/>
            <w:tcMar>
              <w:top w:w="80" w:type="dxa"/>
              <w:left w:w="120" w:type="dxa"/>
              <w:bottom w:w="80" w:type="dxa"/>
              <w:right w:w="120" w:type="dxa"/>
            </w:tcMar>
            <w:vAlign w:val="center"/>
          </w:tcPr>
          <w:p>
            <w:pPr>
              <w:spacing w:after="0" w:line="252" w:lineRule="auto"/>
            </w:pPr>
            <w:r>
              <w:rPr>
                <w:sz w:val="18"/>
              </w:rPr>
              <w:t>customers</w:t>
            </w:r>
          </w:p>
        </w:tc>
        <w:tc>
          <w:tcPr>
            <w:tcW w:w="1700" w:type="dxa"/>
            <w:tcMar>
              <w:top w:w="80" w:type="dxa"/>
              <w:left w:w="120" w:type="dxa"/>
              <w:bottom w:w="80" w:type="dxa"/>
              <w:right w:w="120" w:type="dxa"/>
            </w:tcMar>
            <w:vAlign w:val="center"/>
          </w:tcPr>
          <w:p>
            <w:pPr>
              <w:spacing w:after="0" w:line="252" w:lineRule="auto"/>
            </w:pPr>
            <w:r>
              <w:rPr>
                <w:sz w:val="18"/>
              </w:rPr>
              <w:t>Customer</w:t>
            </w:r>
          </w:p>
        </w:tc>
        <w:tc>
          <w:tcPr>
            <w:tcW w:w="5260" w:type="dxa"/>
            <w:tcMar>
              <w:top w:w="80" w:type="dxa"/>
              <w:left w:w="120" w:type="dxa"/>
              <w:bottom w:w="80" w:type="dxa"/>
              <w:right w:w="120" w:type="dxa"/>
            </w:tcMar>
            <w:vAlign w:val="center"/>
          </w:tcPr>
          <w:p>
            <w:pPr>
              <w:spacing w:after="0" w:line="252" w:lineRule="auto"/>
            </w:pPr>
            <w:r>
              <w:rPr>
                <w:sz w:val="18"/>
              </w:rPr>
              <w:t>Demographics, employment and income</w:t>
            </w:r>
          </w:p>
        </w:tc>
      </w:tr>
      <w:tr>
        <w:tc>
          <w:tcPr>
            <w:tcW w:w="2400" w:type="dxa"/>
            <w:shd w:val="clear" w:color="auto" w:fill="F8FAFC"/>
            <w:tcMar>
              <w:top w:w="80" w:type="dxa"/>
              <w:left w:w="120" w:type="dxa"/>
              <w:bottom w:w="80" w:type="dxa"/>
              <w:right w:w="120" w:type="dxa"/>
            </w:tcMar>
            <w:vAlign w:val="center"/>
          </w:tcPr>
          <w:p>
            <w:pPr>
              <w:spacing w:after="0" w:line="252" w:lineRule="auto"/>
            </w:pPr>
            <w:r>
              <w:rPr>
                <w:sz w:val="18"/>
              </w:rPr>
              <w:t>loan_applications</w:t>
            </w:r>
          </w:p>
        </w:tc>
        <w:tc>
          <w:tcPr>
            <w:tcW w:w="1700" w:type="dxa"/>
            <w:shd w:val="clear" w:color="auto" w:fill="F8FAFC"/>
            <w:tcMar>
              <w:top w:w="80" w:type="dxa"/>
              <w:left w:w="120" w:type="dxa"/>
              <w:bottom w:w="80" w:type="dxa"/>
              <w:right w:w="120" w:type="dxa"/>
            </w:tcMar>
            <w:vAlign w:val="center"/>
          </w:tcPr>
          <w:p>
            <w:pPr>
              <w:spacing w:after="0" w:line="252" w:lineRule="auto"/>
            </w:pPr>
            <w:r>
              <w:rPr>
                <w:sz w:val="18"/>
              </w:rPr>
              <w:t>Application</w:t>
            </w:r>
          </w:p>
        </w:tc>
        <w:tc>
          <w:tcPr>
            <w:tcW w:w="5260" w:type="dxa"/>
            <w:shd w:val="clear" w:color="auto" w:fill="F8FAFC"/>
            <w:tcMar>
              <w:top w:w="80" w:type="dxa"/>
              <w:left w:w="120" w:type="dxa"/>
              <w:bottom w:w="80" w:type="dxa"/>
              <w:right w:w="120" w:type="dxa"/>
            </w:tcMar>
            <w:vAlign w:val="center"/>
          </w:tcPr>
          <w:p>
            <w:pPr>
              <w:spacing w:after="0" w:line="252" w:lineRule="auto"/>
            </w:pPr>
            <w:r>
              <w:rPr>
                <w:sz w:val="18"/>
              </w:rPr>
              <w:t>Requested terms, funnel status and decision dates</w:t>
            </w:r>
          </w:p>
        </w:tc>
      </w:tr>
      <w:tr>
        <w:tc>
          <w:tcPr>
            <w:tcW w:w="2400" w:type="dxa"/>
            <w:tcMar>
              <w:top w:w="80" w:type="dxa"/>
              <w:left w:w="120" w:type="dxa"/>
              <w:bottom w:w="80" w:type="dxa"/>
              <w:right w:w="120" w:type="dxa"/>
            </w:tcMar>
            <w:vAlign w:val="center"/>
          </w:tcPr>
          <w:p>
            <w:pPr>
              <w:spacing w:after="0" w:line="252" w:lineRule="auto"/>
            </w:pPr>
            <w:r>
              <w:rPr>
                <w:sz w:val="18"/>
              </w:rPr>
              <w:t>bureau_tradelines</w:t>
            </w:r>
          </w:p>
        </w:tc>
        <w:tc>
          <w:tcPr>
            <w:tcW w:w="1700" w:type="dxa"/>
            <w:tcMar>
              <w:top w:w="80" w:type="dxa"/>
              <w:left w:w="120" w:type="dxa"/>
              <w:bottom w:w="80" w:type="dxa"/>
              <w:right w:w="120" w:type="dxa"/>
            </w:tcMar>
            <w:vAlign w:val="center"/>
          </w:tcPr>
          <w:p>
            <w:pPr>
              <w:spacing w:after="0" w:line="252" w:lineRule="auto"/>
            </w:pPr>
            <w:r>
              <w:rPr>
                <w:sz w:val="18"/>
              </w:rPr>
              <w:t>Tradeline</w:t>
            </w:r>
          </w:p>
        </w:tc>
        <w:tc>
          <w:tcPr>
            <w:tcW w:w="5260" w:type="dxa"/>
            <w:tcMar>
              <w:top w:w="80" w:type="dxa"/>
              <w:left w:w="120" w:type="dxa"/>
              <w:bottom w:w="80" w:type="dxa"/>
              <w:right w:w="120" w:type="dxa"/>
            </w:tcMar>
            <w:vAlign w:val="center"/>
          </w:tcPr>
          <w:p>
            <w:pPr>
              <w:spacing w:after="0" w:line="252" w:lineRule="auto"/>
            </w:pPr>
            <w:r>
              <w:rPr>
                <w:sz w:val="18"/>
              </w:rPr>
              <w:t>Balances, limits, overdue, security and DPD</w:t>
            </w:r>
          </w:p>
        </w:tc>
      </w:tr>
      <w:tr>
        <w:tc>
          <w:tcPr>
            <w:tcW w:w="2400" w:type="dxa"/>
            <w:shd w:val="clear" w:color="auto" w:fill="F8FAFC"/>
            <w:tcMar>
              <w:top w:w="80" w:type="dxa"/>
              <w:left w:w="120" w:type="dxa"/>
              <w:bottom w:w="80" w:type="dxa"/>
              <w:right w:w="120" w:type="dxa"/>
            </w:tcMar>
            <w:vAlign w:val="center"/>
          </w:tcPr>
          <w:p>
            <w:pPr>
              <w:spacing w:after="0" w:line="252" w:lineRule="auto"/>
            </w:pPr>
            <w:r>
              <w:rPr>
                <w:sz w:val="18"/>
              </w:rPr>
              <w:t>bureau_enquiries</w:t>
            </w:r>
          </w:p>
        </w:tc>
        <w:tc>
          <w:tcPr>
            <w:tcW w:w="1700" w:type="dxa"/>
            <w:shd w:val="clear" w:color="auto" w:fill="F8FAFC"/>
            <w:tcMar>
              <w:top w:w="80" w:type="dxa"/>
              <w:left w:w="120" w:type="dxa"/>
              <w:bottom w:w="80" w:type="dxa"/>
              <w:right w:w="120" w:type="dxa"/>
            </w:tcMar>
            <w:vAlign w:val="center"/>
          </w:tcPr>
          <w:p>
            <w:pPr>
              <w:spacing w:after="0" w:line="252" w:lineRule="auto"/>
            </w:pPr>
            <w:r>
              <w:rPr>
                <w:sz w:val="18"/>
              </w:rPr>
              <w:t>Enquiry</w:t>
            </w:r>
          </w:p>
        </w:tc>
        <w:tc>
          <w:tcPr>
            <w:tcW w:w="5260" w:type="dxa"/>
            <w:shd w:val="clear" w:color="auto" w:fill="F8FAFC"/>
            <w:tcMar>
              <w:top w:w="80" w:type="dxa"/>
              <w:left w:w="120" w:type="dxa"/>
              <w:bottom w:w="80" w:type="dxa"/>
              <w:right w:w="120" w:type="dxa"/>
            </w:tcMar>
            <w:vAlign w:val="center"/>
          </w:tcPr>
          <w:p>
            <w:pPr>
              <w:spacing w:after="0" w:line="252" w:lineRule="auto"/>
            </w:pPr>
            <w:r>
              <w:rPr>
                <w:sz w:val="18"/>
              </w:rPr>
              <w:t>Recent credit-seeking behavior</w:t>
            </w:r>
          </w:p>
        </w:tc>
      </w:tr>
      <w:tr>
        <w:tc>
          <w:tcPr>
            <w:tcW w:w="2400" w:type="dxa"/>
            <w:tcMar>
              <w:top w:w="80" w:type="dxa"/>
              <w:left w:w="120" w:type="dxa"/>
              <w:bottom w:w="80" w:type="dxa"/>
              <w:right w:w="120" w:type="dxa"/>
            </w:tcMar>
            <w:vAlign w:val="center"/>
          </w:tcPr>
          <w:p>
            <w:pPr>
              <w:spacing w:after="0" w:line="252" w:lineRule="auto"/>
            </w:pPr>
            <w:r>
              <w:rPr>
                <w:sz w:val="18"/>
              </w:rPr>
              <w:t>loan_accounts</w:t>
            </w:r>
          </w:p>
        </w:tc>
        <w:tc>
          <w:tcPr>
            <w:tcW w:w="1700" w:type="dxa"/>
            <w:tcMar>
              <w:top w:w="80" w:type="dxa"/>
              <w:left w:w="120" w:type="dxa"/>
              <w:bottom w:w="80" w:type="dxa"/>
              <w:right w:w="120" w:type="dxa"/>
            </w:tcMar>
            <w:vAlign w:val="center"/>
          </w:tcPr>
          <w:p>
            <w:pPr>
              <w:spacing w:after="0" w:line="252" w:lineRule="auto"/>
            </w:pPr>
            <w:r>
              <w:rPr>
                <w:sz w:val="18"/>
              </w:rPr>
              <w:t>Funded loan</w:t>
            </w:r>
          </w:p>
        </w:tc>
        <w:tc>
          <w:tcPr>
            <w:tcW w:w="5260" w:type="dxa"/>
            <w:tcMar>
              <w:top w:w="80" w:type="dxa"/>
              <w:left w:w="120" w:type="dxa"/>
              <w:bottom w:w="80" w:type="dxa"/>
              <w:right w:w="120" w:type="dxa"/>
            </w:tcMar>
            <w:vAlign w:val="center"/>
          </w:tcPr>
          <w:p>
            <w:pPr>
              <w:spacing w:after="0" w:line="252" w:lineRule="auto"/>
            </w:pPr>
            <w:r>
              <w:rPr>
                <w:sz w:val="18"/>
              </w:rPr>
              <w:t>Disbursal, pricing, tenure and account status</w:t>
            </w:r>
          </w:p>
        </w:tc>
      </w:tr>
      <w:tr>
        <w:tc>
          <w:tcPr>
            <w:tcW w:w="2400" w:type="dxa"/>
            <w:shd w:val="clear" w:color="auto" w:fill="F8FAFC"/>
            <w:tcMar>
              <w:top w:w="80" w:type="dxa"/>
              <w:left w:w="120" w:type="dxa"/>
              <w:bottom w:w="80" w:type="dxa"/>
              <w:right w:w="120" w:type="dxa"/>
            </w:tcMar>
            <w:vAlign w:val="center"/>
          </w:tcPr>
          <w:p>
            <w:pPr>
              <w:spacing w:after="0" w:line="252" w:lineRule="auto"/>
            </w:pPr>
            <w:r>
              <w:rPr>
                <w:sz w:val="18"/>
              </w:rPr>
              <w:t>monthly_repayments</w:t>
            </w:r>
          </w:p>
        </w:tc>
        <w:tc>
          <w:tcPr>
            <w:tcW w:w="1700" w:type="dxa"/>
            <w:shd w:val="clear" w:color="auto" w:fill="F8FAFC"/>
            <w:tcMar>
              <w:top w:w="80" w:type="dxa"/>
              <w:left w:w="120" w:type="dxa"/>
              <w:bottom w:w="80" w:type="dxa"/>
              <w:right w:w="120" w:type="dxa"/>
            </w:tcMar>
            <w:vAlign w:val="center"/>
          </w:tcPr>
          <w:p>
            <w:pPr>
              <w:spacing w:after="0" w:line="252" w:lineRule="auto"/>
            </w:pPr>
            <w:r>
              <w:rPr>
                <w:sz w:val="18"/>
              </w:rPr>
              <w:t>Installment</w:t>
            </w:r>
          </w:p>
        </w:tc>
        <w:tc>
          <w:tcPr>
            <w:tcW w:w="5260" w:type="dxa"/>
            <w:shd w:val="clear" w:color="auto" w:fill="F8FAFC"/>
            <w:tcMar>
              <w:top w:w="80" w:type="dxa"/>
              <w:left w:w="120" w:type="dxa"/>
              <w:bottom w:w="80" w:type="dxa"/>
              <w:right w:w="120" w:type="dxa"/>
            </w:tcMar>
            <w:vAlign w:val="center"/>
          </w:tcPr>
          <w:p>
            <w:pPr>
              <w:spacing w:after="0" w:line="252" w:lineRule="auto"/>
            </w:pPr>
            <w:r>
              <w:rPr>
                <w:sz w:val="18"/>
              </w:rPr>
              <w:t>Contractual due, paid amount, DPD and outstanding</w:t>
            </w:r>
          </w:p>
        </w:tc>
      </w:tr>
      <w:tr>
        <w:tc>
          <w:tcPr>
            <w:tcW w:w="2400" w:type="dxa"/>
            <w:tcMar>
              <w:top w:w="80" w:type="dxa"/>
              <w:left w:w="120" w:type="dxa"/>
              <w:bottom w:w="80" w:type="dxa"/>
              <w:right w:w="120" w:type="dxa"/>
            </w:tcMar>
            <w:vAlign w:val="center"/>
          </w:tcPr>
          <w:p>
            <w:pPr>
              <w:spacing w:after="0" w:line="252" w:lineRule="auto"/>
            </w:pPr>
            <w:r>
              <w:rPr>
                <w:sz w:val="18"/>
              </w:rPr>
              <w:t>lender_partners</w:t>
            </w:r>
          </w:p>
        </w:tc>
        <w:tc>
          <w:tcPr>
            <w:tcW w:w="1700" w:type="dxa"/>
            <w:tcMar>
              <w:top w:w="80" w:type="dxa"/>
              <w:left w:w="120" w:type="dxa"/>
              <w:bottom w:w="80" w:type="dxa"/>
              <w:right w:w="120" w:type="dxa"/>
            </w:tcMar>
            <w:vAlign w:val="center"/>
          </w:tcPr>
          <w:p>
            <w:pPr>
              <w:spacing w:after="0" w:line="252" w:lineRule="auto"/>
            </w:pPr>
            <w:r>
              <w:rPr>
                <w:sz w:val="18"/>
              </w:rPr>
              <w:t>Partner</w:t>
            </w:r>
          </w:p>
        </w:tc>
        <w:tc>
          <w:tcPr>
            <w:tcW w:w="5260" w:type="dxa"/>
            <w:tcMar>
              <w:top w:w="80" w:type="dxa"/>
              <w:left w:w="120" w:type="dxa"/>
              <w:bottom w:w="80" w:type="dxa"/>
              <w:right w:w="120" w:type="dxa"/>
            </w:tcMar>
            <w:vAlign w:val="center"/>
          </w:tcPr>
          <w:p>
            <w:pPr>
              <w:spacing w:after="0" w:line="252" w:lineRule="auto"/>
            </w:pPr>
            <w:r>
              <w:rPr>
                <w:sz w:val="18"/>
              </w:rPr>
              <w:t>Partner type, risk share and target APR</w:t>
            </w:r>
          </w:p>
        </w:tc>
      </w:tr>
    </w:tbl>
    <w:p>
      <w:pPr>
        <w:pStyle w:val="Heading2"/>
      </w:pPr>
      <w:r>
        <w:t>Analytical views</w:t>
      </w:r>
    </w:p>
    <w:p>
      <w:pPr>
        <w:pStyle w:val="ListBullet"/>
        <w:spacing w:after="100"/>
        <w:ind w:left="720"/>
      </w:pPr>
      <w:r>
        <w:t>Customer bureau features: utilization, balance-to-income, enquiries, delinquency history and risk band.</w:t>
      </w:r>
    </w:p>
    <w:p>
      <w:pPr>
        <w:pStyle w:val="ListBullet"/>
        <w:spacing w:after="100"/>
        <w:ind w:left="720"/>
      </w:pPr>
      <w:r>
        <w:t>Application funnel: submitted, bureau processed, approved, rejected and disbursed flags with cycle times.</w:t>
      </w:r>
    </w:p>
    <w:p>
      <w:pPr>
        <w:pStyle w:val="ListBullet"/>
        <w:spacing w:after="100"/>
        <w:ind w:left="720"/>
      </w:pPr>
      <w:r>
        <w:t>Partner risk: approval, conversion, account DPD, exposure-weighted PAR and FPD.</w:t>
      </w:r>
    </w:p>
    <w:p>
      <w:pPr>
        <w:pStyle w:val="ListBullet"/>
        <w:spacing w:after="100"/>
        <w:ind w:left="720"/>
      </w:pPr>
      <w:r>
        <w:t>Behavioral risk: delinquency trend, vintage/MOB, roll-rate matrix and current portfolio-at-risk.</w:t>
      </w:r>
    </w:p>
    <w:p>
      <w:pPr>
        <w:pStyle w:val="ListBullet"/>
        <w:spacing w:after="100"/>
        <w:ind w:left="720"/>
      </w:pPr>
      <w:r>
        <w:t>Early warning: interpretable flags, severity segment, warning score and recommended action.</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E8F1F8"/>
            <w:tcMar>
              <w:top w:w="80" w:type="dxa"/>
              <w:left w:w="120" w:type="dxa"/>
              <w:bottom w:w="80" w:type="dxa"/>
              <w:right w:w="120" w:type="dxa"/>
            </w:tcMar>
          </w:tcPr>
          <w:p>
            <w:pPr>
              <w:spacing w:after="40"/>
            </w:pPr>
            <w:r>
              <w:rPr>
                <w:b/>
                <w:color w:val="2E6F9E"/>
                <w:sz w:val="18"/>
              </w:rPr>
              <w:t>LEAKAGE CONTROL</w:t>
            </w:r>
          </w:p>
          <w:p>
            <w:pPr>
              <w:spacing w:after="0"/>
            </w:pPr>
            <w:r>
              <w:t>The demo bureau report is dated immediately before each application. Enquiries are bounded to the report date, preventing post-decision data from leaking into the application risk profile.</w:t>
            </w:r>
          </w:p>
        </w:tc>
      </w:tr>
    </w:tbl>
    <w:p>
      <w:pPr>
        <w:spacing w:after="60"/>
      </w:pPr>
    </w:p>
    <w:p>
      <w:pPr>
        <w:pStyle w:val="Heading1"/>
      </w:pPr>
      <w:r>
        <w:t>4. Metric framework</w:t>
      </w:r>
    </w:p>
    <w:tbl>
      <w:tblPr>
        <w:tblStyle w:val="TableGrid"/>
        <w:tblW w:w="9360" w:type="dxa"/>
        <w:tblInd w:w="120" w:type="dxa"/>
        <w:tblLayout w:type="fixed"/>
        <w:tblLook w:val="04A0" w:firstRow="1" w:lastRow="0" w:firstColumn="1" w:lastColumn="0" w:noHBand="0" w:noVBand="1"/>
      </w:tblPr>
      <w:tblGrid>
        <w:gridCol w:w="2100"/>
        <w:gridCol w:w="4860"/>
        <w:gridCol w:w="2400"/>
      </w:tblGrid>
      <w:tr>
        <w:trPr>
          <w:tblHeader/>
        </w:trPr>
        <w:tc>
          <w:tcPr>
            <w:tcW w:w="2100" w:type="dxa"/>
            <w:shd w:val="clear" w:color="auto" w:fill="E8EEF5"/>
            <w:tcMar>
              <w:top w:w="80" w:type="dxa"/>
              <w:left w:w="120" w:type="dxa"/>
              <w:bottom w:w="80" w:type="dxa"/>
              <w:right w:w="120" w:type="dxa"/>
            </w:tcMar>
            <w:vAlign w:val="center"/>
          </w:tcPr>
          <w:p>
            <w:pPr>
              <w:jc w:val="center"/>
            </w:pPr>
            <w:r>
              <w:rPr>
                <w:b/>
                <w:color w:val="16324F"/>
                <w:sz w:val="19"/>
              </w:rPr>
              <w:t>Metric</w:t>
            </w:r>
          </w:p>
        </w:tc>
        <w:tc>
          <w:tcPr>
            <w:tcW w:w="4860" w:type="dxa"/>
            <w:shd w:val="clear" w:color="auto" w:fill="E8EEF5"/>
            <w:tcMar>
              <w:top w:w="80" w:type="dxa"/>
              <w:left w:w="120" w:type="dxa"/>
              <w:bottom w:w="80" w:type="dxa"/>
              <w:right w:w="120" w:type="dxa"/>
            </w:tcMar>
            <w:vAlign w:val="center"/>
          </w:tcPr>
          <w:p>
            <w:pPr>
              <w:jc w:val="center"/>
            </w:pPr>
            <w:r>
              <w:rPr>
                <w:b/>
                <w:color w:val="16324F"/>
                <w:sz w:val="19"/>
              </w:rPr>
              <w:t>Definition</w:t>
            </w:r>
          </w:p>
        </w:tc>
        <w:tc>
          <w:tcPr>
            <w:tcW w:w="2400" w:type="dxa"/>
            <w:shd w:val="clear" w:color="auto" w:fill="E8EEF5"/>
            <w:tcMar>
              <w:top w:w="80" w:type="dxa"/>
              <w:left w:w="120" w:type="dxa"/>
              <w:bottom w:w="80" w:type="dxa"/>
              <w:right w:w="120" w:type="dxa"/>
            </w:tcMar>
            <w:vAlign w:val="center"/>
          </w:tcPr>
          <w:p>
            <w:pPr>
              <w:jc w:val="center"/>
            </w:pPr>
            <w:r>
              <w:rPr>
                <w:b/>
                <w:color w:val="16324F"/>
                <w:sz w:val="19"/>
              </w:rPr>
              <w:t>Grain</w:t>
            </w:r>
          </w:p>
        </w:tc>
      </w:tr>
      <w:tr>
        <w:tc>
          <w:tcPr>
            <w:tcW w:w="2100" w:type="dxa"/>
            <w:tcMar>
              <w:top w:w="80" w:type="dxa"/>
              <w:left w:w="120" w:type="dxa"/>
              <w:bottom w:w="80" w:type="dxa"/>
              <w:right w:w="120" w:type="dxa"/>
            </w:tcMar>
            <w:vAlign w:val="center"/>
          </w:tcPr>
          <w:p>
            <w:pPr>
              <w:spacing w:after="0" w:line="252" w:lineRule="auto"/>
            </w:pPr>
            <w:r>
              <w:rPr>
                <w:sz w:val="18"/>
              </w:rPr>
              <w:t>Approval rate</w:t>
            </w:r>
          </w:p>
        </w:tc>
        <w:tc>
          <w:tcPr>
            <w:tcW w:w="4860" w:type="dxa"/>
            <w:tcMar>
              <w:top w:w="80" w:type="dxa"/>
              <w:left w:w="120" w:type="dxa"/>
              <w:bottom w:w="80" w:type="dxa"/>
              <w:right w:w="120" w:type="dxa"/>
            </w:tcMar>
            <w:vAlign w:val="center"/>
          </w:tcPr>
          <w:p>
            <w:pPr>
              <w:spacing w:after="0" w:line="252" w:lineRule="auto"/>
            </w:pPr>
            <w:r>
              <w:rPr>
                <w:sz w:val="18"/>
              </w:rPr>
              <w:t>Approved applications / submitted applications</w:t>
            </w:r>
          </w:p>
        </w:tc>
        <w:tc>
          <w:tcPr>
            <w:tcW w:w="2400" w:type="dxa"/>
            <w:tcMar>
              <w:top w:w="80" w:type="dxa"/>
              <w:left w:w="120" w:type="dxa"/>
              <w:bottom w:w="80" w:type="dxa"/>
              <w:right w:w="120" w:type="dxa"/>
            </w:tcMar>
            <w:vAlign w:val="center"/>
          </w:tcPr>
          <w:p>
            <w:pPr>
              <w:spacing w:after="0" w:line="252" w:lineRule="auto"/>
            </w:pPr>
            <w:r>
              <w:rPr>
                <w:sz w:val="18"/>
              </w:rPr>
              <w:t>Application</w:t>
            </w:r>
          </w:p>
        </w:tc>
      </w:tr>
      <w:tr>
        <w:tc>
          <w:tcPr>
            <w:tcW w:w="2100" w:type="dxa"/>
            <w:shd w:val="clear" w:color="auto" w:fill="F8FAFC"/>
            <w:tcMar>
              <w:top w:w="80" w:type="dxa"/>
              <w:left w:w="120" w:type="dxa"/>
              <w:bottom w:w="80" w:type="dxa"/>
              <w:right w:w="120" w:type="dxa"/>
            </w:tcMar>
            <w:vAlign w:val="center"/>
          </w:tcPr>
          <w:p>
            <w:pPr>
              <w:spacing w:after="0" w:line="252" w:lineRule="auto"/>
            </w:pPr>
            <w:r>
              <w:rPr>
                <w:sz w:val="18"/>
              </w:rPr>
              <w:t>Approval-to-disbursal</w:t>
            </w:r>
          </w:p>
        </w:tc>
        <w:tc>
          <w:tcPr>
            <w:tcW w:w="4860" w:type="dxa"/>
            <w:shd w:val="clear" w:color="auto" w:fill="F8FAFC"/>
            <w:tcMar>
              <w:top w:w="80" w:type="dxa"/>
              <w:left w:w="120" w:type="dxa"/>
              <w:bottom w:w="80" w:type="dxa"/>
              <w:right w:w="120" w:type="dxa"/>
            </w:tcMar>
            <w:vAlign w:val="center"/>
          </w:tcPr>
          <w:p>
            <w:pPr>
              <w:spacing w:after="0" w:line="252" w:lineRule="auto"/>
            </w:pPr>
            <w:r>
              <w:rPr>
                <w:sz w:val="18"/>
              </w:rPr>
              <w:t>Disbursed applications / approved applications</w:t>
            </w:r>
          </w:p>
        </w:tc>
        <w:tc>
          <w:tcPr>
            <w:tcW w:w="2400" w:type="dxa"/>
            <w:shd w:val="clear" w:color="auto" w:fill="F8FAFC"/>
            <w:tcMar>
              <w:top w:w="80" w:type="dxa"/>
              <w:left w:w="120" w:type="dxa"/>
              <w:bottom w:w="80" w:type="dxa"/>
              <w:right w:w="120" w:type="dxa"/>
            </w:tcMar>
            <w:vAlign w:val="center"/>
          </w:tcPr>
          <w:p>
            <w:pPr>
              <w:spacing w:after="0" w:line="252" w:lineRule="auto"/>
            </w:pPr>
            <w:r>
              <w:rPr>
                <w:sz w:val="18"/>
              </w:rPr>
              <w:t>Application</w:t>
            </w:r>
          </w:p>
        </w:tc>
      </w:tr>
      <w:tr>
        <w:tc>
          <w:tcPr>
            <w:tcW w:w="2100" w:type="dxa"/>
            <w:tcMar>
              <w:top w:w="80" w:type="dxa"/>
              <w:left w:w="120" w:type="dxa"/>
              <w:bottom w:w="80" w:type="dxa"/>
              <w:right w:w="120" w:type="dxa"/>
            </w:tcMar>
            <w:vAlign w:val="center"/>
          </w:tcPr>
          <w:p>
            <w:pPr>
              <w:spacing w:after="0" w:line="252" w:lineRule="auto"/>
            </w:pPr>
            <w:r>
              <w:rPr>
                <w:sz w:val="18"/>
              </w:rPr>
              <w:t>30+/60+/90+ rate</w:t>
            </w:r>
          </w:p>
        </w:tc>
        <w:tc>
          <w:tcPr>
            <w:tcW w:w="4860" w:type="dxa"/>
            <w:tcMar>
              <w:top w:w="80" w:type="dxa"/>
              <w:left w:w="120" w:type="dxa"/>
              <w:bottom w:w="80" w:type="dxa"/>
              <w:right w:w="120" w:type="dxa"/>
            </w:tcMar>
            <w:vAlign w:val="center"/>
          </w:tcPr>
          <w:p>
            <w:pPr>
              <w:spacing w:after="0" w:line="252" w:lineRule="auto"/>
            </w:pPr>
            <w:r>
              <w:rPr>
                <w:sz w:val="18"/>
              </w:rPr>
              <w:t>Accounts at or beyond threshold / reporting accounts</w:t>
            </w:r>
          </w:p>
        </w:tc>
        <w:tc>
          <w:tcPr>
            <w:tcW w:w="2400" w:type="dxa"/>
            <w:tcMar>
              <w:top w:w="80" w:type="dxa"/>
              <w:left w:w="120" w:type="dxa"/>
              <w:bottom w:w="80" w:type="dxa"/>
              <w:right w:w="120" w:type="dxa"/>
            </w:tcMar>
            <w:vAlign w:val="center"/>
          </w:tcPr>
          <w:p>
            <w:pPr>
              <w:spacing w:after="0" w:line="252" w:lineRule="auto"/>
            </w:pPr>
            <w:r>
              <w:rPr>
                <w:sz w:val="18"/>
              </w:rPr>
              <w:t>Current account snapshot</w:t>
            </w:r>
          </w:p>
        </w:tc>
      </w:tr>
      <w:tr>
        <w:tc>
          <w:tcPr>
            <w:tcW w:w="2100" w:type="dxa"/>
            <w:shd w:val="clear" w:color="auto" w:fill="F8FAFC"/>
            <w:tcMar>
              <w:top w:w="80" w:type="dxa"/>
              <w:left w:w="120" w:type="dxa"/>
              <w:bottom w:w="80" w:type="dxa"/>
              <w:right w:w="120" w:type="dxa"/>
            </w:tcMar>
            <w:vAlign w:val="center"/>
          </w:tcPr>
          <w:p>
            <w:pPr>
              <w:spacing w:after="0" w:line="252" w:lineRule="auto"/>
            </w:pPr>
            <w:r>
              <w:rPr>
                <w:sz w:val="18"/>
              </w:rPr>
              <w:t>PAR 30/60/90</w:t>
            </w:r>
          </w:p>
        </w:tc>
        <w:tc>
          <w:tcPr>
            <w:tcW w:w="4860" w:type="dxa"/>
            <w:shd w:val="clear" w:color="auto" w:fill="F8FAFC"/>
            <w:tcMar>
              <w:top w:w="80" w:type="dxa"/>
              <w:left w:w="120" w:type="dxa"/>
              <w:bottom w:w="80" w:type="dxa"/>
              <w:right w:w="120" w:type="dxa"/>
            </w:tcMar>
            <w:vAlign w:val="center"/>
          </w:tcPr>
          <w:p>
            <w:pPr>
              <w:spacing w:after="0" w:line="252" w:lineRule="auto"/>
            </w:pPr>
            <w:r>
              <w:rPr>
                <w:sz w:val="18"/>
              </w:rPr>
              <w:t>Outstanding principal at or beyond threshold / total outstanding</w:t>
            </w:r>
          </w:p>
        </w:tc>
        <w:tc>
          <w:tcPr>
            <w:tcW w:w="2400" w:type="dxa"/>
            <w:shd w:val="clear" w:color="auto" w:fill="F8FAFC"/>
            <w:tcMar>
              <w:top w:w="80" w:type="dxa"/>
              <w:left w:w="120" w:type="dxa"/>
              <w:bottom w:w="80" w:type="dxa"/>
              <w:right w:w="120" w:type="dxa"/>
            </w:tcMar>
            <w:vAlign w:val="center"/>
          </w:tcPr>
          <w:p>
            <w:pPr>
              <w:spacing w:after="0" w:line="252" w:lineRule="auto"/>
            </w:pPr>
            <w:r>
              <w:rPr>
                <w:sz w:val="18"/>
              </w:rPr>
              <w:t>Current account snapshot</w:t>
            </w:r>
          </w:p>
        </w:tc>
      </w:tr>
      <w:tr>
        <w:tc>
          <w:tcPr>
            <w:tcW w:w="2100" w:type="dxa"/>
            <w:tcMar>
              <w:top w:w="80" w:type="dxa"/>
              <w:left w:w="120" w:type="dxa"/>
              <w:bottom w:w="80" w:type="dxa"/>
              <w:right w:w="120" w:type="dxa"/>
            </w:tcMar>
            <w:vAlign w:val="center"/>
          </w:tcPr>
          <w:p>
            <w:pPr>
              <w:spacing w:after="0" w:line="252" w:lineRule="auto"/>
            </w:pPr>
            <w:r>
              <w:rPr>
                <w:sz w:val="18"/>
              </w:rPr>
              <w:t>FPD</w:t>
            </w:r>
          </w:p>
        </w:tc>
        <w:tc>
          <w:tcPr>
            <w:tcW w:w="4860" w:type="dxa"/>
            <w:tcMar>
              <w:top w:w="80" w:type="dxa"/>
              <w:left w:w="120" w:type="dxa"/>
              <w:bottom w:w="80" w:type="dxa"/>
              <w:right w:w="120" w:type="dxa"/>
            </w:tcMar>
            <w:vAlign w:val="center"/>
          </w:tcPr>
          <w:p>
            <w:pPr>
              <w:spacing w:after="0" w:line="252" w:lineRule="auto"/>
            </w:pPr>
            <w:r>
              <w:rPr>
                <w:sz w:val="18"/>
              </w:rPr>
              <w:t>Loans with first installment 30+ / matured first installments</w:t>
            </w:r>
          </w:p>
        </w:tc>
        <w:tc>
          <w:tcPr>
            <w:tcW w:w="2400" w:type="dxa"/>
            <w:tcMar>
              <w:top w:w="80" w:type="dxa"/>
              <w:left w:w="120" w:type="dxa"/>
              <w:bottom w:w="80" w:type="dxa"/>
              <w:right w:w="120" w:type="dxa"/>
            </w:tcMar>
            <w:vAlign w:val="center"/>
          </w:tcPr>
          <w:p>
            <w:pPr>
              <w:spacing w:after="0" w:line="252" w:lineRule="auto"/>
            </w:pPr>
            <w:r>
              <w:rPr>
                <w:sz w:val="18"/>
              </w:rPr>
              <w:t>Funded loan</w:t>
            </w:r>
          </w:p>
        </w:tc>
      </w:tr>
      <w:tr>
        <w:tc>
          <w:tcPr>
            <w:tcW w:w="2100" w:type="dxa"/>
            <w:shd w:val="clear" w:color="auto" w:fill="F8FAFC"/>
            <w:tcMar>
              <w:top w:w="80" w:type="dxa"/>
              <w:left w:w="120" w:type="dxa"/>
              <w:bottom w:w="80" w:type="dxa"/>
              <w:right w:w="120" w:type="dxa"/>
            </w:tcMar>
            <w:vAlign w:val="center"/>
          </w:tcPr>
          <w:p>
            <w:pPr>
              <w:spacing w:after="0" w:line="252" w:lineRule="auto"/>
            </w:pPr>
            <w:r>
              <w:rPr>
                <w:sz w:val="18"/>
              </w:rPr>
              <w:t>Vintage curve</w:t>
            </w:r>
          </w:p>
        </w:tc>
        <w:tc>
          <w:tcPr>
            <w:tcW w:w="4860" w:type="dxa"/>
            <w:shd w:val="clear" w:color="auto" w:fill="F8FAFC"/>
            <w:tcMar>
              <w:top w:w="80" w:type="dxa"/>
              <w:left w:w="120" w:type="dxa"/>
              <w:bottom w:w="80" w:type="dxa"/>
              <w:right w:w="120" w:type="dxa"/>
            </w:tcMar>
            <w:vAlign w:val="center"/>
          </w:tcPr>
          <w:p>
            <w:pPr>
              <w:spacing w:after="0" w:line="252" w:lineRule="auto"/>
            </w:pPr>
            <w:r>
              <w:rPr>
                <w:sz w:val="18"/>
              </w:rPr>
              <w:t>PAR or DPD by origination month and MOB</w:t>
            </w:r>
          </w:p>
        </w:tc>
        <w:tc>
          <w:tcPr>
            <w:tcW w:w="2400" w:type="dxa"/>
            <w:shd w:val="clear" w:color="auto" w:fill="F8FAFC"/>
            <w:tcMar>
              <w:top w:w="80" w:type="dxa"/>
              <w:left w:w="120" w:type="dxa"/>
              <w:bottom w:w="80" w:type="dxa"/>
              <w:right w:w="120" w:type="dxa"/>
            </w:tcMar>
            <w:vAlign w:val="center"/>
          </w:tcPr>
          <w:p>
            <w:pPr>
              <w:spacing w:after="0" w:line="252" w:lineRule="auto"/>
            </w:pPr>
            <w:r>
              <w:rPr>
                <w:sz w:val="18"/>
              </w:rPr>
              <w:t>Vintage x MOB</w:t>
            </w:r>
          </w:p>
        </w:tc>
      </w:tr>
      <w:tr>
        <w:tc>
          <w:tcPr>
            <w:tcW w:w="2100" w:type="dxa"/>
            <w:tcMar>
              <w:top w:w="80" w:type="dxa"/>
              <w:left w:w="120" w:type="dxa"/>
              <w:bottom w:w="80" w:type="dxa"/>
              <w:right w:w="120" w:type="dxa"/>
            </w:tcMar>
            <w:vAlign w:val="center"/>
          </w:tcPr>
          <w:p>
            <w:pPr>
              <w:spacing w:after="0" w:line="252" w:lineRule="auto"/>
            </w:pPr>
            <w:r>
              <w:rPr>
                <w:sz w:val="18"/>
              </w:rPr>
              <w:t>Roll rate</w:t>
            </w:r>
          </w:p>
        </w:tc>
        <w:tc>
          <w:tcPr>
            <w:tcW w:w="4860" w:type="dxa"/>
            <w:tcMar>
              <w:top w:w="80" w:type="dxa"/>
              <w:left w:w="120" w:type="dxa"/>
              <w:bottom w:w="80" w:type="dxa"/>
              <w:right w:w="120" w:type="dxa"/>
            </w:tcMar>
            <w:vAlign w:val="center"/>
          </w:tcPr>
          <w:p>
            <w:pPr>
              <w:spacing w:after="0" w:line="252" w:lineRule="auto"/>
            </w:pPr>
            <w:r>
              <w:rPr>
                <w:sz w:val="18"/>
              </w:rPr>
              <w:t>Accounts moving bucket A to B / accounts starting in A</w:t>
            </w:r>
          </w:p>
        </w:tc>
        <w:tc>
          <w:tcPr>
            <w:tcW w:w="2400" w:type="dxa"/>
            <w:tcMar>
              <w:top w:w="80" w:type="dxa"/>
              <w:left w:w="120" w:type="dxa"/>
              <w:bottom w:w="80" w:type="dxa"/>
              <w:right w:w="120" w:type="dxa"/>
            </w:tcMar>
            <w:vAlign w:val="center"/>
          </w:tcPr>
          <w:p>
            <w:pPr>
              <w:spacing w:after="0" w:line="252" w:lineRule="auto"/>
            </w:pPr>
            <w:r>
              <w:rPr>
                <w:sz w:val="18"/>
              </w:rPr>
              <w:t>Month x transition</w:t>
            </w:r>
          </w:p>
        </w:tc>
      </w:tr>
    </w:tbl>
    <w:p>
      <w:r>
        <w:lastRenderedPageBreak/>
        <w:t>DPD buckets are CURRENT, 1-29, 30-59, 60-89 and 90+. Future NOT_DUE installments are excluded from matured performance denominators.</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FFF5DB"/>
            <w:tcMar>
              <w:top w:w="80" w:type="dxa"/>
              <w:left w:w="120" w:type="dxa"/>
              <w:bottom w:w="80" w:type="dxa"/>
              <w:right w:w="120" w:type="dxa"/>
            </w:tcMar>
          </w:tcPr>
          <w:p>
            <w:pPr>
              <w:spacing w:after="40"/>
            </w:pPr>
            <w:r>
              <w:rPr>
                <w:b/>
                <w:color w:val="D89B2B"/>
                <w:sz w:val="18"/>
              </w:rPr>
              <w:t>WHY BOTH ACCOUNT RATE AND PAR MATTER</w:t>
            </w:r>
          </w:p>
          <w:p>
            <w:pPr>
              <w:spacing w:after="0"/>
            </w:pPr>
            <w:r>
              <w:t>Account rates measure incidence. PAR measures capital exposure. A lender can have many small delinquent accounts but limited balance risk, or few large delinquent accounts with material exposure.</w:t>
            </w:r>
          </w:p>
        </w:tc>
      </w:tr>
    </w:tbl>
    <w:p>
      <w:pPr>
        <w:spacing w:after="60"/>
      </w:pPr>
    </w:p>
    <w:p>
      <w:r>
        <w:br w:type="page"/>
      </w:r>
    </w:p>
    <w:p>
      <w:pPr>
        <w:pStyle w:val="Heading1"/>
      </w:pPr>
      <w:r>
        <w:lastRenderedPageBreak/>
        <w:t>5. Dashboard - lender comparison and funnel</w:t>
      </w:r>
    </w:p>
    <w:p>
      <w:r>
        <w:rPr>
          <w:noProof/>
          <w:lang w:val="en-IN" w:eastAsia="en-IN"/>
        </w:rPr>
        <w:drawing>
          <wp:inline distT="0" distB="0" distL="0" distR="0" wp14:anchorId="14992ADA" wp14:editId="530DA83D">
            <wp:extent cx="5943600" cy="334327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01-overview.png"/>
                    <pic:cNvPicPr/>
                  </pic:nvPicPr>
                  <pic:blipFill>
                    <a:blip r:embed="rId6"/>
                    <a:stretch>
                      <a:fillRect/>
                    </a:stretch>
                  </pic:blipFill>
                  <pic:spPr>
                    <a:xfrm>
                      <a:off x="0" y="0"/>
                      <a:ext cx="5943600" cy="3343275"/>
                    </a:xfrm>
                    <a:prstGeom prst="rect">
                      <a:avLst/>
                    </a:prstGeom>
                  </pic:spPr>
                </pic:pic>
              </a:graphicData>
            </a:graphic>
          </wp:inline>
        </w:drawing>
      </w:r>
    </w:p>
    <w:p>
      <w:pPr>
        <w:spacing w:before="80" w:after="160"/>
        <w:jc w:val="center"/>
      </w:pPr>
      <w:r>
        <w:rPr>
          <w:i/>
          <w:color w:val="667085"/>
          <w:sz w:val="18"/>
        </w:rPr>
        <w:t>Figure 2. Executive lender and portfolio overview</w:t>
      </w:r>
    </w:p>
    <w:p>
      <w:r>
        <w:t>The opening dashboard places conversion and risk on the same screen. Partner ranking is deliberately not based on approval rate alone; it also exposes FPD, PAR 30 and outstanding exposure.</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E8F1F8"/>
            <w:tcMar>
              <w:top w:w="80" w:type="dxa"/>
              <w:left w:w="120" w:type="dxa"/>
              <w:bottom w:w="80" w:type="dxa"/>
              <w:right w:w="120" w:type="dxa"/>
            </w:tcMar>
          </w:tcPr>
          <w:p>
            <w:pPr>
              <w:spacing w:after="40"/>
            </w:pPr>
            <w:r>
              <w:rPr>
                <w:b/>
                <w:color w:val="2E6F9E"/>
                <w:sz w:val="18"/>
              </w:rPr>
              <w:t>DECISION INSIGHT</w:t>
            </w:r>
          </w:p>
          <w:p>
            <w:pPr>
              <w:spacing w:after="0"/>
            </w:pPr>
            <w:r>
              <w:t>Summit Capital has the strongest risk position in the simulated comparison at 50.9% PAR 30, while Trustline Bank requires the closest joint review at 76.3% PAR 30. Commercial allocation should use a conversion-plus-risk scorecard, not funnel volume alone.</w:t>
            </w:r>
          </w:p>
        </w:tc>
      </w:tr>
    </w:tbl>
    <w:p>
      <w:pPr>
        <w:spacing w:after="60"/>
      </w:pPr>
    </w:p>
    <w:p>
      <w:r>
        <w:br w:type="page"/>
      </w:r>
    </w:p>
    <w:p>
      <w:pPr>
        <w:pStyle w:val="Heading1"/>
      </w:pPr>
      <w:r>
        <w:lastRenderedPageBreak/>
        <w:t>6. Dashboard - bureau-risk profile</w:t>
      </w:r>
    </w:p>
    <w:p>
      <w:r>
        <w:rPr>
          <w:noProof/>
          <w:lang w:val="en-IN" w:eastAsia="en-IN"/>
        </w:rPr>
        <w:drawing>
          <wp:inline distT="0" distB="0" distL="0" distR="0" wp14:anchorId="4DFC0B18" wp14:editId="594276E0">
            <wp:extent cx="5943600" cy="3343275"/>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02-bureau.png"/>
                    <pic:cNvPicPr/>
                  </pic:nvPicPr>
                  <pic:blipFill>
                    <a:blip r:embed="rId7"/>
                    <a:stretch>
                      <a:fillRect/>
                    </a:stretch>
                  </pic:blipFill>
                  <pic:spPr>
                    <a:xfrm>
                      <a:off x="0" y="0"/>
                      <a:ext cx="5943600" cy="3343275"/>
                    </a:xfrm>
                    <a:prstGeom prst="rect">
                      <a:avLst/>
                    </a:prstGeom>
                  </pic:spPr>
                </pic:pic>
              </a:graphicData>
            </a:graphic>
          </wp:inline>
        </w:drawing>
      </w:r>
    </w:p>
    <w:p>
      <w:pPr>
        <w:spacing w:before="80" w:after="160"/>
        <w:jc w:val="center"/>
      </w:pPr>
      <w:r>
        <w:rPr>
          <w:i/>
          <w:color w:val="667085"/>
          <w:sz w:val="18"/>
        </w:rPr>
        <w:t>Figure 3. Bureau-risk profile and approval stratification</w:t>
      </w:r>
    </w:p>
    <w:p>
      <w:r>
        <w:t>The bureau profile segments the applicant population before performance outcomes are considered. 269 of 600 customers fall into HIGH or VERY HIGH risk based on prior DPD, write-off indicators or high utilization.</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FFF5DB"/>
            <w:tcMar>
              <w:top w:w="80" w:type="dxa"/>
              <w:left w:w="120" w:type="dxa"/>
              <w:bottom w:w="80" w:type="dxa"/>
              <w:right w:w="120" w:type="dxa"/>
            </w:tcMar>
          </w:tcPr>
          <w:p>
            <w:pPr>
              <w:spacing w:after="40"/>
            </w:pPr>
            <w:r>
              <w:rPr>
                <w:b/>
                <w:color w:val="D89B2B"/>
                <w:sz w:val="18"/>
              </w:rPr>
              <w:t>POLICY INSIGHT</w:t>
            </w:r>
          </w:p>
          <w:p>
            <w:pPr>
              <w:spacing w:after="0"/>
            </w:pPr>
            <w:r>
              <w:t>Approval rates should decrease as bureau risk rises. Any inversion by partner, product or channel is a prompt to examine override policy, bureau timing, affordability and fraud controls.</w:t>
            </w:r>
          </w:p>
        </w:tc>
      </w:tr>
    </w:tbl>
    <w:p>
      <w:pPr>
        <w:spacing w:after="60"/>
      </w:pPr>
    </w:p>
    <w:p>
      <w:r>
        <w:br w:type="page"/>
      </w:r>
    </w:p>
    <w:p>
      <w:pPr>
        <w:pStyle w:val="Heading1"/>
      </w:pPr>
      <w:r>
        <w:lastRenderedPageBreak/>
        <w:t>7. Dashboard - delinquency and vintage</w:t>
      </w:r>
    </w:p>
    <w:p>
      <w:r>
        <w:rPr>
          <w:noProof/>
          <w:lang w:val="en-IN" w:eastAsia="en-IN"/>
        </w:rPr>
        <w:drawing>
          <wp:inline distT="0" distB="0" distL="0" distR="0" wp14:anchorId="65D76370" wp14:editId="130EA764">
            <wp:extent cx="5943600" cy="3343275"/>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03-delinquency.png"/>
                    <pic:cNvPicPr/>
                  </pic:nvPicPr>
                  <pic:blipFill>
                    <a:blip r:embed="rId8"/>
                    <a:stretch>
                      <a:fillRect/>
                    </a:stretch>
                  </pic:blipFill>
                  <pic:spPr>
                    <a:xfrm>
                      <a:off x="0" y="0"/>
                      <a:ext cx="5943600" cy="3343275"/>
                    </a:xfrm>
                    <a:prstGeom prst="rect">
                      <a:avLst/>
                    </a:prstGeom>
                  </pic:spPr>
                </pic:pic>
              </a:graphicData>
            </a:graphic>
          </wp:inline>
        </w:drawing>
      </w:r>
    </w:p>
    <w:p>
      <w:pPr>
        <w:spacing w:before="80" w:after="160"/>
        <w:jc w:val="center"/>
      </w:pPr>
      <w:r>
        <w:rPr>
          <w:i/>
          <w:color w:val="667085"/>
          <w:sz w:val="18"/>
        </w:rPr>
        <w:t>Figure 4. Delinquency trend, vintage heatmap and roll-rate matrix</w:t>
      </w:r>
    </w:p>
    <w:p>
      <w:r>
        <w:t>The trend view shows portfolio direction, while the vintage heatmap compares cohorts at the same age. The roll-rate matrix separates stable accounts, cures and forward migration, which is more actionable than a single delinquency total.</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E8F1F8"/>
            <w:tcMar>
              <w:top w:w="80" w:type="dxa"/>
              <w:left w:w="120" w:type="dxa"/>
              <w:bottom w:w="80" w:type="dxa"/>
              <w:right w:w="120" w:type="dxa"/>
            </w:tcMar>
          </w:tcPr>
          <w:p>
            <w:pPr>
              <w:spacing w:after="40"/>
            </w:pPr>
            <w:r>
              <w:rPr>
                <w:b/>
                <w:color w:val="2E6F9E"/>
                <w:sz w:val="18"/>
              </w:rPr>
              <w:t>COLLECTIONS INSIGHT</w:t>
            </w:r>
          </w:p>
          <w:p>
            <w:pPr>
              <w:spacing w:after="0"/>
            </w:pPr>
            <w:r>
              <w:t>Current account 30+ is 57.8% and exposure-weighted PAR 30 is 62.3%. The gap indicates whether delinquency is concentrated in larger or smaller accounts and should influence queue priority.</w:t>
            </w:r>
          </w:p>
        </w:tc>
      </w:tr>
    </w:tbl>
    <w:p>
      <w:pPr>
        <w:spacing w:after="60"/>
      </w:pPr>
    </w:p>
    <w:p>
      <w:r>
        <w:br w:type="page"/>
      </w:r>
    </w:p>
    <w:p>
      <w:pPr>
        <w:pStyle w:val="Heading1"/>
      </w:pPr>
      <w:r>
        <w:lastRenderedPageBreak/>
        <w:t>8. Dashboard - alerts and recommendations</w:t>
      </w:r>
    </w:p>
    <w:p>
      <w:r>
        <w:rPr>
          <w:noProof/>
          <w:lang w:val="en-IN" w:eastAsia="en-IN"/>
        </w:rPr>
        <w:drawing>
          <wp:inline distT="0" distB="0" distL="0" distR="0" wp14:anchorId="343869CA" wp14:editId="733F48A4">
            <wp:extent cx="5943600" cy="3343275"/>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04-alerts.png"/>
                    <pic:cNvPicPr/>
                  </pic:nvPicPr>
                  <pic:blipFill>
                    <a:blip r:embed="rId9"/>
                    <a:stretch>
                      <a:fillRect/>
                    </a:stretch>
                  </pic:blipFill>
                  <pic:spPr>
                    <a:xfrm>
                      <a:off x="0" y="0"/>
                      <a:ext cx="5943600" cy="3343275"/>
                    </a:xfrm>
                    <a:prstGeom prst="rect">
                      <a:avLst/>
                    </a:prstGeom>
                  </pic:spPr>
                </pic:pic>
              </a:graphicData>
            </a:graphic>
          </wp:inline>
        </w:drawing>
      </w:r>
    </w:p>
    <w:p>
      <w:pPr>
        <w:spacing w:before="80" w:after="160"/>
        <w:jc w:val="center"/>
      </w:pPr>
      <w:r>
        <w:rPr>
          <w:i/>
          <w:color w:val="667085"/>
          <w:sz w:val="18"/>
        </w:rPr>
        <w:t>Figure 5. Early-warning exposure and prioritized account queue</w:t>
      </w:r>
    </w:p>
    <w:p>
      <w:r>
        <w:t>The alert queue translates risk signals into operating actions. Severity uses current DPD, FPD, repeat shortfalls, worsening DPD, bureau utilization and enquiry intensity. The score is a sorting aid, not an automated credit decision.</w:t>
      </w:r>
    </w:p>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FBEAEA"/>
            <w:tcMar>
              <w:top w:w="80" w:type="dxa"/>
              <w:left w:w="120" w:type="dxa"/>
              <w:bottom w:w="80" w:type="dxa"/>
              <w:right w:w="120" w:type="dxa"/>
            </w:tcMar>
          </w:tcPr>
          <w:p>
            <w:pPr>
              <w:spacing w:after="40"/>
            </w:pPr>
            <w:r>
              <w:rPr>
                <w:b/>
                <w:color w:val="C94C4C"/>
                <w:sz w:val="18"/>
              </w:rPr>
              <w:t>ACTION INSIGHT</w:t>
            </w:r>
          </w:p>
          <w:p>
            <w:pPr>
              <w:spacing w:after="0"/>
            </w:pPr>
            <w:r>
              <w:t>The current queue contains 41 critical and 59 high-risk accounts. Treatment should begin with the highest exposure inside each severity segment, with overrides recorded for auditability.</w:t>
            </w:r>
          </w:p>
        </w:tc>
      </w:tr>
    </w:tbl>
    <w:p>
      <w:pPr>
        <w:spacing w:after="60"/>
      </w:pPr>
    </w:p>
    <w:p>
      <w:r>
        <w:br w:type="page"/>
      </w:r>
    </w:p>
    <w:p>
      <w:pPr>
        <w:pStyle w:val="Heading1"/>
      </w:pPr>
      <w:r>
        <w:lastRenderedPageBreak/>
        <w:t>9. Findings and recommendations</w:t>
      </w:r>
    </w:p>
    <w:p>
      <w:pPr>
        <w:pStyle w:val="Heading2"/>
      </w:pPr>
      <w:r>
        <w:t>Finding 1 - Conversion must be risk adjusted</w:t>
      </w:r>
    </w:p>
    <w:p>
      <w:r>
        <w:t>Approval rate and disbursal volume are incomplete partner KPIs. The lender comparison shows how similar origination volumes can produce different FPD and PAR outcomes.</w:t>
      </w:r>
    </w:p>
    <w:p>
      <w:pPr>
        <w:pStyle w:val="ListBullet"/>
        <w:spacing w:after="100"/>
        <w:ind w:left="720"/>
      </w:pPr>
      <w:r>
        <w:t>Adopt a quarterly partner scorecard combining approval, approval-to-disbursal, FPD, PAR 30, PAR 90 and vintage deterioration.</w:t>
      </w:r>
    </w:p>
    <w:p>
      <w:pPr>
        <w:pStyle w:val="ListBullet"/>
        <w:spacing w:after="100"/>
        <w:ind w:left="720"/>
      </w:pPr>
      <w:r>
        <w:t>Move incremental allocation only after controlling for product, ticket size, bureau band and cohort age.</w:t>
      </w:r>
    </w:p>
    <w:p>
      <w:pPr>
        <w:pStyle w:val="Heading2"/>
      </w:pPr>
      <w:r>
        <w:t>Finding 2 - First-cycle performance is an operational control point</w:t>
      </w:r>
    </w:p>
    <w:p>
      <w:r>
        <w:t>The simulated FPD rate is 23.1%. First-installment failure can indicate affordability stress, mandate failure, onboarding defects or fraud and therefore merits a separate intervention path.</w:t>
      </w:r>
    </w:p>
    <w:p>
      <w:pPr>
        <w:pStyle w:val="ListBullet"/>
        <w:spacing w:after="100"/>
        <w:ind w:left="720"/>
      </w:pPr>
      <w:r>
        <w:t>Trigger outreach before and immediately after the first due date; monitor auto-debit setup and failed mandates.</w:t>
      </w:r>
    </w:p>
    <w:p>
      <w:pPr>
        <w:pStyle w:val="ListBullet"/>
        <w:spacing w:after="100"/>
        <w:ind w:left="720"/>
      </w:pPr>
      <w:r>
        <w:t>Review FPD by partner, channel and risk band before changing underwriting thresholds.</w:t>
      </w:r>
    </w:p>
    <w:p>
      <w:pPr>
        <w:pStyle w:val="Heading2"/>
      </w:pPr>
      <w:r>
        <w:t>Finding 3 - Early warning should be treatment-oriented</w:t>
      </w:r>
    </w:p>
    <w:p>
      <w:r>
        <w:t>A warning score is useful only when it leads to a clear action. The dashboard pairs each account with a segment and recommended response, allowing collections managers to manage capacity and monitor outcomes.</w:t>
      </w:r>
    </w:p>
    <w:p>
      <w:pPr>
        <w:pStyle w:val="ListBullet"/>
        <w:spacing w:after="100"/>
        <w:ind w:left="720"/>
      </w:pPr>
      <w:r>
        <w:t>Critical: late-stage collections and restructuring assessment.</w:t>
      </w:r>
    </w:p>
    <w:p>
      <w:pPr>
        <w:pStyle w:val="ListBullet"/>
        <w:spacing w:after="100"/>
        <w:ind w:left="720"/>
      </w:pPr>
      <w:r>
        <w:t>High: priority outreach, hardship/payment-date review, and pause new exposure.</w:t>
      </w:r>
    </w:p>
    <w:p>
      <w:pPr>
        <w:pStyle w:val="ListBullet"/>
        <w:spacing w:after="100"/>
        <w:ind w:left="720"/>
      </w:pPr>
      <w:r>
        <w:t>Watch: reminder, bureau refresh where appropriate, and increased monitoring frequency.</w:t>
      </w:r>
    </w:p>
    <w:p>
      <w:pPr>
        <w:pStyle w:val="Heading2"/>
      </w:pPr>
      <w:r>
        <w:t>Finding 4 - Vintage and roll rates detect deterioration earlier</w:t>
      </w:r>
    </w:p>
    <w:p>
      <w:r>
        <w:t>Static PAR answers where the book stands today. Vintage and roll-rate views explain whether new cohorts are worsening faster and where accounts migrate, enabling policy or collections changes before aggregate PAR fully reflects the shift.</w:t>
      </w:r>
    </w:p>
    <w:p>
      <w:pPr>
        <w:pStyle w:val="Heading1"/>
      </w:pPr>
      <w:r>
        <w:t>10. Operating model</w:t>
      </w:r>
    </w:p>
    <w:tbl>
      <w:tblPr>
        <w:tblStyle w:val="TableGrid"/>
        <w:tblW w:w="9360" w:type="dxa"/>
        <w:tblInd w:w="120" w:type="dxa"/>
        <w:tblLayout w:type="fixed"/>
        <w:tblLook w:val="04A0" w:firstRow="1" w:lastRow="0" w:firstColumn="1" w:lastColumn="0" w:noHBand="0" w:noVBand="1"/>
      </w:tblPr>
      <w:tblGrid>
        <w:gridCol w:w="1300"/>
        <w:gridCol w:w="3000"/>
        <w:gridCol w:w="1900"/>
        <w:gridCol w:w="3160"/>
      </w:tblGrid>
      <w:tr>
        <w:trPr>
          <w:tblHeader/>
        </w:trPr>
        <w:tc>
          <w:tcPr>
            <w:tcW w:w="1300" w:type="dxa"/>
            <w:shd w:val="clear" w:color="auto" w:fill="E8EEF5"/>
            <w:tcMar>
              <w:top w:w="80" w:type="dxa"/>
              <w:left w:w="120" w:type="dxa"/>
              <w:bottom w:w="80" w:type="dxa"/>
              <w:right w:w="120" w:type="dxa"/>
            </w:tcMar>
            <w:vAlign w:val="center"/>
          </w:tcPr>
          <w:p>
            <w:pPr>
              <w:jc w:val="center"/>
            </w:pPr>
            <w:r>
              <w:rPr>
                <w:b/>
                <w:color w:val="16324F"/>
                <w:sz w:val="19"/>
              </w:rPr>
              <w:t>Cadence</w:t>
            </w:r>
          </w:p>
        </w:tc>
        <w:tc>
          <w:tcPr>
            <w:tcW w:w="3000" w:type="dxa"/>
            <w:shd w:val="clear" w:color="auto" w:fill="E8EEF5"/>
            <w:tcMar>
              <w:top w:w="80" w:type="dxa"/>
              <w:left w:w="120" w:type="dxa"/>
              <w:bottom w:w="80" w:type="dxa"/>
              <w:right w:w="120" w:type="dxa"/>
            </w:tcMar>
            <w:vAlign w:val="center"/>
          </w:tcPr>
          <w:p>
            <w:pPr>
              <w:jc w:val="center"/>
            </w:pPr>
            <w:r>
              <w:rPr>
                <w:b/>
                <w:color w:val="16324F"/>
                <w:sz w:val="19"/>
              </w:rPr>
              <w:t>Dataset / decision</w:t>
            </w:r>
          </w:p>
        </w:tc>
        <w:tc>
          <w:tcPr>
            <w:tcW w:w="1900" w:type="dxa"/>
            <w:shd w:val="clear" w:color="auto" w:fill="E8EEF5"/>
            <w:tcMar>
              <w:top w:w="80" w:type="dxa"/>
              <w:left w:w="120" w:type="dxa"/>
              <w:bottom w:w="80" w:type="dxa"/>
              <w:right w:w="120" w:type="dxa"/>
            </w:tcMar>
            <w:vAlign w:val="center"/>
          </w:tcPr>
          <w:p>
            <w:pPr>
              <w:jc w:val="center"/>
            </w:pPr>
            <w:r>
              <w:rPr>
                <w:b/>
                <w:color w:val="16324F"/>
                <w:sz w:val="19"/>
              </w:rPr>
              <w:t>Owner</w:t>
            </w:r>
          </w:p>
        </w:tc>
        <w:tc>
          <w:tcPr>
            <w:tcW w:w="3160" w:type="dxa"/>
            <w:shd w:val="clear" w:color="auto" w:fill="E8EEF5"/>
            <w:tcMar>
              <w:top w:w="80" w:type="dxa"/>
              <w:left w:w="120" w:type="dxa"/>
              <w:bottom w:w="80" w:type="dxa"/>
              <w:right w:w="120" w:type="dxa"/>
            </w:tcMar>
            <w:vAlign w:val="center"/>
          </w:tcPr>
          <w:p>
            <w:pPr>
              <w:jc w:val="center"/>
            </w:pPr>
            <w:r>
              <w:rPr>
                <w:b/>
                <w:color w:val="16324F"/>
                <w:sz w:val="19"/>
              </w:rPr>
              <w:t>Control</w:t>
            </w:r>
          </w:p>
        </w:tc>
      </w:tr>
      <w:tr>
        <w:tc>
          <w:tcPr>
            <w:tcW w:w="1300" w:type="dxa"/>
            <w:tcMar>
              <w:top w:w="80" w:type="dxa"/>
              <w:left w:w="120" w:type="dxa"/>
              <w:bottom w:w="80" w:type="dxa"/>
              <w:right w:w="120" w:type="dxa"/>
            </w:tcMar>
            <w:vAlign w:val="center"/>
          </w:tcPr>
          <w:p>
            <w:pPr>
              <w:spacing w:after="0" w:line="252" w:lineRule="auto"/>
            </w:pPr>
            <w:r>
              <w:rPr>
                <w:sz w:val="18"/>
              </w:rPr>
              <w:t>Daily</w:t>
            </w:r>
          </w:p>
        </w:tc>
        <w:tc>
          <w:tcPr>
            <w:tcW w:w="3000" w:type="dxa"/>
            <w:tcMar>
              <w:top w:w="80" w:type="dxa"/>
              <w:left w:w="120" w:type="dxa"/>
              <w:bottom w:w="80" w:type="dxa"/>
              <w:right w:w="120" w:type="dxa"/>
            </w:tcMar>
            <w:vAlign w:val="center"/>
          </w:tcPr>
          <w:p>
            <w:pPr>
              <w:spacing w:after="0" w:line="252" w:lineRule="auto"/>
            </w:pPr>
            <w:r>
              <w:rPr>
                <w:sz w:val="18"/>
              </w:rPr>
              <w:t>Applications, decisions, disbursals, payments</w:t>
            </w:r>
          </w:p>
        </w:tc>
        <w:tc>
          <w:tcPr>
            <w:tcW w:w="1900" w:type="dxa"/>
            <w:tcMar>
              <w:top w:w="80" w:type="dxa"/>
              <w:left w:w="120" w:type="dxa"/>
              <w:bottom w:w="80" w:type="dxa"/>
              <w:right w:w="120" w:type="dxa"/>
            </w:tcMar>
            <w:vAlign w:val="center"/>
          </w:tcPr>
          <w:p>
            <w:pPr>
              <w:spacing w:after="0" w:line="252" w:lineRule="auto"/>
            </w:pPr>
            <w:r>
              <w:rPr>
                <w:sz w:val="18"/>
              </w:rPr>
              <w:t>Data Engineering</w:t>
            </w:r>
          </w:p>
        </w:tc>
        <w:tc>
          <w:tcPr>
            <w:tcW w:w="3160" w:type="dxa"/>
            <w:tcMar>
              <w:top w:w="80" w:type="dxa"/>
              <w:left w:w="120" w:type="dxa"/>
              <w:bottom w:w="80" w:type="dxa"/>
              <w:right w:w="120" w:type="dxa"/>
            </w:tcMar>
            <w:vAlign w:val="center"/>
          </w:tcPr>
          <w:p>
            <w:pPr>
              <w:spacing w:after="0" w:line="252" w:lineRule="auto"/>
            </w:pPr>
            <w:r>
              <w:rPr>
                <w:sz w:val="18"/>
              </w:rPr>
              <w:t>Row counts, freshness, orphan checks</w:t>
            </w:r>
          </w:p>
        </w:tc>
      </w:tr>
      <w:tr>
        <w:tc>
          <w:tcPr>
            <w:tcW w:w="1300" w:type="dxa"/>
            <w:shd w:val="clear" w:color="auto" w:fill="F8FAFC"/>
            <w:tcMar>
              <w:top w:w="80" w:type="dxa"/>
              <w:left w:w="120" w:type="dxa"/>
              <w:bottom w:w="80" w:type="dxa"/>
              <w:right w:w="120" w:type="dxa"/>
            </w:tcMar>
            <w:vAlign w:val="center"/>
          </w:tcPr>
          <w:p>
            <w:pPr>
              <w:spacing w:after="0" w:line="252" w:lineRule="auto"/>
            </w:pPr>
            <w:r>
              <w:rPr>
                <w:sz w:val="18"/>
              </w:rPr>
              <w:t>Weekly</w:t>
            </w:r>
          </w:p>
        </w:tc>
        <w:tc>
          <w:tcPr>
            <w:tcW w:w="3000" w:type="dxa"/>
            <w:shd w:val="clear" w:color="auto" w:fill="F8FAFC"/>
            <w:tcMar>
              <w:top w:w="80" w:type="dxa"/>
              <w:left w:w="120" w:type="dxa"/>
              <w:bottom w:w="80" w:type="dxa"/>
              <w:right w:w="120" w:type="dxa"/>
            </w:tcMar>
            <w:vAlign w:val="center"/>
          </w:tcPr>
          <w:p>
            <w:pPr>
              <w:spacing w:after="0" w:line="252" w:lineRule="auto"/>
            </w:pPr>
            <w:r>
              <w:rPr>
                <w:sz w:val="18"/>
              </w:rPr>
              <w:t>Early-warning and collections queue</w:t>
            </w:r>
          </w:p>
        </w:tc>
        <w:tc>
          <w:tcPr>
            <w:tcW w:w="1900" w:type="dxa"/>
            <w:shd w:val="clear" w:color="auto" w:fill="F8FAFC"/>
            <w:tcMar>
              <w:top w:w="80" w:type="dxa"/>
              <w:left w:w="120" w:type="dxa"/>
              <w:bottom w:w="80" w:type="dxa"/>
              <w:right w:w="120" w:type="dxa"/>
            </w:tcMar>
            <w:vAlign w:val="center"/>
          </w:tcPr>
          <w:p>
            <w:pPr>
              <w:spacing w:after="0" w:line="252" w:lineRule="auto"/>
            </w:pPr>
            <w:r>
              <w:rPr>
                <w:sz w:val="18"/>
              </w:rPr>
              <w:t>Collections Risk</w:t>
            </w:r>
          </w:p>
        </w:tc>
        <w:tc>
          <w:tcPr>
            <w:tcW w:w="3160" w:type="dxa"/>
            <w:shd w:val="clear" w:color="auto" w:fill="F8FAFC"/>
            <w:tcMar>
              <w:top w:w="80" w:type="dxa"/>
              <w:left w:w="120" w:type="dxa"/>
              <w:bottom w:w="80" w:type="dxa"/>
              <w:right w:w="120" w:type="dxa"/>
            </w:tcMar>
            <w:vAlign w:val="center"/>
          </w:tcPr>
          <w:p>
            <w:pPr>
              <w:spacing w:after="0" w:line="252" w:lineRule="auto"/>
            </w:pPr>
            <w:r>
              <w:rPr>
                <w:sz w:val="18"/>
              </w:rPr>
              <w:t>Queue coverage, contact outcome, cures</w:t>
            </w:r>
          </w:p>
        </w:tc>
      </w:tr>
      <w:tr>
        <w:tc>
          <w:tcPr>
            <w:tcW w:w="1300" w:type="dxa"/>
            <w:tcMar>
              <w:top w:w="80" w:type="dxa"/>
              <w:left w:w="120" w:type="dxa"/>
              <w:bottom w:w="80" w:type="dxa"/>
              <w:right w:w="120" w:type="dxa"/>
            </w:tcMar>
            <w:vAlign w:val="center"/>
          </w:tcPr>
          <w:p>
            <w:pPr>
              <w:spacing w:after="0" w:line="252" w:lineRule="auto"/>
            </w:pPr>
            <w:r>
              <w:rPr>
                <w:sz w:val="18"/>
              </w:rPr>
              <w:lastRenderedPageBreak/>
              <w:t>Monthly</w:t>
            </w:r>
          </w:p>
        </w:tc>
        <w:tc>
          <w:tcPr>
            <w:tcW w:w="3000" w:type="dxa"/>
            <w:tcMar>
              <w:top w:w="80" w:type="dxa"/>
              <w:left w:w="120" w:type="dxa"/>
              <w:bottom w:w="80" w:type="dxa"/>
              <w:right w:w="120" w:type="dxa"/>
            </w:tcMar>
            <w:vAlign w:val="center"/>
          </w:tcPr>
          <w:p>
            <w:pPr>
              <w:spacing w:after="0" w:line="252" w:lineRule="auto"/>
            </w:pPr>
            <w:r>
              <w:rPr>
                <w:sz w:val="18"/>
              </w:rPr>
              <w:t>DPD, PAR, FPD, vintage and roll rates</w:t>
            </w:r>
          </w:p>
        </w:tc>
        <w:tc>
          <w:tcPr>
            <w:tcW w:w="1900" w:type="dxa"/>
            <w:tcMar>
              <w:top w:w="80" w:type="dxa"/>
              <w:left w:w="120" w:type="dxa"/>
              <w:bottom w:w="80" w:type="dxa"/>
              <w:right w:w="120" w:type="dxa"/>
            </w:tcMar>
            <w:vAlign w:val="center"/>
          </w:tcPr>
          <w:p>
            <w:pPr>
              <w:spacing w:after="0" w:line="252" w:lineRule="auto"/>
            </w:pPr>
            <w:r>
              <w:rPr>
                <w:sz w:val="18"/>
              </w:rPr>
              <w:t>Portfolio Risk</w:t>
            </w:r>
          </w:p>
        </w:tc>
        <w:tc>
          <w:tcPr>
            <w:tcW w:w="3160" w:type="dxa"/>
            <w:tcMar>
              <w:top w:w="80" w:type="dxa"/>
              <w:left w:w="120" w:type="dxa"/>
              <w:bottom w:w="80" w:type="dxa"/>
              <w:right w:w="120" w:type="dxa"/>
            </w:tcMar>
            <w:vAlign w:val="center"/>
          </w:tcPr>
          <w:p>
            <w:pPr>
              <w:spacing w:after="0" w:line="252" w:lineRule="auto"/>
            </w:pPr>
            <w:r>
              <w:rPr>
                <w:sz w:val="18"/>
              </w:rPr>
              <w:t>Ledger reconciliation and cohort sign-off</w:t>
            </w:r>
          </w:p>
        </w:tc>
      </w:tr>
      <w:tr>
        <w:tc>
          <w:tcPr>
            <w:tcW w:w="1300" w:type="dxa"/>
            <w:shd w:val="clear" w:color="auto" w:fill="F8FAFC"/>
            <w:tcMar>
              <w:top w:w="80" w:type="dxa"/>
              <w:left w:w="120" w:type="dxa"/>
              <w:bottom w:w="80" w:type="dxa"/>
              <w:right w:w="120" w:type="dxa"/>
            </w:tcMar>
            <w:vAlign w:val="center"/>
          </w:tcPr>
          <w:p>
            <w:pPr>
              <w:spacing w:after="0" w:line="252" w:lineRule="auto"/>
            </w:pPr>
            <w:r>
              <w:rPr>
                <w:sz w:val="18"/>
              </w:rPr>
              <w:t>Quarterly</w:t>
            </w:r>
          </w:p>
        </w:tc>
        <w:tc>
          <w:tcPr>
            <w:tcW w:w="3000" w:type="dxa"/>
            <w:shd w:val="clear" w:color="auto" w:fill="F8FAFC"/>
            <w:tcMar>
              <w:top w:w="80" w:type="dxa"/>
              <w:left w:w="120" w:type="dxa"/>
              <w:bottom w:w="80" w:type="dxa"/>
              <w:right w:w="120" w:type="dxa"/>
            </w:tcMar>
            <w:vAlign w:val="center"/>
          </w:tcPr>
          <w:p>
            <w:pPr>
              <w:spacing w:after="0" w:line="252" w:lineRule="auto"/>
            </w:pPr>
            <w:r>
              <w:rPr>
                <w:sz w:val="18"/>
              </w:rPr>
              <w:t>Partner scorecard and allocation</w:t>
            </w:r>
          </w:p>
        </w:tc>
        <w:tc>
          <w:tcPr>
            <w:tcW w:w="1900" w:type="dxa"/>
            <w:shd w:val="clear" w:color="auto" w:fill="F8FAFC"/>
            <w:tcMar>
              <w:top w:w="80" w:type="dxa"/>
              <w:left w:w="120" w:type="dxa"/>
              <w:bottom w:w="80" w:type="dxa"/>
              <w:right w:w="120" w:type="dxa"/>
            </w:tcMar>
            <w:vAlign w:val="center"/>
          </w:tcPr>
          <w:p>
            <w:pPr>
              <w:spacing w:after="0" w:line="252" w:lineRule="auto"/>
            </w:pPr>
            <w:r>
              <w:rPr>
                <w:sz w:val="18"/>
              </w:rPr>
              <w:t>Risk + Partnerships</w:t>
            </w:r>
          </w:p>
        </w:tc>
        <w:tc>
          <w:tcPr>
            <w:tcW w:w="3160" w:type="dxa"/>
            <w:shd w:val="clear" w:color="auto" w:fill="F8FAFC"/>
            <w:tcMar>
              <w:top w:w="80" w:type="dxa"/>
              <w:left w:w="120" w:type="dxa"/>
              <w:bottom w:w="80" w:type="dxa"/>
              <w:right w:w="120" w:type="dxa"/>
            </w:tcMar>
            <w:vAlign w:val="center"/>
          </w:tcPr>
          <w:p>
            <w:pPr>
              <w:spacing w:after="0" w:line="252" w:lineRule="auto"/>
            </w:pPr>
            <w:r>
              <w:rPr>
                <w:sz w:val="18"/>
              </w:rPr>
              <w:t>Risk-adjusted economics and policy actions</w:t>
            </w:r>
          </w:p>
        </w:tc>
      </w:tr>
    </w:tbl>
    <w:p>
      <w:pPr>
        <w:pStyle w:val="Heading2"/>
      </w:pPr>
      <w:r>
        <w:t>Tableau interaction model</w:t>
      </w:r>
    </w:p>
    <w:p>
      <w:pPr>
        <w:pStyle w:val="ListBullet"/>
        <w:spacing w:after="100"/>
        <w:ind w:left="720"/>
      </w:pPr>
      <w:r>
        <w:t>Partner selection filters every main sheet using partner name.</w:t>
      </w:r>
    </w:p>
    <w:p>
      <w:pPr>
        <w:pStyle w:val="ListBullet"/>
        <w:spacing w:after="100"/>
        <w:ind w:left="720"/>
      </w:pPr>
      <w:r>
        <w:t>Bureau-risk selection highlights the corresponding application population.</w:t>
      </w:r>
    </w:p>
    <w:p>
      <w:pPr>
        <w:pStyle w:val="ListBullet"/>
        <w:spacing w:after="100"/>
        <w:ind w:left="720"/>
      </w:pPr>
      <w:r>
        <w:t>Delinquency trend navigates to the roll-rate drill-through.</w:t>
      </w:r>
    </w:p>
    <w:p>
      <w:pPr>
        <w:pStyle w:val="ListBullet"/>
        <w:spacing w:after="100"/>
        <w:ind w:left="720"/>
      </w:pPr>
      <w:r>
        <w:t>Risk alerts sort by severity, warning score and exposure.</w:t>
      </w:r>
    </w:p>
    <w:p>
      <w:pPr>
        <w:pStyle w:val="ListBullet"/>
        <w:spacing w:after="100"/>
        <w:ind w:left="720"/>
      </w:pPr>
      <w:r>
        <w:t>Reset controls restore the portfolio view and the subtitle displays data freshness.</w:t>
      </w:r>
    </w:p>
    <w:p>
      <w:pPr>
        <w:pStyle w:val="Heading2"/>
      </w:pPr>
      <w:r>
        <w:t>Refresh pattern</w:t>
      </w:r>
    </w:p>
    <w:p>
      <w:r>
        <w:t>Load operational tables into MySQL, run data-quality gates, refresh or materialize the analytical views, then refresh Tableau extracts. Production should use an enterprise reporting-date control rather than a hard-coded demo cut-off.</w:t>
      </w:r>
    </w:p>
    <w:p>
      <w:r>
        <w:br w:type="page"/>
      </w:r>
    </w:p>
    <w:p>
      <w:pPr>
        <w:pStyle w:val="Heading1"/>
      </w:pPr>
      <w:r>
        <w:lastRenderedPageBreak/>
        <w:t>11. Governance, limitations and next steps</w:t>
      </w:r>
    </w:p>
    <w:p>
      <w:pPr>
        <w:pStyle w:val="Heading2"/>
      </w:pPr>
      <w:r>
        <w:t>Governance requirements</w:t>
      </w:r>
    </w:p>
    <w:p>
      <w:pPr>
        <w:pStyle w:val="ListBullet"/>
        <w:spacing w:after="100"/>
        <w:ind w:left="720"/>
      </w:pPr>
      <w:r>
        <w:t>Tokenize customer identifiers and restrict bureau attributes using least privilege.</w:t>
      </w:r>
    </w:p>
    <w:p>
      <w:pPr>
        <w:pStyle w:val="ListBullet"/>
        <w:spacing w:after="100"/>
        <w:ind w:left="720"/>
      </w:pPr>
      <w:r>
        <w:t>Retain bureau consent, purpose and permissible-use evidence.</w:t>
      </w:r>
    </w:p>
    <w:p>
      <w:pPr>
        <w:pStyle w:val="ListBullet"/>
        <w:spacing w:after="100"/>
        <w:ind w:left="720"/>
      </w:pPr>
      <w:r>
        <w:t>Version metric definitions and threshold changes; record manual overrides.</w:t>
      </w:r>
    </w:p>
    <w:p>
      <w:pPr>
        <w:pStyle w:val="ListBullet"/>
        <w:spacing w:after="100"/>
        <w:ind w:left="720"/>
      </w:pPr>
      <w:r>
        <w:t>Reconcile funded principal and outstanding exposure to finance and servicing ledgers.</w:t>
      </w:r>
    </w:p>
    <w:p>
      <w:pPr>
        <w:pStyle w:val="ListBullet"/>
        <w:spacing w:after="100"/>
        <w:ind w:left="720"/>
      </w:pPr>
      <w:r>
        <w:t>Test fairness, drift and stability before any early-warning signal influences a credit decision.</w:t>
      </w:r>
    </w:p>
    <w:p>
      <w:pPr>
        <w:pStyle w:val="Heading2"/>
      </w:pPr>
      <w:r>
        <w:t>Case-study limitations</w:t>
      </w:r>
    </w:p>
    <w:p>
      <w:r>
        <w:t>This report uses a deterministic synthetic portfolio designed to exercise every metric and dashboard state. It does not estimate expected credit loss, profitability, fraud probability or causal partner performance. DPD behavior is generated at contractual installment grain, and the alert rules are interpretable examples rather than validated predictive models.</w:t>
      </w:r>
    </w:p>
    <w:p>
      <w:pPr>
        <w:pStyle w:val="Heading2"/>
      </w:pPr>
      <w:r>
        <w:t>Recommended production extensions</w:t>
      </w:r>
    </w:p>
    <w:tbl>
      <w:tblPr>
        <w:tblStyle w:val="TableGrid"/>
        <w:tblW w:w="9360" w:type="dxa"/>
        <w:tblInd w:w="120" w:type="dxa"/>
        <w:tblLayout w:type="fixed"/>
        <w:tblLook w:val="04A0" w:firstRow="1" w:lastRow="0" w:firstColumn="1" w:lastColumn="0" w:noHBand="0" w:noVBand="1"/>
      </w:tblPr>
      <w:tblGrid>
        <w:gridCol w:w="1400"/>
        <w:gridCol w:w="4800"/>
        <w:gridCol w:w="3160"/>
      </w:tblGrid>
      <w:tr>
        <w:trPr>
          <w:tblHeader/>
        </w:trPr>
        <w:tc>
          <w:tcPr>
            <w:tcW w:w="1400" w:type="dxa"/>
            <w:shd w:val="clear" w:color="auto" w:fill="E8EEF5"/>
            <w:tcMar>
              <w:top w:w="80" w:type="dxa"/>
              <w:left w:w="120" w:type="dxa"/>
              <w:bottom w:w="80" w:type="dxa"/>
              <w:right w:w="120" w:type="dxa"/>
            </w:tcMar>
            <w:vAlign w:val="center"/>
          </w:tcPr>
          <w:p>
            <w:pPr>
              <w:jc w:val="center"/>
            </w:pPr>
            <w:r>
              <w:rPr>
                <w:b/>
                <w:color w:val="16324F"/>
                <w:sz w:val="19"/>
              </w:rPr>
              <w:t>Phase</w:t>
            </w:r>
          </w:p>
        </w:tc>
        <w:tc>
          <w:tcPr>
            <w:tcW w:w="4800" w:type="dxa"/>
            <w:shd w:val="clear" w:color="auto" w:fill="E8EEF5"/>
            <w:tcMar>
              <w:top w:w="80" w:type="dxa"/>
              <w:left w:w="120" w:type="dxa"/>
              <w:bottom w:w="80" w:type="dxa"/>
              <w:right w:w="120" w:type="dxa"/>
            </w:tcMar>
            <w:vAlign w:val="center"/>
          </w:tcPr>
          <w:p>
            <w:pPr>
              <w:jc w:val="center"/>
            </w:pPr>
            <w:r>
              <w:rPr>
                <w:b/>
                <w:color w:val="16324F"/>
                <w:sz w:val="19"/>
              </w:rPr>
              <w:t>Extension</w:t>
            </w:r>
          </w:p>
        </w:tc>
        <w:tc>
          <w:tcPr>
            <w:tcW w:w="3160" w:type="dxa"/>
            <w:shd w:val="clear" w:color="auto" w:fill="E8EEF5"/>
            <w:tcMar>
              <w:top w:w="80" w:type="dxa"/>
              <w:left w:w="120" w:type="dxa"/>
              <w:bottom w:w="80" w:type="dxa"/>
              <w:right w:w="120" w:type="dxa"/>
            </w:tcMar>
            <w:vAlign w:val="center"/>
          </w:tcPr>
          <w:p>
            <w:pPr>
              <w:jc w:val="center"/>
            </w:pPr>
            <w:r>
              <w:rPr>
                <w:b/>
                <w:color w:val="16324F"/>
                <w:sz w:val="19"/>
              </w:rPr>
              <w:t>Outcome</w:t>
            </w:r>
          </w:p>
        </w:tc>
      </w:tr>
      <w:tr>
        <w:tc>
          <w:tcPr>
            <w:tcW w:w="1400" w:type="dxa"/>
            <w:tcMar>
              <w:top w:w="80" w:type="dxa"/>
              <w:left w:w="120" w:type="dxa"/>
              <w:bottom w:w="80" w:type="dxa"/>
              <w:right w:w="120" w:type="dxa"/>
            </w:tcMar>
            <w:vAlign w:val="center"/>
          </w:tcPr>
          <w:p>
            <w:pPr>
              <w:spacing w:after="0" w:line="252" w:lineRule="auto"/>
            </w:pPr>
            <w:r>
              <w:rPr>
                <w:sz w:val="18"/>
              </w:rPr>
              <w:t>Phase 1</w:t>
            </w:r>
          </w:p>
        </w:tc>
        <w:tc>
          <w:tcPr>
            <w:tcW w:w="4800" w:type="dxa"/>
            <w:tcMar>
              <w:top w:w="80" w:type="dxa"/>
              <w:left w:w="120" w:type="dxa"/>
              <w:bottom w:w="80" w:type="dxa"/>
              <w:right w:w="120" w:type="dxa"/>
            </w:tcMar>
            <w:vAlign w:val="center"/>
          </w:tcPr>
          <w:p>
            <w:pPr>
              <w:spacing w:after="0" w:line="252" w:lineRule="auto"/>
            </w:pPr>
            <w:r>
              <w:rPr>
                <w:sz w:val="18"/>
              </w:rPr>
              <w:t>Operationalize reporting-date snapshots and reconciliations</w:t>
            </w:r>
          </w:p>
        </w:tc>
        <w:tc>
          <w:tcPr>
            <w:tcW w:w="3160" w:type="dxa"/>
            <w:tcMar>
              <w:top w:w="80" w:type="dxa"/>
              <w:left w:w="120" w:type="dxa"/>
              <w:bottom w:w="80" w:type="dxa"/>
              <w:right w:w="120" w:type="dxa"/>
            </w:tcMar>
            <w:vAlign w:val="center"/>
          </w:tcPr>
          <w:p>
            <w:pPr>
              <w:spacing w:after="0" w:line="252" w:lineRule="auto"/>
            </w:pPr>
            <w:r>
              <w:rPr>
                <w:sz w:val="18"/>
              </w:rPr>
              <w:t>Trusted recurring dashboard</w:t>
            </w:r>
          </w:p>
        </w:tc>
      </w:tr>
      <w:tr>
        <w:tc>
          <w:tcPr>
            <w:tcW w:w="1400" w:type="dxa"/>
            <w:shd w:val="clear" w:color="auto" w:fill="F8FAFC"/>
            <w:tcMar>
              <w:top w:w="80" w:type="dxa"/>
              <w:left w:w="120" w:type="dxa"/>
              <w:bottom w:w="80" w:type="dxa"/>
              <w:right w:w="120" w:type="dxa"/>
            </w:tcMar>
            <w:vAlign w:val="center"/>
          </w:tcPr>
          <w:p>
            <w:pPr>
              <w:spacing w:after="0" w:line="252" w:lineRule="auto"/>
            </w:pPr>
            <w:r>
              <w:rPr>
                <w:sz w:val="18"/>
              </w:rPr>
              <w:t>Phase 2</w:t>
            </w:r>
          </w:p>
        </w:tc>
        <w:tc>
          <w:tcPr>
            <w:tcW w:w="4800" w:type="dxa"/>
            <w:shd w:val="clear" w:color="auto" w:fill="F8FAFC"/>
            <w:tcMar>
              <w:top w:w="80" w:type="dxa"/>
              <w:left w:w="120" w:type="dxa"/>
              <w:bottom w:w="80" w:type="dxa"/>
              <w:right w:w="120" w:type="dxa"/>
            </w:tcMar>
            <w:vAlign w:val="center"/>
          </w:tcPr>
          <w:p>
            <w:pPr>
              <w:spacing w:after="0" w:line="252" w:lineRule="auto"/>
            </w:pPr>
            <w:r>
              <w:rPr>
                <w:sz w:val="18"/>
              </w:rPr>
              <w:t>Add product, geography, channel and risk-adjusted margin</w:t>
            </w:r>
          </w:p>
        </w:tc>
        <w:tc>
          <w:tcPr>
            <w:tcW w:w="3160" w:type="dxa"/>
            <w:shd w:val="clear" w:color="auto" w:fill="F8FAFC"/>
            <w:tcMar>
              <w:top w:w="80" w:type="dxa"/>
              <w:left w:w="120" w:type="dxa"/>
              <w:bottom w:w="80" w:type="dxa"/>
              <w:right w:w="120" w:type="dxa"/>
            </w:tcMar>
            <w:vAlign w:val="center"/>
          </w:tcPr>
          <w:p>
            <w:pPr>
              <w:spacing w:after="0" w:line="252" w:lineRule="auto"/>
            </w:pPr>
            <w:r>
              <w:rPr>
                <w:sz w:val="18"/>
              </w:rPr>
              <w:t>Allocation and pricing decisions</w:t>
            </w:r>
          </w:p>
        </w:tc>
      </w:tr>
      <w:tr>
        <w:tc>
          <w:tcPr>
            <w:tcW w:w="1400" w:type="dxa"/>
            <w:tcMar>
              <w:top w:w="80" w:type="dxa"/>
              <w:left w:w="120" w:type="dxa"/>
              <w:bottom w:w="80" w:type="dxa"/>
              <w:right w:w="120" w:type="dxa"/>
            </w:tcMar>
            <w:vAlign w:val="center"/>
          </w:tcPr>
          <w:p>
            <w:pPr>
              <w:spacing w:after="0" w:line="252" w:lineRule="auto"/>
            </w:pPr>
            <w:r>
              <w:rPr>
                <w:sz w:val="18"/>
              </w:rPr>
              <w:t>Phase 3</w:t>
            </w:r>
          </w:p>
        </w:tc>
        <w:tc>
          <w:tcPr>
            <w:tcW w:w="4800" w:type="dxa"/>
            <w:tcMar>
              <w:top w:w="80" w:type="dxa"/>
              <w:left w:w="120" w:type="dxa"/>
              <w:bottom w:w="80" w:type="dxa"/>
              <w:right w:w="120" w:type="dxa"/>
            </w:tcMar>
            <w:vAlign w:val="center"/>
          </w:tcPr>
          <w:p>
            <w:pPr>
              <w:spacing w:after="0" w:line="252" w:lineRule="auto"/>
            </w:pPr>
            <w:r>
              <w:rPr>
                <w:sz w:val="18"/>
              </w:rPr>
              <w:t>Add cure, promise-to-pay, contact and collections outcome data</w:t>
            </w:r>
          </w:p>
        </w:tc>
        <w:tc>
          <w:tcPr>
            <w:tcW w:w="3160" w:type="dxa"/>
            <w:tcMar>
              <w:top w:w="80" w:type="dxa"/>
              <w:left w:w="120" w:type="dxa"/>
              <w:bottom w:w="80" w:type="dxa"/>
              <w:right w:w="120" w:type="dxa"/>
            </w:tcMar>
            <w:vAlign w:val="center"/>
          </w:tcPr>
          <w:p>
            <w:pPr>
              <w:spacing w:after="0" w:line="252" w:lineRule="auto"/>
            </w:pPr>
            <w:r>
              <w:rPr>
                <w:sz w:val="18"/>
              </w:rPr>
              <w:t>Treatment optimization</w:t>
            </w:r>
          </w:p>
        </w:tc>
      </w:tr>
      <w:tr>
        <w:tc>
          <w:tcPr>
            <w:tcW w:w="1400" w:type="dxa"/>
            <w:shd w:val="clear" w:color="auto" w:fill="F8FAFC"/>
            <w:tcMar>
              <w:top w:w="80" w:type="dxa"/>
              <w:left w:w="120" w:type="dxa"/>
              <w:bottom w:w="80" w:type="dxa"/>
              <w:right w:w="120" w:type="dxa"/>
            </w:tcMar>
            <w:vAlign w:val="center"/>
          </w:tcPr>
          <w:p>
            <w:pPr>
              <w:spacing w:after="0" w:line="252" w:lineRule="auto"/>
            </w:pPr>
            <w:r>
              <w:rPr>
                <w:sz w:val="18"/>
              </w:rPr>
              <w:t>Phase 4</w:t>
            </w:r>
          </w:p>
        </w:tc>
        <w:tc>
          <w:tcPr>
            <w:tcW w:w="4800" w:type="dxa"/>
            <w:shd w:val="clear" w:color="auto" w:fill="F8FAFC"/>
            <w:tcMar>
              <w:top w:w="80" w:type="dxa"/>
              <w:left w:w="120" w:type="dxa"/>
              <w:bottom w:w="80" w:type="dxa"/>
              <w:right w:w="120" w:type="dxa"/>
            </w:tcMar>
            <w:vAlign w:val="center"/>
          </w:tcPr>
          <w:p>
            <w:pPr>
              <w:spacing w:after="0" w:line="252" w:lineRule="auto"/>
            </w:pPr>
            <w:r>
              <w:rPr>
                <w:sz w:val="18"/>
              </w:rPr>
              <w:t>Validate predictive early-warning model with monitoring and reason codes</w:t>
            </w:r>
          </w:p>
        </w:tc>
        <w:tc>
          <w:tcPr>
            <w:tcW w:w="3160" w:type="dxa"/>
            <w:shd w:val="clear" w:color="auto" w:fill="F8FAFC"/>
            <w:tcMar>
              <w:top w:w="80" w:type="dxa"/>
              <w:left w:w="120" w:type="dxa"/>
              <w:bottom w:w="80" w:type="dxa"/>
              <w:right w:w="120" w:type="dxa"/>
            </w:tcMar>
            <w:vAlign w:val="center"/>
          </w:tcPr>
          <w:p>
            <w:pPr>
              <w:spacing w:after="0" w:line="252" w:lineRule="auto"/>
            </w:pPr>
            <w:r>
              <w:rPr>
                <w:sz w:val="18"/>
              </w:rPr>
              <w:t>Prioritized intervention at scale</w:t>
            </w:r>
          </w:p>
        </w:tc>
      </w:tr>
    </w:tbl>
    <w:tbl>
      <w:tblPr>
        <w:tblW w:w="9360" w:type="dxa"/>
        <w:tblInd w:w="120" w:type="dxa"/>
        <w:tblLayout w:type="fixed"/>
        <w:tblLook w:val="04A0" w:firstRow="1" w:lastRow="0" w:firstColumn="1" w:lastColumn="0" w:noHBand="0" w:noVBand="1"/>
      </w:tblPr>
      <w:tblGrid>
        <w:gridCol w:w="9360"/>
      </w:tblGrid>
      <w:tr>
        <w:trPr>
          <w:tblHeader/>
        </w:trPr>
        <w:tc>
          <w:tcPr>
            <w:tcW w:w="9360" w:type="dxa"/>
            <w:shd w:val="clear" w:color="auto" w:fill="E8F6F3"/>
            <w:tcMar>
              <w:top w:w="80" w:type="dxa"/>
              <w:left w:w="120" w:type="dxa"/>
              <w:bottom w:w="80" w:type="dxa"/>
              <w:right w:w="120" w:type="dxa"/>
            </w:tcMar>
          </w:tcPr>
          <w:p>
            <w:pPr>
              <w:spacing w:after="40"/>
            </w:pPr>
            <w:r>
              <w:rPr>
                <w:b/>
                <w:color w:val="1F9D8A"/>
                <w:sz w:val="18"/>
              </w:rPr>
              <w:t>RECOMMENDED NEXT DECISION</w:t>
            </w:r>
          </w:p>
          <w:p>
            <w:pPr>
              <w:spacing w:after="0"/>
            </w:pPr>
            <w:r>
              <w:t>Pilot the partner scorecard and alert queue for one monthly cycle. Require metric reconciliation, named owners and documented actions before using results for allocation or policy changes.</w:t>
            </w:r>
          </w:p>
        </w:tc>
      </w:tr>
    </w:tbl>
    <w:p>
      <w:pPr>
        <w:spacing w:after="60"/>
      </w:pPr>
    </w:p>
    <w:p>
      <w:pPr>
        <w:pStyle w:val="Heading1"/>
      </w:pPr>
      <w:r>
        <w:t>Appendix A - Deliverables and reproducibility</w:t>
      </w:r>
    </w:p>
    <w:p>
      <w:r>
        <w:t>The companion project contains the complete MySQL schema, deterministic seed procedure, twelve analytical views, quality checks, Tableau connection template, calculated fields and dashboard build instructions.</w:t>
      </w:r>
    </w:p>
    <w:tbl>
      <w:tblPr>
        <w:tblStyle w:val="TableGrid"/>
        <w:tblW w:w="9360" w:type="dxa"/>
        <w:tblInd w:w="120" w:type="dxa"/>
        <w:tblLayout w:type="fixed"/>
        <w:tblLook w:val="04A0" w:firstRow="1" w:lastRow="0" w:firstColumn="1" w:lastColumn="0" w:noHBand="0" w:noVBand="1"/>
      </w:tblPr>
      <w:tblGrid>
        <w:gridCol w:w="2600"/>
        <w:gridCol w:w="6760"/>
      </w:tblGrid>
      <w:tr>
        <w:trPr>
          <w:tblHeader/>
        </w:trPr>
        <w:tc>
          <w:tcPr>
            <w:tcW w:w="2600" w:type="dxa"/>
            <w:shd w:val="clear" w:color="auto" w:fill="E8EEF5"/>
            <w:tcMar>
              <w:top w:w="80" w:type="dxa"/>
              <w:left w:w="120" w:type="dxa"/>
              <w:bottom w:w="80" w:type="dxa"/>
              <w:right w:w="120" w:type="dxa"/>
            </w:tcMar>
            <w:vAlign w:val="center"/>
          </w:tcPr>
          <w:p>
            <w:pPr>
              <w:jc w:val="center"/>
            </w:pPr>
            <w:r>
              <w:rPr>
                <w:b/>
                <w:color w:val="16324F"/>
                <w:sz w:val="19"/>
              </w:rPr>
              <w:t>Artifact</w:t>
            </w:r>
          </w:p>
        </w:tc>
        <w:tc>
          <w:tcPr>
            <w:tcW w:w="6760" w:type="dxa"/>
            <w:shd w:val="clear" w:color="auto" w:fill="E8EEF5"/>
            <w:tcMar>
              <w:top w:w="80" w:type="dxa"/>
              <w:left w:w="120" w:type="dxa"/>
              <w:bottom w:w="80" w:type="dxa"/>
              <w:right w:w="120" w:type="dxa"/>
            </w:tcMar>
            <w:vAlign w:val="center"/>
          </w:tcPr>
          <w:p>
            <w:pPr>
              <w:jc w:val="center"/>
            </w:pPr>
            <w:r>
              <w:rPr>
                <w:b/>
                <w:color w:val="16324F"/>
                <w:sz w:val="19"/>
              </w:rPr>
              <w:t>Purpose</w:t>
            </w:r>
          </w:p>
        </w:tc>
      </w:tr>
      <w:tr>
        <w:tc>
          <w:tcPr>
            <w:tcW w:w="2600" w:type="dxa"/>
            <w:tcMar>
              <w:top w:w="80" w:type="dxa"/>
              <w:left w:w="120" w:type="dxa"/>
              <w:bottom w:w="80" w:type="dxa"/>
              <w:right w:w="120" w:type="dxa"/>
            </w:tcMar>
            <w:vAlign w:val="center"/>
          </w:tcPr>
          <w:p>
            <w:pPr>
              <w:spacing w:after="0" w:line="252" w:lineRule="auto"/>
            </w:pPr>
            <w:r>
              <w:rPr>
                <w:sz w:val="18"/>
              </w:rPr>
              <w:t>01_schema.sql</w:t>
            </w:r>
          </w:p>
        </w:tc>
        <w:tc>
          <w:tcPr>
            <w:tcW w:w="6760" w:type="dxa"/>
            <w:tcMar>
              <w:top w:w="80" w:type="dxa"/>
              <w:left w:w="120" w:type="dxa"/>
              <w:bottom w:w="80" w:type="dxa"/>
              <w:right w:w="120" w:type="dxa"/>
            </w:tcMar>
            <w:vAlign w:val="center"/>
          </w:tcPr>
          <w:p>
            <w:pPr>
              <w:spacing w:after="0" w:line="252" w:lineRule="auto"/>
            </w:pPr>
            <w:r>
              <w:rPr>
                <w:sz w:val="18"/>
              </w:rPr>
              <w:t>Seven source tables, keys, constraints and indexes</w:t>
            </w:r>
          </w:p>
        </w:tc>
      </w:tr>
      <w:tr>
        <w:tc>
          <w:tcPr>
            <w:tcW w:w="2600" w:type="dxa"/>
            <w:shd w:val="clear" w:color="auto" w:fill="F8FAFC"/>
            <w:tcMar>
              <w:top w:w="80" w:type="dxa"/>
              <w:left w:w="120" w:type="dxa"/>
              <w:bottom w:w="80" w:type="dxa"/>
              <w:right w:w="120" w:type="dxa"/>
            </w:tcMar>
            <w:vAlign w:val="center"/>
          </w:tcPr>
          <w:p>
            <w:pPr>
              <w:spacing w:after="0" w:line="252" w:lineRule="auto"/>
            </w:pPr>
            <w:r>
              <w:rPr>
                <w:sz w:val="18"/>
              </w:rPr>
              <w:t>02_seed_demo_data.sql</w:t>
            </w:r>
          </w:p>
        </w:tc>
        <w:tc>
          <w:tcPr>
            <w:tcW w:w="6760" w:type="dxa"/>
            <w:shd w:val="clear" w:color="auto" w:fill="F8FAFC"/>
            <w:tcMar>
              <w:top w:w="80" w:type="dxa"/>
              <w:left w:w="120" w:type="dxa"/>
              <w:bottom w:w="80" w:type="dxa"/>
              <w:right w:w="120" w:type="dxa"/>
            </w:tcMar>
            <w:vAlign w:val="center"/>
          </w:tcPr>
          <w:p>
            <w:pPr>
              <w:spacing w:after="0" w:line="252" w:lineRule="auto"/>
            </w:pPr>
            <w:r>
              <w:rPr>
                <w:sz w:val="18"/>
              </w:rPr>
              <w:t>600-customer deterministic portfolio generator</w:t>
            </w:r>
          </w:p>
        </w:tc>
      </w:tr>
      <w:tr>
        <w:tc>
          <w:tcPr>
            <w:tcW w:w="2600" w:type="dxa"/>
            <w:tcMar>
              <w:top w:w="80" w:type="dxa"/>
              <w:left w:w="120" w:type="dxa"/>
              <w:bottom w:w="80" w:type="dxa"/>
              <w:right w:w="120" w:type="dxa"/>
            </w:tcMar>
            <w:vAlign w:val="center"/>
          </w:tcPr>
          <w:p>
            <w:pPr>
              <w:spacing w:after="0" w:line="252" w:lineRule="auto"/>
            </w:pPr>
            <w:r>
              <w:rPr>
                <w:sz w:val="18"/>
              </w:rPr>
              <w:t>03_analytics_views.sql</w:t>
            </w:r>
          </w:p>
        </w:tc>
        <w:tc>
          <w:tcPr>
            <w:tcW w:w="6760" w:type="dxa"/>
            <w:tcMar>
              <w:top w:w="80" w:type="dxa"/>
              <w:left w:w="120" w:type="dxa"/>
              <w:bottom w:w="80" w:type="dxa"/>
              <w:right w:w="120" w:type="dxa"/>
            </w:tcMar>
            <w:vAlign w:val="center"/>
          </w:tcPr>
          <w:p>
            <w:pPr>
              <w:spacing w:after="0" w:line="252" w:lineRule="auto"/>
            </w:pPr>
            <w:r>
              <w:rPr>
                <w:sz w:val="18"/>
              </w:rPr>
              <w:t>Feature, funnel, risk, DPD, FPD, vintage, roll, PAR and alert views</w:t>
            </w:r>
          </w:p>
        </w:tc>
      </w:tr>
      <w:tr>
        <w:tc>
          <w:tcPr>
            <w:tcW w:w="2600" w:type="dxa"/>
            <w:shd w:val="clear" w:color="auto" w:fill="F8FAFC"/>
            <w:tcMar>
              <w:top w:w="80" w:type="dxa"/>
              <w:left w:w="120" w:type="dxa"/>
              <w:bottom w:w="80" w:type="dxa"/>
              <w:right w:w="120" w:type="dxa"/>
            </w:tcMar>
            <w:vAlign w:val="center"/>
          </w:tcPr>
          <w:p>
            <w:pPr>
              <w:spacing w:after="0" w:line="252" w:lineRule="auto"/>
            </w:pPr>
            <w:r>
              <w:rPr>
                <w:sz w:val="18"/>
              </w:rPr>
              <w:lastRenderedPageBreak/>
              <w:t>04_quality_checks.sql</w:t>
            </w:r>
          </w:p>
        </w:tc>
        <w:tc>
          <w:tcPr>
            <w:tcW w:w="6760" w:type="dxa"/>
            <w:shd w:val="clear" w:color="auto" w:fill="F8FAFC"/>
            <w:tcMar>
              <w:top w:w="80" w:type="dxa"/>
              <w:left w:w="120" w:type="dxa"/>
              <w:bottom w:w="80" w:type="dxa"/>
              <w:right w:w="120" w:type="dxa"/>
            </w:tcMar>
            <w:vAlign w:val="center"/>
          </w:tcPr>
          <w:p>
            <w:pPr>
              <w:spacing w:after="0" w:line="252" w:lineRule="auto"/>
            </w:pPr>
            <w:r>
              <w:rPr>
                <w:sz w:val="18"/>
              </w:rPr>
              <w:t>Orphan, timeline, repayment and rate reconciliation tests</w:t>
            </w:r>
          </w:p>
        </w:tc>
      </w:tr>
      <w:tr>
        <w:tc>
          <w:tcPr>
            <w:tcW w:w="2600" w:type="dxa"/>
            <w:tcMar>
              <w:top w:w="80" w:type="dxa"/>
              <w:left w:w="120" w:type="dxa"/>
              <w:bottom w:w="80" w:type="dxa"/>
              <w:right w:w="120" w:type="dxa"/>
            </w:tcMar>
            <w:vAlign w:val="center"/>
          </w:tcPr>
          <w:p>
            <w:pPr>
              <w:spacing w:after="0" w:line="252" w:lineRule="auto"/>
            </w:pPr>
            <w:r>
              <w:rPr>
                <w:sz w:val="18"/>
              </w:rPr>
              <w:t>Tableau guide</w:t>
            </w:r>
          </w:p>
        </w:tc>
        <w:tc>
          <w:tcPr>
            <w:tcW w:w="6760" w:type="dxa"/>
            <w:tcMar>
              <w:top w:w="80" w:type="dxa"/>
              <w:left w:w="120" w:type="dxa"/>
              <w:bottom w:w="80" w:type="dxa"/>
              <w:right w:w="120" w:type="dxa"/>
            </w:tcMar>
            <w:vAlign w:val="center"/>
          </w:tcPr>
          <w:p>
            <w:pPr>
              <w:spacing w:after="0" w:line="252" w:lineRule="auto"/>
            </w:pPr>
            <w:r>
              <w:rPr>
                <w:sz w:val="18"/>
              </w:rPr>
              <w:t>Six dashboard sections plus roll-rate drill-through</w:t>
            </w:r>
          </w:p>
        </w:tc>
      </w:tr>
    </w:tbl>
    <w:p>
      <w:pPr>
        <w:pStyle w:val="Heading2"/>
      </w:pPr>
      <w:r>
        <w:t>Appendix B - Acceptance checklist</w:t>
      </w:r>
    </w:p>
    <w:p>
      <w:pPr>
        <w:pStyle w:val="ListBullet"/>
        <w:spacing w:after="100"/>
        <w:ind w:left="720"/>
      </w:pPr>
      <w:r>
        <w:t>All quality-check failed-row counts equal zero.</w:t>
      </w:r>
    </w:p>
    <w:p>
      <w:pPr>
        <w:pStyle w:val="ListBullet"/>
        <w:spacing w:after="100"/>
        <w:ind w:left="720"/>
      </w:pPr>
      <w:r>
        <w:t>Applications, approvals, disbursals, principal and outstanding reconcile.</w:t>
      </w:r>
    </w:p>
    <w:p>
      <w:pPr>
        <w:pStyle w:val="ListBullet"/>
        <w:spacing w:after="100"/>
        <w:ind w:left="720"/>
      </w:pPr>
      <w:r>
        <w:t>30+ is greater than or equal to 60+, which is greater than or equal to 90+.</w:t>
      </w:r>
    </w:p>
    <w:p>
      <w:pPr>
        <w:pStyle w:val="ListBullet"/>
        <w:spacing w:after="100"/>
        <w:ind w:left="720"/>
      </w:pPr>
      <w:r>
        <w:t>FPD numerator never exceeds the matured first-payment denominator.</w:t>
      </w:r>
    </w:p>
    <w:p>
      <w:pPr>
        <w:pStyle w:val="ListBullet"/>
        <w:spacing w:after="100"/>
        <w:ind w:left="720"/>
      </w:pPr>
      <w:r>
        <w:t>Future NOT_DUE installments are excluded.</w:t>
      </w:r>
    </w:p>
    <w:p>
      <w:pPr>
        <w:pStyle w:val="ListBullet"/>
        <w:spacing w:after="100"/>
        <w:ind w:left="720"/>
      </w:pPr>
      <w:r>
        <w:t>Tableau percentage fields ending in _pct are not multiplied by 100 again.</w:t>
      </w:r>
    </w:p>
    <w:p>
      <w:pPr>
        <w:pStyle w:val="ListBullet"/>
        <w:spacing w:after="100"/>
        <w:ind w:left="720"/>
      </w:pPr>
      <w:r>
        <w:t>Equivalent filters are applied across independent Tableau data sources.</w:t>
      </w:r>
    </w:p>
    <w:p>
      <w:pPr>
        <w:spacing w:after="0"/>
        <w:jc w:val="center"/>
      </w:pPr>
      <w:r>
        <w:t>End of report</w:t>
      </w:r>
    </w:p>
    <w:p>
      <w:bookmarkStart w:id="0" w:name="_GoBack"/>
      <w:bookmarkEnd w:id="0"/>
    </w:p>
    <w:sectPr>
      <w:headerReference w:type="default"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right"/>
    </w:pPr>
    <w:r>
      <w:rPr>
        <w:color w:val="667085"/>
        <w:sz w:val="17"/>
      </w:rPr>
      <w:t xml:space="preserve">| </w:t>
    </w:r>
    <w:r>
      <w:rPr>
        <w:color w:val="667085"/>
        <w:sz w:val="18"/>
      </w:rPr>
      <w:fldChar w:fldCharType="begin"/>
    </w:r>
    <w:r>
      <w:rPr>
        <w:color w:val="667085"/>
        <w:sz w:val="18"/>
      </w:rPr>
      <w:instrText xml:space="preserve"> PAGE </w:instrText>
    </w:r>
    <w:r>
      <w:rPr>
        <w:color w:val="667085"/>
        <w:sz w:val="18"/>
      </w:rPr>
      <w:fldChar w:fldCharType="separate"/>
    </w:r>
    <w:r>
      <w:rPr>
        <w:noProof/>
        <w:color w:val="667085"/>
        <w:sz w:val="18"/>
      </w:rPr>
      <w:t>14</w:t>
    </w:r>
    <w:r>
      <w:rPr>
        <w:color w:val="667085"/>
        <w:sz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Header"/>
    </w:pPr>
    <w:r>
      <w:rPr>
        <w:b/>
        <w:color w:val="667085"/>
        <w:sz w:val="17"/>
      </w:rPr>
      <w:t>DIGITAL LENDING RISK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BADC22C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674"/>
    <w:rsid w:val="00067317"/>
    <w:rsid w:val="00A31674"/>
    <w:rsid w:val="00DA6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92C4C4-33BB-4810-9F61-6498B654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674"/>
    <w:pPr>
      <w:spacing w:after="120" w:line="264" w:lineRule="auto"/>
    </w:pPr>
    <w:rPr>
      <w:rFonts w:ascii="Calibri" w:eastAsiaTheme="minorEastAsia" w:hAnsi="Calibri"/>
      <w:color w:val="1F2937"/>
      <w:lang w:val="en-US"/>
    </w:rPr>
  </w:style>
  <w:style w:type="paragraph" w:styleId="Heading1">
    <w:name w:val="heading 1"/>
    <w:basedOn w:val="Normal"/>
    <w:next w:val="Normal"/>
    <w:link w:val="Heading1Char"/>
    <w:uiPriority w:val="9"/>
    <w:qFormat/>
    <w:rsid w:val="00A31674"/>
    <w:pPr>
      <w:keepNext/>
      <w:keepLines/>
      <w:spacing w:before="320" w:after="160"/>
      <w:outlineLvl w:val="0"/>
    </w:pPr>
    <w:rPr>
      <w:rFonts w:asciiTheme="majorHAnsi" w:eastAsiaTheme="majorEastAsia" w:hAnsiTheme="majorHAnsi" w:cstheme="majorBidi"/>
      <w:b/>
      <w:bCs/>
      <w:color w:val="2E6F9E"/>
      <w:sz w:val="32"/>
      <w:szCs w:val="28"/>
    </w:rPr>
  </w:style>
  <w:style w:type="paragraph" w:styleId="Heading2">
    <w:name w:val="heading 2"/>
    <w:basedOn w:val="Normal"/>
    <w:next w:val="Normal"/>
    <w:link w:val="Heading2Char"/>
    <w:uiPriority w:val="9"/>
    <w:unhideWhenUsed/>
    <w:qFormat/>
    <w:rsid w:val="00A31674"/>
    <w:pPr>
      <w:keepNext/>
      <w:keepLines/>
      <w:spacing w:before="240"/>
      <w:outlineLvl w:val="1"/>
    </w:pPr>
    <w:rPr>
      <w:rFonts w:asciiTheme="majorHAnsi" w:eastAsiaTheme="majorEastAsia" w:hAnsiTheme="majorHAnsi" w:cstheme="majorBidi"/>
      <w:b/>
      <w:bCs/>
      <w:color w:val="2E6F9E"/>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674"/>
    <w:rPr>
      <w:rFonts w:asciiTheme="majorHAnsi" w:eastAsiaTheme="majorEastAsia" w:hAnsiTheme="majorHAnsi" w:cstheme="majorBidi"/>
      <w:b/>
      <w:bCs/>
      <w:color w:val="2E6F9E"/>
      <w:sz w:val="32"/>
      <w:szCs w:val="28"/>
      <w:lang w:val="en-US"/>
    </w:rPr>
  </w:style>
  <w:style w:type="character" w:customStyle="1" w:styleId="Heading2Char">
    <w:name w:val="Heading 2 Char"/>
    <w:basedOn w:val="DefaultParagraphFont"/>
    <w:link w:val="Heading2"/>
    <w:uiPriority w:val="9"/>
    <w:rsid w:val="00A31674"/>
    <w:rPr>
      <w:rFonts w:asciiTheme="majorHAnsi" w:eastAsiaTheme="majorEastAsia" w:hAnsiTheme="majorHAnsi" w:cstheme="majorBidi"/>
      <w:b/>
      <w:bCs/>
      <w:color w:val="2E6F9E"/>
      <w:sz w:val="26"/>
      <w:szCs w:val="26"/>
      <w:lang w:val="en-US"/>
    </w:rPr>
  </w:style>
  <w:style w:type="paragraph" w:styleId="Header">
    <w:name w:val="header"/>
    <w:basedOn w:val="Normal"/>
    <w:link w:val="HeaderChar"/>
    <w:uiPriority w:val="99"/>
    <w:unhideWhenUsed/>
    <w:rsid w:val="00A31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674"/>
    <w:rPr>
      <w:rFonts w:ascii="Calibri" w:eastAsiaTheme="minorEastAsia" w:hAnsi="Calibri"/>
      <w:color w:val="1F2937"/>
      <w:lang w:val="en-US"/>
    </w:rPr>
  </w:style>
  <w:style w:type="paragraph" w:styleId="Footer">
    <w:name w:val="footer"/>
    <w:basedOn w:val="Normal"/>
    <w:link w:val="FooterChar"/>
    <w:uiPriority w:val="99"/>
    <w:unhideWhenUsed/>
    <w:rsid w:val="00A31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674"/>
    <w:rPr>
      <w:rFonts w:ascii="Calibri" w:eastAsiaTheme="minorEastAsia" w:hAnsi="Calibri"/>
      <w:color w:val="1F2937"/>
      <w:lang w:val="en-US"/>
    </w:rPr>
  </w:style>
  <w:style w:type="paragraph" w:styleId="ListBullet">
    <w:name w:val="List Bullet"/>
    <w:basedOn w:val="Normal"/>
    <w:uiPriority w:val="99"/>
    <w:unhideWhenUsed/>
    <w:rsid w:val="00A31674"/>
    <w:pPr>
      <w:numPr>
        <w:numId w:val="1"/>
      </w:numPr>
      <w:contextualSpacing/>
    </w:pPr>
  </w:style>
  <w:style w:type="table" w:styleId="TableGrid">
    <w:name w:val="Table Grid"/>
    <w:basedOn w:val="TableNormal"/>
    <w:uiPriority w:val="59"/>
    <w:rsid w:val="00A31674"/>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2058</Words>
  <Characters>11735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2026-08-09T18:45:00Z</dcterms:created>
  <dcterms:modified xsi:type="dcterms:W3CDTF">2026-08-09T18:45:00Z</dcterms:modified>
</cp:coreProperties>
</file>