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77CB" w14:textId="77777777" w:rsidR="008F2804" w:rsidRDefault="007949EC">
      <w:pPr>
        <w:pStyle w:val="Heading1"/>
        <w:spacing w:before="720" w:after="360"/>
        <w:jc w:val="center"/>
      </w:pPr>
      <w:r>
        <w:rPr>
          <w:sz w:val="48"/>
          <w:szCs w:val="48"/>
        </w:rPr>
        <w:t>Silver Market Case Studies</w:t>
      </w:r>
    </w:p>
    <w:p w14:paraId="5C9877CC" w14:textId="77777777" w:rsidR="008F2804" w:rsidRDefault="007949EC">
      <w:pPr>
        <w:spacing w:after="720"/>
        <w:jc w:val="center"/>
      </w:pPr>
      <w:r>
        <w:rPr>
          <w:color w:val="595959"/>
          <w:sz w:val="26"/>
          <w:szCs w:val="26"/>
        </w:rPr>
        <w:t>Data Analytics Internship — Day 13 Documentation</w:t>
      </w:r>
    </w:p>
    <w:p w14:paraId="5C9877CD" w14:textId="0204081F" w:rsidR="008F2804" w:rsidRDefault="007949EC">
      <w:pPr>
        <w:pStyle w:val="Heading1"/>
      </w:pPr>
      <w:r>
        <w:t>Case Study 1: The Hunt Brothers Silver Manipulation (1979–1980</w:t>
      </w:r>
      <w:r w:rsidR="0097461B">
        <w:t>)</w:t>
      </w:r>
    </w:p>
    <w:p w14:paraId="5C9877CE" w14:textId="77777777" w:rsidR="008F2804" w:rsidRDefault="007949EC">
      <w:pPr>
        <w:pStyle w:val="Heading2"/>
      </w:pPr>
      <w:r>
        <w:t>1. Background</w:t>
      </w:r>
    </w:p>
    <w:p w14:paraId="5C9877CF" w14:textId="77777777" w:rsidR="008F2804" w:rsidRDefault="007949EC">
      <w:pPr>
        <w:spacing w:after="160"/>
      </w:pPr>
      <w:r>
        <w:t>The Hunt Brothers episode remains one of the most extraordinary events in commodity market history. Nelson Bunker Hunt and William Herbert Hunt, heirs to a Texas oil fortune, began accumulating silver in the mid-1970s driven by a deep conviction that inflation and potential dollar devaluation would erode the value of paper assets. Their strategy was bold, systematic, and ultimately catastrophic — not just for themselves, but for the broader silver market.</w:t>
      </w:r>
    </w:p>
    <w:p w14:paraId="5C9877D0" w14:textId="77777777" w:rsidR="008F2804" w:rsidRDefault="007949EC">
      <w:pPr>
        <w:spacing w:after="160"/>
      </w:pPr>
      <w:r>
        <w:t>By late 1979, the Hunt Brothers had amassed an estimated 100 to 200 million troy ounces of silver — approximately one-third of the entire world’s deliverable supply. Their holdings were split between physical silver stored in Switzerland and futures contracts on COMEX and the Chicago Board of Trade (CBOT). This level of market concentration had no historical precedent in any major commodity market.</w:t>
      </w:r>
    </w:p>
    <w:p w14:paraId="5C9877D1" w14:textId="77777777" w:rsidR="008F2804" w:rsidRDefault="007949EC">
      <w:pPr>
        <w:spacing w:after="160"/>
      </w:pPr>
      <w:r>
        <w:t>The macroeconomic backdrop amplified their position. The late 1970s were characterised by runaway inflation in the United States, the Iranian Revolution of 1979, the Soviet invasion of Afghanistan, and a weakening US dollar. Silver, traditionally viewed as a monetary metal and inflation hedge, attracted significant speculative interest. The Hunts were not alone in buying silver, but they were by far the largest single force in the market.</w:t>
      </w:r>
    </w:p>
    <w:p w14:paraId="5C9877D2" w14:textId="77777777" w:rsidR="008F2804" w:rsidRDefault="007949EC">
      <w:pPr>
        <w:spacing w:after="160"/>
      </w:pPr>
      <w:r>
        <w:t>From a starting price of approximately $6 per ounce in early 1979, silver rose dramatically to reach $49.45 per ounce on January 18, 1980 — a staggering 724% increase in less than twelve months. At its peak, the Hunt Brothers’ silver holdings were worth an estimated $10 billion.</w:t>
      </w:r>
    </w:p>
    <w:p w14:paraId="5C9877D3" w14:textId="77777777" w:rsidR="008F2804" w:rsidRDefault="007949EC">
      <w:pPr>
        <w:pStyle w:val="Heading2"/>
      </w:pPr>
      <w:r>
        <w:t>2. Market Dynamics</w:t>
      </w:r>
    </w:p>
    <w:p w14:paraId="5C9877D4" w14:textId="77777777" w:rsidR="008F2804" w:rsidRDefault="007949EC">
      <w:pPr>
        <w:spacing w:after="160"/>
      </w:pPr>
      <w:r>
        <w:t>The mechanics of the squeeze were rooted in the futures market. By holding enormous long positions and simultaneously demanding physical delivery of silver, the Hunts created an artificial scarcity that forced short sellers into a desperate position. Any short seller who could not deliver physical silver faced mounting losses as prices climbed higher.</w:t>
      </w:r>
    </w:p>
    <w:p w14:paraId="5C9877D5" w14:textId="77777777" w:rsidR="008F2804" w:rsidRDefault="007949EC">
      <w:pPr>
        <w:spacing w:after="160"/>
      </w:pPr>
      <w:r>
        <w:lastRenderedPageBreak/>
        <w:t>Regulators and exchanges began responding as the scale of manipulation became undeniable. On January 7, 1980, COMEX implemented the now-infamous Silver Rule 7, which prohibited traders from opening new long positions, allowing only liquidation of existing contracts. This effectively trapped the Hunts — they could not buy more silver, and existing longs were forced to sell or take physical delivery.</w:t>
      </w:r>
    </w:p>
    <w:p w14:paraId="5C9877D6" w14:textId="77777777" w:rsidR="008F2804" w:rsidRDefault="007949EC">
      <w:pPr>
        <w:spacing w:after="160"/>
      </w:pPr>
      <w:r>
        <w:t>The turning point came with the arrival of margin calls. As silver prices began declining from their January peak, the Hunts faced escalating margin requirements on their futures positions. On March 27, 1980 — now known as Silver Thursday — the Hunts were unable to meet a $135 million margin call from their broker Bache &amp; Co. This triggered a catastrophic selling cascade. Silver collapsed from $21.62 to $10.80 in a single trading session — a 50% intraday collapse. The Hunts’ estimated $1.7 billion fortune w</w:t>
      </w:r>
      <w:r>
        <w:t>as wiped out within days. They subsequently filed for bankruptcy and faced civil and criminal investigations for market manipulation.</w:t>
      </w:r>
    </w:p>
    <w:p w14:paraId="5C9877D7" w14:textId="77777777" w:rsidR="008F2804" w:rsidRDefault="007949EC">
      <w:pPr>
        <w:spacing w:after="160"/>
      </w:pPr>
      <w:r>
        <w:t>The basis relationship — the spread between spot and futures prices — behaved unusually throughout this period. As the squeeze intensified, futures entered severe backwardation (futures prices below spot), a clear technical signal that physical delivery demand was overwhelming available supply. This is a critical warning signal that any sophisticated commodity analyst should monitor.</w:t>
      </w:r>
    </w:p>
    <w:p w14:paraId="5C9877D8" w14:textId="77777777" w:rsidR="008F2804" w:rsidRDefault="007949EC">
      <w:pPr>
        <w:pStyle w:val="Heading2"/>
      </w:pPr>
      <w:r>
        <w:t>3. Model Behaviour During the Event</w:t>
      </w:r>
    </w:p>
    <w:p w14:paraId="5C9877D9" w14:textId="77777777" w:rsidR="008F2804" w:rsidRDefault="007949EC">
      <w:pPr>
        <w:spacing w:after="160"/>
      </w:pPr>
      <w:r>
        <w:t>From a quantitative modelling perspective, the Hunt Brothers episode is a masterclass in model failure. Any time-series model — ARIMA, exponential smoothing, or moving average — trained on the relatively stable silver price data from 1970 to 1978 would have been completely useless during the 1979–1980 period.</w:t>
      </w:r>
    </w:p>
    <w:p w14:paraId="5C9877DA" w14:textId="77777777" w:rsidR="008F2804" w:rsidRDefault="007949EC">
      <w:pPr>
        <w:spacing w:after="120"/>
      </w:pPr>
      <w:r>
        <w:rPr>
          <w:b/>
          <w:bCs/>
        </w:rPr>
        <w:t>Key model failures and signals:</w:t>
      </w:r>
    </w:p>
    <w:p w14:paraId="5C9877DB" w14:textId="77777777" w:rsidR="008F2804" w:rsidRDefault="007949EC">
      <w:pPr>
        <w:pStyle w:val="ListParagraph"/>
        <w:numPr>
          <w:ilvl w:val="0"/>
          <w:numId w:val="2"/>
        </w:numPr>
        <w:spacing w:after="80"/>
      </w:pPr>
      <w:r>
        <w:t>ARIMA models: Any ARIMA model would have predicted mean reversion as prices rose above $15, $20, $30 per ounce. The model would have generated short signals at precisely the moment when manipulation was driving prices further up.</w:t>
      </w:r>
    </w:p>
    <w:p w14:paraId="5C9877DC" w14:textId="77777777" w:rsidR="008F2804" w:rsidRDefault="007949EC">
      <w:pPr>
        <w:pStyle w:val="ListParagraph"/>
        <w:numPr>
          <w:ilvl w:val="0"/>
          <w:numId w:val="2"/>
        </w:numPr>
        <w:spacing w:after="80"/>
      </w:pPr>
      <w:r>
        <w:t>Moving averages: The 20-day and 50-day SMAs would have generated persistent buy signals during the ascent, but these signals were not based on fundamental value — they were artifacts of coordinated manipulation.</w:t>
      </w:r>
    </w:p>
    <w:p w14:paraId="5C9877DD" w14:textId="77777777" w:rsidR="008F2804" w:rsidRDefault="007949EC">
      <w:pPr>
        <w:pStyle w:val="ListParagraph"/>
        <w:numPr>
          <w:ilvl w:val="0"/>
          <w:numId w:val="2"/>
        </w:numPr>
        <w:spacing w:after="80"/>
      </w:pPr>
      <w:r>
        <w:t>Volatility models: GARCH models trained on historical data would have severely underestimated the volatility regime during the squeeze. Realised volatility during January–March 1980 was multiple standard deviations above any prior estimate.</w:t>
      </w:r>
    </w:p>
    <w:p w14:paraId="5C9877DE" w14:textId="77777777" w:rsidR="008F2804" w:rsidRDefault="007949EC">
      <w:pPr>
        <w:pStyle w:val="ListParagraph"/>
        <w:numPr>
          <w:ilvl w:val="0"/>
          <w:numId w:val="2"/>
        </w:numPr>
        <w:spacing w:after="160"/>
      </w:pPr>
      <w:r>
        <w:t xml:space="preserve">COT-based signals: The one model that could have provided early warning was COT analysis. CFTC position data showed extreme </w:t>
      </w:r>
      <w:proofErr w:type="gramStart"/>
      <w:r>
        <w:t>Non-Commercial</w:t>
      </w:r>
      <w:proofErr w:type="gramEnd"/>
      <w:r>
        <w:t xml:space="preserve"> net long concentration building throughout 1979. A concentration index measuring Non-Commercial Net Long as a percentage of Total Open Interest would have exceeded 2 standard deviations from its 3-year mean by mid-1979 — months before the peak.</w:t>
      </w:r>
    </w:p>
    <w:p w14:paraId="5C9877DF" w14:textId="77777777" w:rsidR="008F2804" w:rsidRDefault="007949EC">
      <w:pPr>
        <w:spacing w:after="160"/>
      </w:pPr>
      <w:r>
        <w:lastRenderedPageBreak/>
        <w:t>The key lesson is that statistical models are only as good as the regime in which they were trained. When market structure changes due to manipulation, regulatory intervention, or structural breaks, historical relationships break down entirely. This is why regime detection — identifying when market behaviour has shifted to a new pattern — is a critical skill for any commodity analyst.</w:t>
      </w:r>
    </w:p>
    <w:p w14:paraId="5C9877E0" w14:textId="77777777" w:rsidR="008F2804" w:rsidRDefault="007949EC">
      <w:pPr>
        <w:pStyle w:val="Heading2"/>
      </w:pPr>
      <w:r>
        <w:t>4. Lessons for Data Analysts</w:t>
      </w:r>
    </w:p>
    <w:p w14:paraId="5C9877E1" w14:textId="77777777" w:rsidR="008F2804" w:rsidRDefault="007949EC">
      <w:pPr>
        <w:pStyle w:val="ListParagraph"/>
        <w:numPr>
          <w:ilvl w:val="0"/>
          <w:numId w:val="2"/>
        </w:numPr>
        <w:spacing w:after="100"/>
      </w:pPr>
      <w:r>
        <w:t>Concentration risk is measurable before it becomes a crisis. COT data provides the raw material for building concentration indices. When any single entity or coordinated group controls an outsized share of open interest, the risk of a disorderly unwind increases dramatically.</w:t>
      </w:r>
    </w:p>
    <w:p w14:paraId="5C9877E2" w14:textId="77777777" w:rsidR="008F2804" w:rsidRDefault="007949EC">
      <w:pPr>
        <w:pStyle w:val="ListParagraph"/>
        <w:numPr>
          <w:ilvl w:val="0"/>
          <w:numId w:val="2"/>
        </w:numPr>
        <w:spacing w:after="100"/>
      </w:pPr>
      <w:r>
        <w:t>Basis analysis is a manipulation detector. Severe backwardation in a market that normally trades in contango is a red flag. Building automated basis monitoring into a dashboard provides an early warning system.</w:t>
      </w:r>
    </w:p>
    <w:p w14:paraId="5C9877E3" w14:textId="77777777" w:rsidR="008F2804" w:rsidRDefault="007949EC">
      <w:pPr>
        <w:pStyle w:val="ListParagraph"/>
        <w:numPr>
          <w:ilvl w:val="0"/>
          <w:numId w:val="2"/>
        </w:numPr>
        <w:spacing w:after="100"/>
      </w:pPr>
      <w:r>
        <w:t>Models need regime awareness. A model that cannot detect when it has moved outside its training distribution will generate dangerously wrong signals. Regime switching models, outlier detection, and human oversight are essential complements to automated trading signals.</w:t>
      </w:r>
    </w:p>
    <w:p w14:paraId="5C9877E4" w14:textId="77777777" w:rsidR="008F2804" w:rsidRDefault="007949EC">
      <w:pPr>
        <w:pStyle w:val="ListParagraph"/>
        <w:numPr>
          <w:ilvl w:val="0"/>
          <w:numId w:val="2"/>
        </w:numPr>
        <w:spacing w:after="100"/>
      </w:pPr>
      <w:r>
        <w:t>Regulatory intervention changes market dynamics instantly. Silver Rule 7 transformed the market structure overnight. Any model or strategy must account for the possibility of sudden regulatory changes, particularly in markets that have attracted unusual speculative attention.</w:t>
      </w:r>
    </w:p>
    <w:p w14:paraId="5C9877E5" w14:textId="77777777" w:rsidR="008F2804" w:rsidRDefault="007949EC">
      <w:pPr>
        <w:pStyle w:val="ListParagraph"/>
        <w:numPr>
          <w:ilvl w:val="0"/>
          <w:numId w:val="2"/>
        </w:numPr>
        <w:spacing w:after="280"/>
      </w:pPr>
      <w:r>
        <w:t>Margin dynamics amplify crashes. The cascade from margin call to forced selling to further price decline is a reflexive feedback loop. Understanding margin structures and monitoring open interest changes relative to price can help anticipate these dynamics.</w:t>
      </w:r>
    </w:p>
    <w:p w14:paraId="5C9877E6" w14:textId="77777777" w:rsidR="008F2804" w:rsidRDefault="008F2804">
      <w:pPr>
        <w:pBdr>
          <w:bottom w:val="single" w:sz="6" w:space="1" w:color="1F4E79"/>
        </w:pBdr>
        <w:spacing w:after="360"/>
      </w:pPr>
    </w:p>
    <w:p w14:paraId="5C9877E7" w14:textId="77777777" w:rsidR="008F2804" w:rsidRDefault="007949EC">
      <w:pPr>
        <w:pStyle w:val="Heading1"/>
      </w:pPr>
      <w:r>
        <w:t>Case Study 2: COVID-19 Silver Crash and Recovery (2020)</w:t>
      </w:r>
    </w:p>
    <w:p w14:paraId="5C9877E8" w14:textId="77777777" w:rsidR="008F2804" w:rsidRDefault="007949EC">
      <w:pPr>
        <w:pStyle w:val="Heading2"/>
      </w:pPr>
      <w:r>
        <w:t>1. Background</w:t>
      </w:r>
    </w:p>
    <w:p w14:paraId="5C9877E9" w14:textId="77777777" w:rsidR="008F2804" w:rsidRDefault="007949EC">
      <w:pPr>
        <w:spacing w:after="160"/>
      </w:pPr>
      <w:r>
        <w:t>The COVID-19 pandemic created one of the most dramatic and instructive episodes in modern silver market history — a sudden, violent crash followed by an equally rapid recovery, driven by forces that were almost entirely exogenous to the silver market itself. For data analysts, the 2020 silver episode is a case study in how macroeconomic shocks, liquidity crises, and stimulus responses interact with commodity prices in ways that no purely technical model can anticipate.</w:t>
      </w:r>
    </w:p>
    <w:p w14:paraId="5C9877EA" w14:textId="77777777" w:rsidR="008F2804" w:rsidRDefault="007949EC">
      <w:pPr>
        <w:spacing w:after="160"/>
      </w:pPr>
      <w:r>
        <w:t xml:space="preserve">Entering 2020, silver was trading in the $17–$19 per ounce range, having recovered moderately from the 2015–2016 lows. Industrial demand was supported by the growing solar panel sector (silver is a key component in photovoltaic cells), electronics </w:t>
      </w:r>
      <w:r>
        <w:lastRenderedPageBreak/>
        <w:t>manufacturing, and medical applications. Investment demand was moderate, with gold receiving more attention as a safe haven asset.</w:t>
      </w:r>
    </w:p>
    <w:p w14:paraId="5C9877EB" w14:textId="77777777" w:rsidR="008F2804" w:rsidRDefault="007949EC">
      <w:pPr>
        <w:spacing w:after="160"/>
      </w:pPr>
      <w:r>
        <w:t>The COVID-19 pandemic emerged as a global crisis in February–March 2020. As the severity of the pandemic became clear and governments began imposing lockdowns, financial markets entered a period of extreme stress. The defining characteristic of the March 2020 crash was not simply fear, but a global dash for cash — investors sold virtually every asset class, including traditional safe havens like gold and silver, to raise liquidity.</w:t>
      </w:r>
    </w:p>
    <w:p w14:paraId="5C9877EC" w14:textId="77777777" w:rsidR="008F2804" w:rsidRDefault="007949EC">
      <w:pPr>
        <w:pStyle w:val="Heading2"/>
      </w:pPr>
      <w:r>
        <w:t>2. Market Dynamics</w:t>
      </w:r>
    </w:p>
    <w:p w14:paraId="5C9877ED" w14:textId="77777777" w:rsidR="008F2804" w:rsidRDefault="007949EC">
      <w:pPr>
        <w:spacing w:after="160"/>
      </w:pPr>
      <w:r>
        <w:t xml:space="preserve">Silver’s crash in March 2020 was faster and deeper than gold’s, reflecting silver’s dual nature as both a monetary metal and an industrial commodity. While gold fell approximately 12% from its February peak to its March </w:t>
      </w:r>
      <w:proofErr w:type="spellStart"/>
      <w:r>
        <w:t>trough</w:t>
      </w:r>
      <w:proofErr w:type="spellEnd"/>
      <w:r>
        <w:t>, silver fell nearly 35%, dropping from approximately $18.30 to a low of $11.64 on March 18, 2020 — its lowest level since 2009.</w:t>
      </w:r>
    </w:p>
    <w:p w14:paraId="5C9877EE" w14:textId="77777777" w:rsidR="008F2804" w:rsidRDefault="007949EC">
      <w:pPr>
        <w:spacing w:after="160"/>
      </w:pPr>
      <w:r>
        <w:t>The industrial demand collapse was a key driver. Lockdowns across Europe and Asia disrupted manufacturing supply chains, reducing immediate demand for silver in electronics, automotive, and construction applications. Simultaneously, the solar panel industry — which had been a growing source of silver demand — saw project delays as supply chains froze.</w:t>
      </w:r>
    </w:p>
    <w:p w14:paraId="5C9877EF" w14:textId="77777777" w:rsidR="008F2804" w:rsidRDefault="007949EC">
      <w:pPr>
        <w:spacing w:after="160"/>
      </w:pPr>
      <w:r>
        <w:t>The recovery that followed was equally dramatic. The US Federal Reserve cut interest rates to near zero and launched unprecedented quantitative easing programmes. The US Congress passed the CARES Act in late March 2020, injecting $2.2 trillion into the economy. Similar fiscal and monetary stimulus programmes were launched globally. These actions transformed market sentiment rapidly.</w:t>
      </w:r>
    </w:p>
    <w:p w14:paraId="5C9877F0" w14:textId="77777777" w:rsidR="008F2804" w:rsidRDefault="007949EC">
      <w:pPr>
        <w:spacing w:after="160"/>
      </w:pPr>
      <w:r>
        <w:t>Silver’s recovery accelerated through the summer of 2020 as multiple tailwinds converged: a weakening US dollar (down approximately 10% from March to August), rising inflation expectations as stimulus money entered the economy, renewed investment demand from retail and institutional investors seeking inflation protection, and a surge in solar panel manufacturing demand as governments announced green energy stimulus programmes. By August 7, 2020, silver reached $29.24 per ounce — a 151% recovery from its Mar</w:t>
      </w:r>
      <w:r>
        <w:t>ch low in just five months.</w:t>
      </w:r>
    </w:p>
    <w:p w14:paraId="5C9877F1" w14:textId="77777777" w:rsidR="008F2804" w:rsidRDefault="007949EC">
      <w:pPr>
        <w:pStyle w:val="Heading2"/>
      </w:pPr>
      <w:r>
        <w:t>3. Model Behaviour During the Event</w:t>
      </w:r>
    </w:p>
    <w:p w14:paraId="5C9877F2" w14:textId="77777777" w:rsidR="008F2804" w:rsidRDefault="007949EC">
      <w:pPr>
        <w:spacing w:after="160"/>
      </w:pPr>
      <w:r>
        <w:t>The COVID-19 silver episode generated some of the most extreme model performance divergence in recent history. Models that relied purely on technical price data failed catastrophically during the crash, while models that incorporated macroeconomic and sentiment data performed significantly better.</w:t>
      </w:r>
    </w:p>
    <w:p w14:paraId="5C9877F3" w14:textId="77777777" w:rsidR="008F2804" w:rsidRDefault="007949EC">
      <w:pPr>
        <w:pStyle w:val="ListParagraph"/>
        <w:numPr>
          <w:ilvl w:val="0"/>
          <w:numId w:val="2"/>
        </w:numPr>
        <w:spacing w:after="100"/>
      </w:pPr>
      <w:r>
        <w:t xml:space="preserve">ARIMA and LSTM models: Both would have predicted continued moderate price movement based on the stable January–February 2020 data. The March crash was a complete structural break with no precedent in recent training data. ARIMA models would have forecast mean reversion upward far too early during the </w:t>
      </w:r>
      <w:r>
        <w:lastRenderedPageBreak/>
        <w:t>descent, while LSTM models trained on the prior 2–3 years would have had no analogous pattern to recognise.</w:t>
      </w:r>
    </w:p>
    <w:p w14:paraId="5C9877F4" w14:textId="77777777" w:rsidR="008F2804" w:rsidRDefault="007949EC">
      <w:pPr>
        <w:pStyle w:val="ListParagraph"/>
        <w:numPr>
          <w:ilvl w:val="0"/>
          <w:numId w:val="2"/>
        </w:numPr>
        <w:spacing w:after="100"/>
      </w:pPr>
      <w:r>
        <w:t xml:space="preserve">Volatility models: The </w:t>
      </w:r>
      <w:proofErr w:type="spellStart"/>
      <w:r>
        <w:t>VaR</w:t>
      </w:r>
      <w:proofErr w:type="spellEnd"/>
      <w:r>
        <w:t xml:space="preserve"> calculations built during our project would have been severely breached. A 95% </w:t>
      </w:r>
      <w:proofErr w:type="spellStart"/>
      <w:r>
        <w:t>VaR</w:t>
      </w:r>
      <w:proofErr w:type="spellEnd"/>
      <w:r>
        <w:t xml:space="preserve"> estimated from 2018–2019 data would have predicted maximum daily losses of approximately 3–4%. Silver experienced daily moves of 8–12% during the March crash, exceeding 95% </w:t>
      </w:r>
      <w:proofErr w:type="spellStart"/>
      <w:r>
        <w:t>VaR</w:t>
      </w:r>
      <w:proofErr w:type="spellEnd"/>
      <w:r>
        <w:t xml:space="preserve"> on multiple consecutive days — a statistically near-impossible event under normal distribution assumptions.</w:t>
      </w:r>
    </w:p>
    <w:p w14:paraId="5C9877F5" w14:textId="77777777" w:rsidR="008F2804" w:rsidRDefault="007949EC">
      <w:pPr>
        <w:pStyle w:val="ListParagraph"/>
        <w:numPr>
          <w:ilvl w:val="0"/>
          <w:numId w:val="2"/>
        </w:numPr>
        <w:spacing w:after="100"/>
      </w:pPr>
      <w:r>
        <w:t>Sentiment models: Models incorporating Google Trends data for silver-related searches would have detected the spike in retail interest during July–August 2020. Search volume for ‘buy silver’ and ‘silver price’ increased dramatically before the August peak, providing a leading indicator that technical models would have missed entirely.</w:t>
      </w:r>
    </w:p>
    <w:p w14:paraId="5C9877F6" w14:textId="77777777" w:rsidR="008F2804" w:rsidRDefault="007949EC">
      <w:pPr>
        <w:pStyle w:val="ListParagraph"/>
        <w:numPr>
          <w:ilvl w:val="0"/>
          <w:numId w:val="2"/>
        </w:numPr>
        <w:spacing w:after="160"/>
      </w:pPr>
      <w:r>
        <w:t>Macro-overlay models: Models that incorporated US dollar index (DXY), Federal Reserve interest rate decisions, and inflation expectations (measured through TIPS spreads) would have identified the bullish setup developing through April–July 2020 much earlier than pure price models.</w:t>
      </w:r>
    </w:p>
    <w:p w14:paraId="5C9877F7" w14:textId="77777777" w:rsidR="008F2804" w:rsidRDefault="007949EC">
      <w:pPr>
        <w:pStyle w:val="Heading2"/>
      </w:pPr>
      <w:r>
        <w:t>4. Lessons for Data Analysts</w:t>
      </w:r>
    </w:p>
    <w:p w14:paraId="5C9877F8" w14:textId="77777777" w:rsidR="008F2804" w:rsidRDefault="007949EC">
      <w:pPr>
        <w:pStyle w:val="ListParagraph"/>
        <w:numPr>
          <w:ilvl w:val="0"/>
          <w:numId w:val="2"/>
        </w:numPr>
        <w:spacing w:after="100"/>
      </w:pPr>
      <w:r>
        <w:t>Exogenous shocks cannot be predicted, but their aftermath can be modelled. No model could have predicted COVID-19, but models incorporating monetary policy signals, dollar strength, and inflation expectations could have identified the recovery trade developing in April–2020.</w:t>
      </w:r>
    </w:p>
    <w:p w14:paraId="5C9877F9" w14:textId="77777777" w:rsidR="008F2804" w:rsidRDefault="007949EC">
      <w:pPr>
        <w:pStyle w:val="ListParagraph"/>
        <w:numPr>
          <w:ilvl w:val="0"/>
          <w:numId w:val="2"/>
        </w:numPr>
        <w:spacing w:after="100"/>
      </w:pPr>
      <w:r>
        <w:t>Silver’s dual nature creates asymmetric responses. During risk-off events, silver falls harder than gold due to industrial demand collapse. During recovery phases, silver rises faster due to combined monetary and industrial demand recovery. This asymmetry should be built into any silver-specific forecasting model.</w:t>
      </w:r>
    </w:p>
    <w:p w14:paraId="5C9877FA" w14:textId="77777777" w:rsidR="008F2804" w:rsidRDefault="007949EC">
      <w:pPr>
        <w:pStyle w:val="ListParagraph"/>
        <w:numPr>
          <w:ilvl w:val="0"/>
          <w:numId w:val="2"/>
        </w:numPr>
        <w:spacing w:after="100"/>
      </w:pPr>
      <w:proofErr w:type="spellStart"/>
      <w:r>
        <w:t>VaR</w:t>
      </w:r>
      <w:proofErr w:type="spellEnd"/>
      <w:r>
        <w:t xml:space="preserve"> models must be stress-tested against historical crises. Using only recent calm periods to estimate </w:t>
      </w:r>
      <w:proofErr w:type="spellStart"/>
      <w:r>
        <w:t>VaR</w:t>
      </w:r>
      <w:proofErr w:type="spellEnd"/>
      <w:r>
        <w:t xml:space="preserve"> produces dangerously optimistic risk estimates. Historical simulation using 2008, 2011, and 2020 data as scenario inputs provides more realistic tail risk estimates.</w:t>
      </w:r>
    </w:p>
    <w:p w14:paraId="5C9877FB" w14:textId="77777777" w:rsidR="008F2804" w:rsidRDefault="007949EC">
      <w:pPr>
        <w:pStyle w:val="ListParagraph"/>
        <w:numPr>
          <w:ilvl w:val="0"/>
          <w:numId w:val="2"/>
        </w:numPr>
        <w:spacing w:after="100"/>
      </w:pPr>
      <w:r>
        <w:t>Sentiment data adds genuine predictive value. The August 2020 peak was preceded by a surge in retail investor interest measurable through Google Trends and social media sentiment. Incorporating alternative data sources alongside traditional price and volume data improves model performance during non-normal market conditions.</w:t>
      </w:r>
    </w:p>
    <w:p w14:paraId="5C9877FC" w14:textId="77777777" w:rsidR="008F2804" w:rsidRDefault="007949EC">
      <w:pPr>
        <w:pStyle w:val="ListParagraph"/>
        <w:numPr>
          <w:ilvl w:val="0"/>
          <w:numId w:val="2"/>
        </w:numPr>
        <w:spacing w:after="100"/>
      </w:pPr>
      <w:r>
        <w:t>Speed of recovery matters for position sizing. The 151% recovery in five months was among the fastest in silver’s modern history. Models that incorporate recovery velocity — not just direction — allow for more dynamic position sizing during recovery phases.</w:t>
      </w:r>
    </w:p>
    <w:p w14:paraId="5C9877FD" w14:textId="77777777" w:rsidR="008F2804" w:rsidRDefault="007949EC">
      <w:pPr>
        <w:pStyle w:val="ListParagraph"/>
        <w:numPr>
          <w:ilvl w:val="0"/>
          <w:numId w:val="2"/>
        </w:numPr>
        <w:spacing w:after="160"/>
      </w:pPr>
      <w:r>
        <w:t xml:space="preserve">Cross-asset correlations shift during crises. Silver’s correlation with gold, equities, and the dollar changes significantly during stress events. Models that </w:t>
      </w:r>
      <w:r>
        <w:lastRenderedPageBreak/>
        <w:t>assume static correlations will misestimate portfolio risk during precisely the moments when accurate risk estimation matters most.</w:t>
      </w:r>
    </w:p>
    <w:sectPr w:rsidR="008F28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0564"/>
    <w:multiLevelType w:val="hybridMultilevel"/>
    <w:tmpl w:val="E5A23310"/>
    <w:lvl w:ilvl="0" w:tplc="538CA582">
      <w:start w:val="1"/>
      <w:numFmt w:val="bullet"/>
      <w:lvlText w:val="•"/>
      <w:lvlJc w:val="left"/>
      <w:pPr>
        <w:ind w:left="720" w:hanging="360"/>
      </w:pPr>
    </w:lvl>
    <w:lvl w:ilvl="1" w:tplc="F2AEB5C8">
      <w:numFmt w:val="decimal"/>
      <w:lvlText w:val=""/>
      <w:lvlJc w:val="left"/>
    </w:lvl>
    <w:lvl w:ilvl="2" w:tplc="418AA99C">
      <w:numFmt w:val="decimal"/>
      <w:lvlText w:val=""/>
      <w:lvlJc w:val="left"/>
    </w:lvl>
    <w:lvl w:ilvl="3" w:tplc="4762DE34">
      <w:numFmt w:val="decimal"/>
      <w:lvlText w:val=""/>
      <w:lvlJc w:val="left"/>
    </w:lvl>
    <w:lvl w:ilvl="4" w:tplc="FFB6A8F0">
      <w:numFmt w:val="decimal"/>
      <w:lvlText w:val=""/>
      <w:lvlJc w:val="left"/>
    </w:lvl>
    <w:lvl w:ilvl="5" w:tplc="B0F89BCA">
      <w:numFmt w:val="decimal"/>
      <w:lvlText w:val=""/>
      <w:lvlJc w:val="left"/>
    </w:lvl>
    <w:lvl w:ilvl="6" w:tplc="250A7126">
      <w:numFmt w:val="decimal"/>
      <w:lvlText w:val=""/>
      <w:lvlJc w:val="left"/>
    </w:lvl>
    <w:lvl w:ilvl="7" w:tplc="4F361BA6">
      <w:numFmt w:val="decimal"/>
      <w:lvlText w:val=""/>
      <w:lvlJc w:val="left"/>
    </w:lvl>
    <w:lvl w:ilvl="8" w:tplc="F6D4BFEA">
      <w:numFmt w:val="decimal"/>
      <w:lvlText w:val=""/>
      <w:lvlJc w:val="left"/>
    </w:lvl>
  </w:abstractNum>
  <w:abstractNum w:abstractNumId="1" w15:restartNumberingAfterBreak="0">
    <w:nsid w:val="60377278"/>
    <w:multiLevelType w:val="hybridMultilevel"/>
    <w:tmpl w:val="46BC066C"/>
    <w:lvl w:ilvl="0" w:tplc="BC1862CE">
      <w:start w:val="1"/>
      <w:numFmt w:val="bullet"/>
      <w:lvlText w:val="●"/>
      <w:lvlJc w:val="left"/>
      <w:pPr>
        <w:ind w:left="720" w:hanging="360"/>
      </w:pPr>
    </w:lvl>
    <w:lvl w:ilvl="1" w:tplc="DD082C5C">
      <w:start w:val="1"/>
      <w:numFmt w:val="bullet"/>
      <w:lvlText w:val="○"/>
      <w:lvlJc w:val="left"/>
      <w:pPr>
        <w:ind w:left="1440" w:hanging="360"/>
      </w:pPr>
    </w:lvl>
    <w:lvl w:ilvl="2" w:tplc="4752A888">
      <w:start w:val="1"/>
      <w:numFmt w:val="bullet"/>
      <w:lvlText w:val="■"/>
      <w:lvlJc w:val="left"/>
      <w:pPr>
        <w:ind w:left="2160" w:hanging="360"/>
      </w:pPr>
    </w:lvl>
    <w:lvl w:ilvl="3" w:tplc="E488B0F2">
      <w:start w:val="1"/>
      <w:numFmt w:val="bullet"/>
      <w:lvlText w:val="●"/>
      <w:lvlJc w:val="left"/>
      <w:pPr>
        <w:ind w:left="2880" w:hanging="360"/>
      </w:pPr>
    </w:lvl>
    <w:lvl w:ilvl="4" w:tplc="E738FA6C">
      <w:start w:val="1"/>
      <w:numFmt w:val="bullet"/>
      <w:lvlText w:val="○"/>
      <w:lvlJc w:val="left"/>
      <w:pPr>
        <w:ind w:left="3600" w:hanging="360"/>
      </w:pPr>
    </w:lvl>
    <w:lvl w:ilvl="5" w:tplc="B83ECC84">
      <w:start w:val="1"/>
      <w:numFmt w:val="bullet"/>
      <w:lvlText w:val="■"/>
      <w:lvlJc w:val="left"/>
      <w:pPr>
        <w:ind w:left="4320" w:hanging="360"/>
      </w:pPr>
    </w:lvl>
    <w:lvl w:ilvl="6" w:tplc="6D2A59EE">
      <w:start w:val="1"/>
      <w:numFmt w:val="bullet"/>
      <w:lvlText w:val="●"/>
      <w:lvlJc w:val="left"/>
      <w:pPr>
        <w:ind w:left="5040" w:hanging="360"/>
      </w:pPr>
    </w:lvl>
    <w:lvl w:ilvl="7" w:tplc="8F48603E">
      <w:start w:val="1"/>
      <w:numFmt w:val="bullet"/>
      <w:lvlText w:val="●"/>
      <w:lvlJc w:val="left"/>
      <w:pPr>
        <w:ind w:left="5760" w:hanging="360"/>
      </w:pPr>
    </w:lvl>
    <w:lvl w:ilvl="8" w:tplc="96C8E70C">
      <w:start w:val="1"/>
      <w:numFmt w:val="bullet"/>
      <w:lvlText w:val="●"/>
      <w:lvlJc w:val="left"/>
      <w:pPr>
        <w:ind w:left="6480" w:hanging="360"/>
      </w:pPr>
    </w:lvl>
  </w:abstractNum>
  <w:num w:numId="1" w16cid:durableId="1431118403">
    <w:abstractNumId w:val="1"/>
    <w:lvlOverride w:ilvl="0">
      <w:startOverride w:val="1"/>
    </w:lvlOverride>
  </w:num>
  <w:num w:numId="2" w16cid:durableId="1233000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04"/>
    <w:rsid w:val="00565152"/>
    <w:rsid w:val="007949EC"/>
    <w:rsid w:val="008F2804"/>
    <w:rsid w:val="00974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77CB"/>
  <w15:docId w15:val="{1896AF35-0C72-47F5-8CBC-F3103B76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spacing w:before="20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1977</Words>
  <Characters>11269</Characters>
  <Application>Microsoft Office Word</Application>
  <DocSecurity>0</DocSecurity>
  <Lines>93</Lines>
  <Paragraphs>26</Paragraphs>
  <ScaleCrop>false</ScaleCrop>
  <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nandinisathe991@gmail.com</cp:lastModifiedBy>
  <cp:revision>2</cp:revision>
  <dcterms:created xsi:type="dcterms:W3CDTF">2026-06-03T06:01:00Z</dcterms:created>
  <dcterms:modified xsi:type="dcterms:W3CDTF">2026-06-03T06:36:00Z</dcterms:modified>
</cp:coreProperties>
</file>