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4E79"/>
          <w:sz w:val="52"/>
          <w:szCs w:val="52"/>
        </w:rPr>
        <w:t xml:space="preserve">SILVER COMMODITY PRICE ANALYSIS</w:t>
      </w:r>
    </w:p>
    <w:p>
      <w:pPr>
        <w:spacing w:after="80" w:before="160"/>
        <w:jc w:val="center"/>
      </w:pPr>
      <w:r>
        <w:rPr>
          <w:rFonts w:ascii="Arial" w:cs="Arial" w:eastAsia="Arial" w:hAnsi="Arial"/>
          <w:color w:val="2E74B5"/>
          <w:sz w:val="32"/>
          <w:szCs w:val="32"/>
        </w:rPr>
        <w:t xml:space="preserve">A Comprehensive Data Analytics Project</w:t>
      </w:r>
    </w:p>
    <w:p>
      <w:pPr>
        <w:spacing w:after="480" w:before="80"/>
        <w:jc w:val="center"/>
      </w:pPr>
      <w:r>
        <w:rPr>
          <w:rFonts w:ascii="Arial" w:cs="Arial" w:eastAsia="Arial" w:hAnsi="Arial"/>
          <w:color w:val="595959"/>
          <w:sz w:val="28"/>
          <w:szCs w:val="28"/>
        </w:rPr>
        <w:t xml:space="preserve">2000 – 2025</w:t>
      </w:r>
    </w:p>
    <w:p>
      <w:pPr>
        <w:pBdr>
          <w:bottom w:val="single" w:color="1F4E79" w:sz="6" w:space="1"/>
        </w:pBdr>
        <w:spacing w:after="360"/>
      </w:pPr>
      <w:r>
        <w:t xml:space="preserve"/>
      </w:r>
    </w:p>
    <w:p>
      <w:pPr>
        <w:spacing w:before="360"/>
        <w:jc w:val="center"/>
      </w:pPr>
      <w:r>
        <w:rPr>
          <w:rFonts w:ascii="Arial" w:cs="Arial" w:eastAsia="Arial" w:hAnsi="Arial"/>
          <w:color w:val="595959"/>
          <w:sz w:val="26"/>
          <w:szCs w:val="26"/>
        </w:rPr>
        <w:t xml:space="preserve">Data Analytics Internship — Final Report</w:t>
      </w:r>
    </w:p>
    <w:p>
      <w:pPr>
        <w:spacing w:before="80"/>
        <w:jc w:val="center"/>
      </w:pPr>
      <w:r>
        <w:rPr>
          <w:rFonts w:ascii="Arial" w:cs="Arial" w:eastAsia="Arial" w:hAnsi="Arial"/>
          <w:color w:val="595959"/>
          <w:sz w:val="24"/>
          <w:szCs w:val="24"/>
        </w:rPr>
        <w:t xml:space="preserve">Day 13 — Documentation &amp; Case Studies</w:t>
      </w:r>
    </w:p>
    <w:p>
      <w:pPr>
        <w:spacing w:before="80"/>
        <w:jc w:val="center"/>
      </w:pPr>
      <w:r>
        <w:rPr>
          <w:rFonts w:ascii="Arial" w:cs="Arial" w:eastAsia="Arial" w:hAnsi="Arial"/>
          <w:color w:val="595959"/>
          <w:sz w:val="24"/>
          <w:szCs w:val="24"/>
        </w:rPr>
        <w:t xml:space="preserve">2025–2026</w:t>
      </w:r>
    </w:p>
    <w:p>
      <w:r>
        <w:br/>
        <w:t xml:space="preserve"/>
      </w:r>
    </w:p>
    <w:p>
      <w:pPr>
        <w:pStyle w:val="Heading1"/>
      </w:pPr>
      <w:r>
        <w:t xml:space="preserve">1. Executive Summary</w:t>
      </w:r>
    </w:p>
    <w:p>
      <w:pPr>
        <w:spacing w:after="160"/>
      </w:pPr>
      <w:r>
        <w:rPr>
          <w:rFonts w:ascii="Arial" w:cs="Arial" w:eastAsia="Arial" w:hAnsi="Arial"/>
          <w:sz w:val="24"/>
          <w:szCs w:val="24"/>
        </w:rPr>
        <w:t xml:space="preserve">This report presents a comprehensive data analytics project focused on silver commodity prices from 2000 to 2025. The project was conducted as part of a structured internship curriculum spanning 13 days, progressing from foundational Python data analysis through machine learning modelling, Power BI dashboard development, and case study documentation.</w:t>
      </w:r>
    </w:p>
    <w:p>
      <w:pPr>
        <w:spacing w:after="160"/>
      </w:pPr>
      <w:r>
        <w:rPr>
          <w:rFonts w:ascii="Arial" w:cs="Arial" w:eastAsia="Arial" w:hAnsi="Arial"/>
          <w:sz w:val="24"/>
          <w:szCs w:val="24"/>
        </w:rPr>
        <w:t xml:space="preserve">The core objective was to build an end-to-end analytical pipeline — from raw data ingestion and preprocessing through feature engineering, predictive modelling, ensemble methods, and interactive dashboard visualisation — that would allow analysts to understand silver price dynamics, identify risk regimes, and generate short-term price forecasts.</w:t>
      </w:r>
    </w:p>
    <w:p>
      <w:pPr>
        <w:spacing w:after="120"/>
      </w:pPr>
      <w:r>
        <w:rPr>
          <w:rFonts w:ascii="Arial" w:cs="Arial" w:eastAsia="Arial" w:hAnsi="Arial"/>
          <w:b/>
          <w:bCs/>
          <w:sz w:val="24"/>
          <w:szCs w:val="24"/>
        </w:rPr>
        <w:t xml:space="preserve">Key findings:</w:t>
      </w:r>
    </w:p>
    <w:p>
      <w:pPr>
        <w:pStyle w:val="ListParagraph"/>
        <w:numPr>
          <w:ilvl w:val="0"/>
          <w:numId w:val="2"/>
        </w:numPr>
        <w:spacing w:after="80"/>
      </w:pPr>
      <w:r>
        <w:rPr>
          <w:rFonts w:ascii="Arial" w:cs="Arial" w:eastAsia="Arial" w:hAnsi="Arial"/>
          <w:sz w:val="24"/>
          <w:szCs w:val="24"/>
        </w:rPr>
        <w:t xml:space="preserve">Silver exhibits significantly higher volatility than gold, with annualised rolling volatility averaging 25–35% over the study period, versus 15–18% for gold.</w:t>
      </w:r>
    </w:p>
    <w:p>
      <w:pPr>
        <w:pStyle w:val="ListParagraph"/>
        <w:numPr>
          <w:ilvl w:val="0"/>
          <w:numId w:val="2"/>
        </w:numPr>
        <w:spacing w:after="80"/>
      </w:pPr>
      <w:r>
        <w:rPr>
          <w:rFonts w:ascii="Arial" w:cs="Arial" w:eastAsia="Arial" w:hAnsi="Arial"/>
          <w:sz w:val="24"/>
          <w:szCs w:val="24"/>
        </w:rPr>
        <w:t xml:space="preserve">Three distinct price regimes were identified: the pre-financial crisis accumulation phase (2000–2007), the post-crisis commodity supercycle peak (2008–2012), and the extended consolidation and recovery phase (2013–2025).</w:t>
      </w:r>
    </w:p>
    <w:p>
      <w:pPr>
        <w:pStyle w:val="ListParagraph"/>
        <w:numPr>
          <w:ilvl w:val="0"/>
          <w:numId w:val="2"/>
        </w:numPr>
        <w:spacing w:after="80"/>
      </w:pPr>
      <w:r>
        <w:rPr>
          <w:rFonts w:ascii="Arial" w:cs="Arial" w:eastAsia="Arial" w:hAnsi="Arial"/>
          <w:sz w:val="24"/>
          <w:szCs w:val="24"/>
        </w:rPr>
        <w:t xml:space="preserve">The ensemble model combining ARIMA, LSTM, Random Forest, and XGBoost forecasts outperformed any single model on out-of-sample test data.</w:t>
      </w:r>
    </w:p>
    <w:p>
      <w:pPr>
        <w:pStyle w:val="ListParagraph"/>
        <w:numPr>
          <w:ilvl w:val="0"/>
          <w:numId w:val="2"/>
        </w:numPr>
        <w:spacing w:after="80"/>
      </w:pPr>
      <w:r>
        <w:rPr>
          <w:rFonts w:ascii="Arial" w:cs="Arial" w:eastAsia="Arial" w:hAnsi="Arial"/>
          <w:sz w:val="24"/>
          <w:szCs w:val="24"/>
        </w:rPr>
        <w:t xml:space="preserve">COT positioning data and the US Dollar Index were the strongest macro predictors of silver price direction, ahead of CPI inflation data.</w:t>
      </w:r>
    </w:p>
    <w:p>
      <w:pPr>
        <w:pStyle w:val="ListParagraph"/>
        <w:numPr>
          <w:ilvl w:val="0"/>
          <w:numId w:val="2"/>
        </w:numPr>
        <w:spacing w:after="280"/>
      </w:pPr>
      <w:r>
        <w:rPr>
          <w:rFonts w:ascii="Arial" w:cs="Arial" w:eastAsia="Arial" w:hAnsi="Arial"/>
          <w:sz w:val="24"/>
          <w:szCs w:val="24"/>
        </w:rPr>
        <w:t xml:space="preserve">The Power BI dashboard delivers four pages of interactive analytics: Price Analytics, Risk Analytics, Forecast Comparison, and Macro &amp; Sentiment, with 17+ DAX measures, drill-through capability, and dynamic titles.</w:t>
      </w:r>
    </w:p>
    <w:p>
      <w:pPr>
        <w:pStyle w:val="Heading1"/>
      </w:pPr>
      <w:r>
        <w:t xml:space="preserve">2. Methodology</w:t>
      </w:r>
    </w:p>
    <w:p>
      <w:pPr>
        <w:spacing w:after="160"/>
      </w:pPr>
      <w:r>
        <w:rPr>
          <w:rFonts w:ascii="Arial" w:cs="Arial" w:eastAsia="Arial" w:hAnsi="Arial"/>
          <w:sz w:val="24"/>
          <w:szCs w:val="24"/>
        </w:rPr>
        <w:t xml:space="preserve">The project followed a structured data science workflow, progressing through five core phases: data acquisition and cleaning, exploratory data analysis, feature engineering, predictive modelling, and dashboard visualisation. Each phase was implemented in Google Colab (Days 1–10) before transitioning to Power BI (Days 11–12).</w:t>
      </w:r>
    </w:p>
    <w:p>
      <w:pPr>
        <w:pStyle w:val="Heading2"/>
      </w:pPr>
      <w:r>
        <w:t xml:space="preserve">2.1 Data Acquisition</w:t>
      </w:r>
    </w:p>
    <w:p>
      <w:pPr>
        <w:spacing w:after="160"/>
      </w:pPr>
      <w:r>
        <w:rPr>
          <w:rFonts w:ascii="Arial" w:cs="Arial" w:eastAsia="Arial" w:hAnsi="Arial"/>
          <w:sz w:val="24"/>
          <w:szCs w:val="24"/>
        </w:rPr>
        <w:t xml:space="preserve">Five datasets were used across the project, each providing a different dimension of the silver market. Data was sourced from public repositories and commodity databases, covering the period from January 2000 to December 2025. All datasets were provided in CSV format and imported into both Google Colab and Power BI.</w:t>
      </w:r>
    </w:p>
    <w:p>
      <w:pPr>
        <w:pStyle w:val="Heading2"/>
      </w:pPr>
      <w:r>
        <w:t xml:space="preserve">2.2 Data Cleaning and Preprocessing</w:t>
      </w:r>
    </w:p>
    <w:p>
      <w:pPr>
        <w:spacing w:after="120"/>
      </w:pPr>
      <w:r>
        <w:rPr>
          <w:rFonts w:ascii="Arial" w:cs="Arial" w:eastAsia="Arial" w:hAnsi="Arial"/>
          <w:sz w:val="24"/>
          <w:szCs w:val="24"/>
        </w:rPr>
        <w:t xml:space="preserve">The following preprocessing steps were applied to each dataset:</w:t>
      </w:r>
    </w:p>
    <w:p>
      <w:pPr>
        <w:pStyle w:val="ListParagraph"/>
        <w:numPr>
          <w:ilvl w:val="0"/>
          <w:numId w:val="3"/>
        </w:numPr>
        <w:spacing w:after="80"/>
      </w:pPr>
      <w:r>
        <w:rPr>
          <w:rFonts w:ascii="Arial" w:cs="Arial" w:eastAsia="Arial" w:hAnsi="Arial"/>
          <w:sz w:val="24"/>
          <w:szCs w:val="24"/>
        </w:rPr>
        <w:t xml:space="preserve">Missing value treatment: Forward fill for trading day gaps (weekends, holidays); interpolation for macroeconomic series with monthly frequency.</w:t>
      </w:r>
    </w:p>
    <w:p>
      <w:pPr>
        <w:pStyle w:val="ListParagraph"/>
        <w:numPr>
          <w:ilvl w:val="0"/>
          <w:numId w:val="3"/>
        </w:numPr>
        <w:spacing w:after="80"/>
      </w:pPr>
      <w:r>
        <w:rPr>
          <w:rFonts w:ascii="Arial" w:cs="Arial" w:eastAsia="Arial" w:hAnsi="Arial"/>
          <w:sz w:val="24"/>
          <w:szCs w:val="24"/>
        </w:rPr>
        <w:t xml:space="preserve">Outlier detection: Z-score method with threshold of 3.5 standard deviations; identified and flagged but not removed, as extreme values carry analytical significance.</w:t>
      </w:r>
    </w:p>
    <w:p>
      <w:pPr>
        <w:pStyle w:val="ListParagraph"/>
        <w:numPr>
          <w:ilvl w:val="0"/>
          <w:numId w:val="3"/>
        </w:numPr>
        <w:spacing w:after="80"/>
      </w:pPr>
      <w:r>
        <w:rPr>
          <w:rFonts w:ascii="Arial" w:cs="Arial" w:eastAsia="Arial" w:hAnsi="Arial"/>
          <w:sz w:val="24"/>
          <w:szCs w:val="24"/>
        </w:rPr>
        <w:t xml:space="preserve">Date alignment: All datasets normalised to a common trading day calendar using the OHLCV dataset as the primary date spine.</w:t>
      </w:r>
    </w:p>
    <w:p>
      <w:pPr>
        <w:pStyle w:val="ListParagraph"/>
        <w:numPr>
          <w:ilvl w:val="0"/>
          <w:numId w:val="3"/>
        </w:numPr>
        <w:spacing w:after="80"/>
      </w:pPr>
      <w:r>
        <w:rPr>
          <w:rFonts w:ascii="Arial" w:cs="Arial" w:eastAsia="Arial" w:hAnsi="Arial"/>
          <w:sz w:val="24"/>
          <w:szCs w:val="24"/>
        </w:rPr>
        <w:t xml:space="preserve">Star schema construction: A date dimension table was built in Power Query with Year, Quarter, Month, Week, DayOfWeek, IsWeekend, and TradingDayNumber columns.</w:t>
      </w:r>
    </w:p>
    <w:p>
      <w:pPr>
        <w:pStyle w:val="ListParagraph"/>
        <w:numPr>
          <w:ilvl w:val="0"/>
          <w:numId w:val="3"/>
        </w:numPr>
        <w:spacing w:after="200"/>
      </w:pPr>
      <w:r>
        <w:rPr>
          <w:rFonts w:ascii="Arial" w:cs="Arial" w:eastAsia="Arial" w:hAnsi="Arial"/>
          <w:sz w:val="24"/>
          <w:szCs w:val="24"/>
        </w:rPr>
        <w:t xml:space="preserve">Normalisation: Min-max scaling applied to features used in machine learning models; original values preserved for DAX measures and dashboard display.</w:t>
      </w:r>
    </w:p>
    <w:p>
      <w:pPr>
        <w:pStyle w:val="Heading2"/>
      </w:pPr>
      <w:r>
        <w:t xml:space="preserve">2.3 Analytical Tools</w:t>
      </w:r>
    </w:p>
    <w:p>
      <w:pPr>
        <w:pStyle w:val="ListParagraph"/>
        <w:numPr>
          <w:ilvl w:val="0"/>
          <w:numId w:val="2"/>
        </w:numPr>
        <w:spacing w:after="80"/>
      </w:pPr>
      <w:r>
        <w:rPr>
          <w:rFonts w:ascii="Arial" w:cs="Arial" w:eastAsia="Arial" w:hAnsi="Arial"/>
          <w:sz w:val="24"/>
          <w:szCs w:val="24"/>
        </w:rPr>
        <w:t xml:space="preserve">Python (Google Colab): pandas, numpy, matplotlib, seaborn, scikit-learn, statsmodels, TensorFlow/Keras</w:t>
      </w:r>
    </w:p>
    <w:p>
      <w:pPr>
        <w:pStyle w:val="ListParagraph"/>
        <w:numPr>
          <w:ilvl w:val="0"/>
          <w:numId w:val="2"/>
        </w:numPr>
        <w:spacing w:after="80"/>
      </w:pPr>
      <w:r>
        <w:rPr>
          <w:rFonts w:ascii="Arial" w:cs="Arial" w:eastAsia="Arial" w:hAnsi="Arial"/>
          <w:sz w:val="24"/>
          <w:szCs w:val="24"/>
        </w:rPr>
        <w:t xml:space="preserve">Power BI Desktop: DAX measures, Power Query, custom visuals</w:t>
      </w:r>
    </w:p>
    <w:p>
      <w:pPr>
        <w:pStyle w:val="ListParagraph"/>
        <w:numPr>
          <w:ilvl w:val="0"/>
          <w:numId w:val="2"/>
        </w:numPr>
        <w:spacing w:after="280"/>
      </w:pPr>
      <w:r>
        <w:rPr>
          <w:rFonts w:ascii="Arial" w:cs="Arial" w:eastAsia="Arial" w:hAnsi="Arial"/>
          <w:sz w:val="24"/>
          <w:szCs w:val="24"/>
        </w:rPr>
        <w:t xml:space="preserve">Models: ARIMA, LSTM, Random Forest, XGBoost, Linear Regression, Ensemble</w:t>
      </w:r>
    </w:p>
    <w:p>
      <w:pPr>
        <w:pStyle w:val="Heading1"/>
      </w:pPr>
      <w:r>
        <w:t xml:space="preserve">3. Data Description</w:t>
      </w:r>
    </w:p>
    <w:p>
      <w:pPr>
        <w:spacing w:after="160"/>
      </w:pPr>
      <w:r>
        <w:rPr>
          <w:rFonts w:ascii="Arial" w:cs="Arial" w:eastAsia="Arial" w:hAnsi="Arial"/>
          <w:sz w:val="24"/>
          <w:szCs w:val="24"/>
        </w:rPr>
        <w:t xml:space="preserve">Five datasets were used across the project. Each is described below with its source, coverage period, and primary variables.</w:t>
      </w:r>
    </w:p>
    <w:p>
      <w:pPr>
        <w:pStyle w:val="Heading2"/>
      </w:pPr>
      <w:r>
        <w:t xml:space="preserve">3.1 silver_daily_ohlcv_2000_2025.csv</w:t>
      </w:r>
    </w:p>
    <w:p>
      <w:pPr>
        <w:spacing w:after="160"/>
      </w:pPr>
      <w:r>
        <w:rPr>
          <w:rFonts w:ascii="Arial" w:cs="Arial" w:eastAsia="Arial" w:hAnsi="Arial"/>
          <w:sz w:val="24"/>
          <w:szCs w:val="24"/>
        </w:rPr>
        <w:t xml:space="preserve">The primary dataset containing daily Open, High, Low, Close, and Volume data for silver spot prices from January 2000 to December 2025. This dataset forms the backbone of all price analysis, technical indicator calculation, and model training. Key columns: Date, Open, High, Low, Close, Adj_Close, Volume. Total rows: approximately 6,500 trading days.</w:t>
      </w:r>
    </w:p>
    <w:p>
      <w:pPr>
        <w:pStyle w:val="Heading2"/>
      </w:pPr>
      <w:r>
        <w:t xml:space="preserve">3.2 silver_futures_contracts.csv</w:t>
      </w:r>
    </w:p>
    <w:p>
      <w:pPr>
        <w:spacing w:after="160"/>
      </w:pPr>
      <w:r>
        <w:rPr>
          <w:rFonts w:ascii="Arial" w:cs="Arial" w:eastAsia="Arial" w:hAnsi="Arial"/>
          <w:sz w:val="24"/>
          <w:szCs w:val="24"/>
        </w:rPr>
        <w:t xml:space="preserve">Futures contract data including front-month and near-month contract prices, open interest, basis (futures minus spot), and implied carry. Used for COT analysis, basis monitoring, and backwardation/contango detection. Key columns: Date, Futures_Price, Open_Interest, Basis, Basis_Pct, Contract_Month, Implied_Carry, Months_To_Expiry.</w:t>
      </w:r>
    </w:p>
    <w:p>
      <w:pPr>
        <w:pStyle w:val="Heading2"/>
      </w:pPr>
      <w:r>
        <w:t xml:space="preserve">3.3 silver_macroeconomic_indicators.csv</w:t>
      </w:r>
    </w:p>
    <w:p>
      <w:pPr>
        <w:spacing w:after="160"/>
      </w:pPr>
      <w:r>
        <w:rPr>
          <w:rFonts w:ascii="Arial" w:cs="Arial" w:eastAsia="Arial" w:hAnsi="Arial"/>
          <w:sz w:val="24"/>
          <w:szCs w:val="24"/>
        </w:rPr>
        <w:t xml:space="preserve">Monthly macroeconomic data covering key drivers of silver prices including the US Federal Funds Rate, Consumer Price Index, US Dollar Index (DXY), 10-year Treasury yield, and gold prices. Used for macro overlay analysis, Fed rate impact modelling, and Silver-Gold ratio calculation.</w:t>
      </w:r>
    </w:p>
    <w:p>
      <w:pPr>
        <w:pStyle w:val="Heading2"/>
      </w:pPr>
      <w:r>
        <w:t xml:space="preserve">3.4 silver_sentiment_weekly.csv</w:t>
      </w:r>
    </w:p>
    <w:p>
      <w:pPr>
        <w:spacing w:after="160"/>
      </w:pPr>
      <w:r>
        <w:rPr>
          <w:rFonts w:ascii="Arial" w:cs="Arial" w:eastAsia="Arial" w:hAnsi="Arial"/>
          <w:sz w:val="24"/>
          <w:szCs w:val="24"/>
        </w:rPr>
        <w:t xml:space="preserve">Weekly sentiment data derived from CFTC Commitment of Traders (COT) reports and Google Trends data for silver-related search terms. COT data provides Non-Commercial Net Long positioning as a percentage of Total Open Interest — a key contrarian indicator. Google Trends data captures retail investor attention cycles.</w:t>
      </w:r>
    </w:p>
    <w:p>
      <w:pPr>
        <w:pStyle w:val="Heading2"/>
      </w:pPr>
      <w:r>
        <w:t xml:space="preserve">3.5 silver_supply_demand.csv</w:t>
      </w:r>
    </w:p>
    <w:p>
      <w:pPr>
        <w:spacing w:after="280"/>
      </w:pPr>
      <w:r>
        <w:rPr>
          <w:rFonts w:ascii="Arial" w:cs="Arial" w:eastAsia="Arial" w:hAnsi="Arial"/>
          <w:sz w:val="24"/>
          <w:szCs w:val="24"/>
        </w:rPr>
        <w:t xml:space="preserve">Annual supply and demand fundamentals including mine production, recycling supply, industrial demand (electronics, solar, medical), investment demand (ETFs, coins, bars), and jewellery demand. Used for long-term structural analysis and Supply_Demand_Signal measure construction.</w:t>
      </w:r>
    </w:p>
    <w:p>
      <w:pPr>
        <w:pStyle w:val="Heading1"/>
      </w:pPr>
      <w:r>
        <w:t xml:space="preserve">4. Feature Engineering Approach</w:t>
      </w:r>
    </w:p>
    <w:p>
      <w:pPr>
        <w:spacing w:after="160"/>
      </w:pPr>
      <w:r>
        <w:rPr>
          <w:rFonts w:ascii="Arial" w:cs="Arial" w:eastAsia="Arial" w:hAnsi="Arial"/>
          <w:sz w:val="24"/>
          <w:szCs w:val="24"/>
        </w:rPr>
        <w:t xml:space="preserve">Feature engineering was conducted across two environments: Python in Google Colab for machine learning model inputs, and DAX measures in Power BI for dashboard analytics. Both share a common conceptual framework but differ in implementation.</w:t>
      </w:r>
    </w:p>
    <w:p>
      <w:pPr>
        <w:pStyle w:val="Heading2"/>
      </w:pPr>
      <w:r>
        <w:t xml:space="preserve">4.1 Technical Features</w:t>
      </w:r>
    </w:p>
    <w:p>
      <w:pPr>
        <w:pStyle w:val="ListParagraph"/>
        <w:numPr>
          <w:ilvl w:val="0"/>
          <w:numId w:val="2"/>
        </w:numPr>
        <w:spacing w:after="80"/>
      </w:pPr>
      <w:r>
        <w:rPr>
          <w:rFonts w:ascii="Arial" w:cs="Arial" w:eastAsia="Arial" w:hAnsi="Arial"/>
          <w:sz w:val="24"/>
          <w:szCs w:val="24"/>
        </w:rPr>
        <w:t xml:space="preserve">SMA_20 and SMA_50: 20-day and 50-day simple moving averages of closing price. Used as trend baseline and crossover signals.</w:t>
      </w:r>
    </w:p>
    <w:p>
      <w:pPr>
        <w:pStyle w:val="ListParagraph"/>
        <w:numPr>
          <w:ilvl w:val="0"/>
          <w:numId w:val="2"/>
        </w:numPr>
        <w:spacing w:after="80"/>
      </w:pPr>
      <w:r>
        <w:rPr>
          <w:rFonts w:ascii="Arial" w:cs="Arial" w:eastAsia="Arial" w:hAnsi="Arial"/>
          <w:sz w:val="24"/>
          <w:szCs w:val="24"/>
        </w:rPr>
        <w:t xml:space="preserve">RSI (Relative Strength Index): 14-period momentum oscillator bounded 0–100. Values above 70 signal overbought; below 30 signal oversold.</w:t>
      </w:r>
    </w:p>
    <w:p>
      <w:pPr>
        <w:pStyle w:val="ListParagraph"/>
        <w:numPr>
          <w:ilvl w:val="0"/>
          <w:numId w:val="2"/>
        </w:numPr>
        <w:spacing w:after="80"/>
      </w:pPr>
      <w:r>
        <w:rPr>
          <w:rFonts w:ascii="Arial" w:cs="Arial" w:eastAsia="Arial" w:hAnsi="Arial"/>
          <w:sz w:val="24"/>
          <w:szCs w:val="24"/>
        </w:rPr>
        <w:t xml:space="preserve">ATR (Average True Range): 14-day measure of price volatility accounting for gaps. Used as a position sizing input.</w:t>
      </w:r>
    </w:p>
    <w:p>
      <w:pPr>
        <w:pStyle w:val="ListParagraph"/>
        <w:numPr>
          <w:ilvl w:val="0"/>
          <w:numId w:val="2"/>
        </w:numPr>
        <w:spacing w:after="80"/>
      </w:pPr>
      <w:r>
        <w:rPr>
          <w:rFonts w:ascii="Arial" w:cs="Arial" w:eastAsia="Arial" w:hAnsi="Arial"/>
          <w:sz w:val="24"/>
          <w:szCs w:val="24"/>
        </w:rPr>
        <w:t xml:space="preserve">VWAP (Volume Weighted Average Price): Daily volume-weighted price benchmark. Used as fair value reference and model proxy for predicted price.</w:t>
      </w:r>
    </w:p>
    <w:p>
      <w:pPr>
        <w:pStyle w:val="ListParagraph"/>
        <w:numPr>
          <w:ilvl w:val="0"/>
          <w:numId w:val="2"/>
        </w:numPr>
        <w:spacing w:after="160"/>
      </w:pPr>
      <w:r>
        <w:rPr>
          <w:rFonts w:ascii="Arial" w:cs="Arial" w:eastAsia="Arial" w:hAnsi="Arial"/>
          <w:sz w:val="24"/>
          <w:szCs w:val="24"/>
        </w:rPr>
        <w:t xml:space="preserve">Price_vs_SMA: Percentage deviation of current price from SMA_20. Captures mean-reversion tendency.</w:t>
      </w:r>
    </w:p>
    <w:p>
      <w:pPr>
        <w:pStyle w:val="Heading2"/>
      </w:pPr>
      <w:r>
        <w:t xml:space="preserve">4.2 Risk Features</w:t>
      </w:r>
    </w:p>
    <w:p>
      <w:pPr>
        <w:pStyle w:val="ListParagraph"/>
        <w:numPr>
          <w:ilvl w:val="0"/>
          <w:numId w:val="2"/>
        </w:numPr>
        <w:spacing w:after="80"/>
      </w:pPr>
      <w:r>
        <w:rPr>
          <w:rFonts w:ascii="Arial" w:cs="Arial" w:eastAsia="Arial" w:hAnsi="Arial"/>
          <w:sz w:val="24"/>
          <w:szCs w:val="24"/>
        </w:rPr>
        <w:t xml:space="preserve">Rolling_Volatility: 20-day annualised standard deviation of daily returns. Primary risk measure and volatility heatmap input.</w:t>
      </w:r>
    </w:p>
    <w:p>
      <w:pPr>
        <w:pStyle w:val="ListParagraph"/>
        <w:numPr>
          <w:ilvl w:val="0"/>
          <w:numId w:val="2"/>
        </w:numPr>
        <w:spacing w:after="80"/>
      </w:pPr>
      <w:r>
        <w:rPr>
          <w:rFonts w:ascii="Arial" w:cs="Arial" w:eastAsia="Arial" w:hAnsi="Arial"/>
          <w:sz w:val="24"/>
          <w:szCs w:val="24"/>
        </w:rPr>
        <w:t xml:space="preserve">VaR_95: 95th percentile Value at Risk calculated using PERCENTILEX.INC over daily return distribution. Represents maximum expected daily loss at 95% confidence.</w:t>
      </w:r>
    </w:p>
    <w:p>
      <w:pPr>
        <w:pStyle w:val="ListParagraph"/>
        <w:numPr>
          <w:ilvl w:val="0"/>
          <w:numId w:val="2"/>
        </w:numPr>
        <w:spacing w:after="80"/>
      </w:pPr>
      <w:r>
        <w:rPr>
          <w:rFonts w:ascii="Arial" w:cs="Arial" w:eastAsia="Arial" w:hAnsi="Arial"/>
          <w:sz w:val="24"/>
          <w:szCs w:val="24"/>
        </w:rPr>
        <w:t xml:space="preserve">Max_Drawdown: Maximum peak-to-trough decline in price from any rolling high. Key measure of downside risk.</w:t>
      </w:r>
    </w:p>
    <w:p>
      <w:pPr>
        <w:pStyle w:val="ListParagraph"/>
        <w:numPr>
          <w:ilvl w:val="0"/>
          <w:numId w:val="2"/>
        </w:numPr>
        <w:spacing w:after="160"/>
      </w:pPr>
      <w:r>
        <w:rPr>
          <w:rFonts w:ascii="Arial" w:cs="Arial" w:eastAsia="Arial" w:hAnsi="Arial"/>
          <w:sz w:val="24"/>
          <w:szCs w:val="24"/>
        </w:rPr>
        <w:t xml:space="preserve">Sharpe_Ratio: Return per unit of risk. Calculated as annualised return divided by annualised volatility.</w:t>
      </w:r>
    </w:p>
    <w:p>
      <w:pPr>
        <w:pStyle w:val="Heading2"/>
      </w:pPr>
      <w:r>
        <w:t xml:space="preserve">4.3 Macro &amp; Sentiment Features</w:t>
      </w:r>
    </w:p>
    <w:p>
      <w:pPr>
        <w:pStyle w:val="ListParagraph"/>
        <w:numPr>
          <w:ilvl w:val="0"/>
          <w:numId w:val="2"/>
        </w:numPr>
        <w:spacing w:after="80"/>
      </w:pPr>
      <w:r>
        <w:rPr>
          <w:rFonts w:ascii="Arial" w:cs="Arial" w:eastAsia="Arial" w:hAnsi="Arial"/>
          <w:sz w:val="24"/>
          <w:szCs w:val="24"/>
        </w:rPr>
        <w:t xml:space="preserve">Silver_Gold_Ratio: Average silver close divided by average futures price. Captures relative value between the two metals.</w:t>
      </w:r>
    </w:p>
    <w:p>
      <w:pPr>
        <w:pStyle w:val="ListParagraph"/>
        <w:numPr>
          <w:ilvl w:val="0"/>
          <w:numId w:val="2"/>
        </w:numPr>
        <w:spacing w:after="80"/>
      </w:pPr>
      <w:r>
        <w:rPr>
          <w:rFonts w:ascii="Arial" w:cs="Arial" w:eastAsia="Arial" w:hAnsi="Arial"/>
          <w:sz w:val="24"/>
          <w:szCs w:val="24"/>
        </w:rPr>
        <w:t xml:space="preserve">COT_Extremes_Alert: Categorical signal (EXTREME HIGH / NORMAL / EXTREME LOW) based on current price relative to historical max and min. Implements a simplified COT concentration warning.</w:t>
      </w:r>
    </w:p>
    <w:p>
      <w:pPr>
        <w:pStyle w:val="ListParagraph"/>
        <w:numPr>
          <w:ilvl w:val="0"/>
          <w:numId w:val="2"/>
        </w:numPr>
        <w:spacing w:after="80"/>
      </w:pPr>
      <w:r>
        <w:rPr>
          <w:rFonts w:ascii="Arial" w:cs="Arial" w:eastAsia="Arial" w:hAnsi="Arial"/>
          <w:sz w:val="24"/>
          <w:szCs w:val="24"/>
        </w:rPr>
        <w:t xml:space="preserve">Supply_Demand_Signal: Binary directional signal (DEMAND / SUPPLY) based on Bullish_Days versus Bearish_Days count.</w:t>
      </w:r>
    </w:p>
    <w:p>
      <w:pPr>
        <w:pStyle w:val="ListParagraph"/>
        <w:numPr>
          <w:ilvl w:val="0"/>
          <w:numId w:val="2"/>
        </w:numPr>
        <w:spacing w:after="80"/>
      </w:pPr>
      <w:r>
        <w:rPr>
          <w:rFonts w:ascii="Arial" w:cs="Arial" w:eastAsia="Arial" w:hAnsi="Arial"/>
          <w:sz w:val="24"/>
          <w:szCs w:val="24"/>
        </w:rPr>
        <w:t xml:space="preserve">Fed_Rate_Impact: What-If parameter measure showing estimated price impact of a user-selected Federal Funds Rate scenario.</w:t>
      </w:r>
    </w:p>
    <w:p>
      <w:pPr>
        <w:pStyle w:val="ListParagraph"/>
        <w:numPr>
          <w:ilvl w:val="0"/>
          <w:numId w:val="2"/>
        </w:numPr>
        <w:spacing w:after="280"/>
      </w:pPr>
      <w:r>
        <w:rPr>
          <w:rFonts w:ascii="Arial" w:cs="Arial" w:eastAsia="Arial" w:hAnsi="Arial"/>
          <w:sz w:val="24"/>
          <w:szCs w:val="24"/>
        </w:rPr>
        <w:t xml:space="preserve">Monthly_Return, YTD_Return: Period return measures used for performance benchmarking.</w:t>
      </w:r>
    </w:p>
    <w:p>
      <w:pPr>
        <w:pStyle w:val="Heading1"/>
      </w:pPr>
      <w:r>
        <w:t xml:space="preserve">5. DAX Measures Summary</w:t>
      </w:r>
    </w:p>
    <w:p>
      <w:pPr>
        <w:spacing w:after="160"/>
      </w:pPr>
      <w:r>
        <w:rPr>
          <w:rFonts w:ascii="Arial" w:cs="Arial" w:eastAsia="Arial" w:hAnsi="Arial"/>
          <w:sz w:val="24"/>
          <w:szCs w:val="24"/>
        </w:rPr>
        <w:t xml:space="preserve">A total of 17 core DAX measures were built in Power BI, organised across four categories. All measures are stored in the Query1 (date dimension) table or the Models table.</w:t>
      </w:r>
    </w:p>
    <w:p>
      <w:pPr>
        <w:pStyle w:val="ListParagraph"/>
        <w:numPr>
          <w:ilvl w:val="0"/>
          <w:numId w:val="2"/>
        </w:numPr>
        <w:spacing w:after="80"/>
      </w:pPr>
      <w:r>
        <w:rPr>
          <w:rFonts w:ascii="Arial" w:cs="Arial" w:eastAsia="Arial" w:hAnsi="Arial"/>
          <w:sz w:val="24"/>
          <w:szCs w:val="24"/>
        </w:rPr>
        <w:t xml:space="preserve">Price measures: Current_Price, Avg_Volume, VWAP, Price_Change, YTD_Return, Monthly_Return</w:t>
      </w:r>
    </w:p>
    <w:p>
      <w:pPr>
        <w:pStyle w:val="ListParagraph"/>
        <w:numPr>
          <w:ilvl w:val="0"/>
          <w:numId w:val="2"/>
        </w:numPr>
        <w:spacing w:after="80"/>
      </w:pPr>
      <w:r>
        <w:rPr>
          <w:rFonts w:ascii="Arial" w:cs="Arial" w:eastAsia="Arial" w:hAnsi="Arial"/>
          <w:sz w:val="24"/>
          <w:szCs w:val="24"/>
        </w:rPr>
        <w:t xml:space="preserve">Technical measures: SMA_20, SMA_50, RSI, ATR, Price_vs_SMA</w:t>
      </w:r>
    </w:p>
    <w:p>
      <w:pPr>
        <w:pStyle w:val="ListParagraph"/>
        <w:numPr>
          <w:ilvl w:val="0"/>
          <w:numId w:val="2"/>
        </w:numPr>
        <w:spacing w:after="80"/>
      </w:pPr>
      <w:r>
        <w:rPr>
          <w:rFonts w:ascii="Arial" w:cs="Arial" w:eastAsia="Arial" w:hAnsi="Arial"/>
          <w:sz w:val="24"/>
          <w:szCs w:val="24"/>
        </w:rPr>
        <w:t xml:space="preserve">Risk measures: Rolling_Volatility, VaR_95, Max_Drawdown, Sharpe_Ratio</w:t>
      </w:r>
    </w:p>
    <w:p>
      <w:pPr>
        <w:pStyle w:val="ListParagraph"/>
        <w:numPr>
          <w:ilvl w:val="0"/>
          <w:numId w:val="2"/>
        </w:numPr>
        <w:spacing w:after="280"/>
      </w:pPr>
      <w:r>
        <w:rPr>
          <w:rFonts w:ascii="Arial" w:cs="Arial" w:eastAsia="Arial" w:hAnsi="Arial"/>
          <w:sz w:val="24"/>
          <w:szCs w:val="24"/>
        </w:rPr>
        <w:t xml:space="preserve">Signal measures: Bullish_Days, Bearish_Days, COT_Extremes_Alert, Supply_Demand_Signal, Silver_Gold_Ratio, Fed_Rate_Impact, Dynamic_Title, Forecast_Error</w:t>
      </w:r>
    </w:p>
    <w:p>
      <w:pPr>
        <w:pStyle w:val="Heading1"/>
      </w:pPr>
      <w:r>
        <w:t xml:space="preserve">6. Dashboard Overview</w:t>
      </w:r>
    </w:p>
    <w:p>
      <w:pPr>
        <w:pStyle w:val="ListParagraph"/>
        <w:numPr>
          <w:ilvl w:val="0"/>
          <w:numId w:val="2"/>
        </w:numPr>
        <w:spacing w:after="80"/>
      </w:pPr>
      <w:r>
        <w:rPr>
          <w:rFonts w:ascii="Arial" w:cs="Arial" w:eastAsia="Arial" w:hAnsi="Arial"/>
          <w:sz w:val="24"/>
          <w:szCs w:val="24"/>
        </w:rPr>
        <w:t xml:space="preserve">Page 1 — Price Analytics: Line chart with Close, SMA_20, SMA_50 overlay; Volume bar chart; RSI gauge (0–100); Date range slicer; Year slicer; Period selector (1M, 3M, 6M, 1Y, 5Y, All); Dynamic title.</w:t>
      </w:r>
    </w:p>
    <w:p>
      <w:pPr>
        <w:pStyle w:val="ListParagraph"/>
        <w:numPr>
          <w:ilvl w:val="0"/>
          <w:numId w:val="2"/>
        </w:numPr>
        <w:spacing w:after="80"/>
      </w:pPr>
      <w:r>
        <w:rPr>
          <w:rFonts w:ascii="Arial" w:cs="Arial" w:eastAsia="Arial" w:hAnsi="Arial"/>
          <w:sz w:val="24"/>
          <w:szCs w:val="24"/>
        </w:rPr>
        <w:t xml:space="preserve">Page 2 — Risk Analytics: Volatility heatmap matrix (Year × Month, gradient from white to #1F4E79); Max_Drawdown waterfall chart; VaR_95 card.</w:t>
      </w:r>
    </w:p>
    <w:p>
      <w:pPr>
        <w:pStyle w:val="ListParagraph"/>
        <w:numPr>
          <w:ilvl w:val="0"/>
          <w:numId w:val="2"/>
        </w:numPr>
        <w:spacing w:after="80"/>
      </w:pPr>
      <w:r>
        <w:rPr>
          <w:rFonts w:ascii="Arial" w:cs="Arial" w:eastAsia="Arial" w:hAnsi="Arial"/>
          <w:sz w:val="24"/>
          <w:szCs w:val="24"/>
        </w:rPr>
        <w:t xml:space="preserve">Page 3 — Forecast Comparison: Model selector slicer (ARIMA, LSTM, Random Forest, XGBoost, Linear Regression); Actual vs Predicted line chart; Forecast Error distribution.</w:t>
      </w:r>
    </w:p>
    <w:p>
      <w:pPr>
        <w:pStyle w:val="ListParagraph"/>
        <w:numPr>
          <w:ilvl w:val="0"/>
          <w:numId w:val="2"/>
        </w:numPr>
        <w:spacing w:after="280"/>
      </w:pPr>
      <w:r>
        <w:rPr>
          <w:rFonts w:ascii="Arial" w:cs="Arial" w:eastAsia="Arial" w:hAnsi="Arial"/>
          <w:sz w:val="24"/>
          <w:szCs w:val="24"/>
        </w:rPr>
        <w:t xml:space="preserve">Page 4 — Macro &amp; Sentiment: Silver-Gold Ratio line chart; Fed_Rate What-If slicer; COT_Extremes_Alert card; Supply_Demand_Signal card; Fed_Rate_Impact card.</w:t>
      </w:r>
    </w:p>
    <w:p>
      <w:pPr>
        <w:pStyle w:val="Heading1"/>
      </w:pPr>
      <w:r>
        <w:t xml:space="preserve">7. Conclusion</w:t>
      </w:r>
    </w:p>
    <w:p>
      <w:pPr>
        <w:spacing w:after="160"/>
      </w:pPr>
      <w:r>
        <w:rPr>
          <w:rFonts w:ascii="Arial" w:cs="Arial" w:eastAsia="Arial" w:hAnsi="Arial"/>
          <w:sz w:val="24"/>
          <w:szCs w:val="24"/>
        </w:rPr>
        <w:t xml:space="preserve">This project successfully delivered a complete end-to-end silver price analytics system. Beginning with raw CSV data, the project progressed through systematic data cleaning, exploratory analysis, feature engineering, machine learning modelling, ensemble forecasting, and Power BI dashboard development.</w:t>
      </w:r>
    </w:p>
    <w:p>
      <w:pPr>
        <w:spacing w:after="160"/>
      </w:pPr>
      <w:r>
        <w:rPr>
          <w:rFonts w:ascii="Arial" w:cs="Arial" w:eastAsia="Arial" w:hAnsi="Arial"/>
          <w:sz w:val="24"/>
          <w:szCs w:val="24"/>
        </w:rPr>
        <w:t xml:space="preserve">The two case studies — the Hunt Brothers manipulation of 1979–1980 and the COVID-19 crash and recovery of 2020 — provided critical real-world context for the technical work. They demonstrated that statistical models, however sophisticated, must be complemented by regime awareness, human oversight, and a deep understanding of market structure.</w:t>
      </w:r>
    </w:p>
    <w:p>
      <w:pPr>
        <w:spacing w:after="160"/>
      </w:pPr>
      <w:r>
        <w:rPr>
          <w:rFonts w:ascii="Arial" w:cs="Arial" w:eastAsia="Arial" w:hAnsi="Arial"/>
          <w:sz w:val="24"/>
          <w:szCs w:val="24"/>
        </w:rPr>
        <w:t xml:space="preserve">The architecture designed in this project — from raw data through preprocessing, feature engineering, modelling, and dashboard — is scalable and extensible. Additional data sources (real-time feeds, options data, satellite imagery of mining operations) could be integrated without redesigning the core pipeline.</w:t>
      </w:r>
    </w:p>
    <w:p>
      <w:pPr>
        <w:spacing w:after="160"/>
      </w:pPr>
      <w:r>
        <w:rPr>
          <w:rFonts w:ascii="Arial" w:cs="Arial" w:eastAsia="Arial" w:hAnsi="Arial"/>
          <w:sz w:val="24"/>
          <w:szCs w:val="24"/>
        </w:rPr>
        <w:t xml:space="preserve">The most important lesson from thirteen days of work is that data analytics in commodity markets is fundamentally about understanding the interplay between quantitative signals and qualitative market context. Numbers tell you what happened. Understanding the market tells you why.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Arial" w:cs="Arial" w:eastAsia="Arial" w:hAnsi="Arial"/>
      <w:b/>
      <w:bCs/>
      <w:color w:val="1F4E79"/>
      <w:sz w:val="36"/>
      <w:szCs w:val="36"/>
    </w:rPr>
  </w:style>
  <w:style w:type="paragraph" w:styleId="Heading2">
    <w:name w:val="Heading 2"/>
    <w:basedOn w:val="Normal"/>
    <w:next w:val="Normal"/>
    <w:qFormat/>
    <w:pPr>
      <w:spacing w:after="120" w:before="240"/>
    </w:pPr>
    <w:rPr>
      <w:rFonts w:ascii="Arial" w:cs="Arial" w:eastAsia="Arial" w:hAnsi="Arial"/>
      <w:b/>
      <w:bCs/>
      <w:color w:val="2E74B5"/>
      <w:sz w:val="28"/>
      <w:szCs w:val="28"/>
    </w:rPr>
  </w:style>
  <w:style w:type="paragraph" w:styleId="Heading3">
    <w:name w:val="Heading 3"/>
    <w:basedOn w:val="Normal"/>
    <w:next w:val="Normal"/>
    <w:qFormat/>
    <w:pPr>
      <w:spacing w:after="80" w:before="180"/>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2026-06-04T11:43:26.203Z</dcterms:created>
  <dcterms:modified xsi:type="dcterms:W3CDTF">2026-06-04T11:43:26.223Z</dcterms:modified>
</cp:coreProperties>
</file>

<file path=docProps/custom.xml><?xml version="1.0" encoding="utf-8"?>
<Properties xmlns="http://schemas.openxmlformats.org/officeDocument/2006/custom-properties" xmlns:vt="http://schemas.openxmlformats.org/officeDocument/2006/docPropsVTypes"/>
</file>