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4E79"/>
          <w:sz w:val="52"/>
          <w:szCs w:val="52"/>
        </w:rPr>
        <w:t xml:space="preserve">SILVER COMMODITY PRICE ANALYSIS</w:t>
      </w:r>
    </w:p>
    <w:p>
      <w:pPr>
        <w:spacing w:after="80" w:before="160"/>
        <w:jc w:val="center"/>
      </w:pPr>
      <w:r>
        <w:rPr>
          <w:rFonts w:ascii="Arial" w:cs="Arial" w:eastAsia="Arial" w:hAnsi="Arial"/>
          <w:color w:val="2E74B5"/>
          <w:sz w:val="32"/>
          <w:szCs w:val="32"/>
        </w:rPr>
        <w:t xml:space="preserve">Final Report — Validation &amp; Results</w:t>
      </w:r>
    </w:p>
    <w:p>
      <w:pPr>
        <w:spacing w:after="480" w:before="80"/>
        <w:jc w:val="center"/>
      </w:pPr>
      <w:r>
        <w:rPr>
          <w:rFonts w:ascii="Arial" w:cs="Arial" w:eastAsia="Arial" w:hAnsi="Arial"/>
          <w:color w:val="595959"/>
          <w:sz w:val="26"/>
          <w:szCs w:val="26"/>
        </w:rPr>
        <w:t xml:space="preserve">Day 14 — Internship Documentation</w:t>
      </w:r>
    </w:p>
    <w:p>
      <w:pPr>
        <w:pBdr>
          <w:bottom w:val="single" w:color="1F4E79" w:sz="6" w:space="1"/>
        </w:pBdr>
        <w:spacing w:after="360"/>
      </w:pPr>
      <w:r>
        <w:t xml:space="preserve"/>
      </w:r>
    </w:p>
    <w:p>
      <w:pPr>
        <w:pStyle w:val="Heading1"/>
      </w:pPr>
      <w:r>
        <w:t xml:space="preserve">1. Executive Summary</w:t>
      </w:r>
    </w:p>
    <w:p>
      <w:pPr>
        <w:spacing w:after="160"/>
      </w:pPr>
      <w:r>
        <w:rPr>
          <w:rFonts w:ascii="Arial" w:cs="Arial" w:eastAsia="Arial" w:hAnsi="Arial"/>
          <w:sz w:val="24"/>
          <w:szCs w:val="24"/>
        </w:rPr>
        <w:t xml:space="preserve">This report presents the complete validation results of the Silver Commodity Price Analysis project, covering model performance metrics, data leakage verification, code quality standards, and key conclusions. The project was conducted over 14 days as part of a structured BFSI data analytics internship, progressing from raw data ingestion through machine learning modelling to Power BI dashboard development.</w:t>
      </w:r>
    </w:p>
    <w:p>
      <w:pPr>
        <w:spacing w:after="160"/>
      </w:pPr>
      <w:r>
        <w:rPr>
          <w:rFonts w:ascii="Arial" w:cs="Arial" w:eastAsia="Arial" w:hAnsi="Arial"/>
          <w:sz w:val="24"/>
          <w:szCs w:val="24"/>
        </w:rPr>
        <w:t xml:space="preserve">Final validation confirmed no data leakage in the train/test split (4,957 training days vs 1,566 test days, zero overlapping dates). ARIMA outperformed the SMA baseline on all metrics. All 4 unit tests passed. Code was refactored to PEP 8 standards with full docstrings and type hints.</w:t>
      </w:r>
    </w:p>
    <w:p>
      <w:pPr>
        <w:pStyle w:val="Heading1"/>
      </w:pPr>
      <w:r>
        <w:t xml:space="preserve">2. Model Validation Results</w:t>
      </w:r>
    </w:p>
    <w:p>
      <w:pPr>
        <w:pStyle w:val="Heading2"/>
      </w:pPr>
      <w:r>
        <w:t xml:space="preserve">2.1 Data Split Summary</w:t>
      </w:r>
    </w:p>
    <w:p>
      <w:pPr>
        <w:spacing w:after="160"/>
      </w:pPr>
      <w:r>
        <w:rPr>
          <w:rFonts w:ascii="Arial" w:cs="Arial" w:eastAsia="Arial" w:hAnsi="Arial"/>
          <w:sz w:val="24"/>
          <w:szCs w:val="24"/>
        </w:rPr>
        <w:t xml:space="preserve">Train/test split was performed at January 1, 2020. No data leakage was detected (0 overlapping dates between train and test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 Range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Rows</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Train</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2000-01-03 to 2019-12-31</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4,957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2020-01-01 to 2025-12-31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1,566</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Overlap</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N/A</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 (No leakage)</w:t>
            </w:r>
          </w:p>
        </w:tc>
      </w:tr>
    </w:tbl>
    <w:p>
      <w:pPr>
        <w:spacing w:after="240"/>
      </w:pPr>
    </w:p>
    <w:p>
      <w:pPr>
        <w:pStyle w:val="Heading2"/>
      </w:pPr>
      <w:r>
        <w:t xml:space="preserve">2.2 Model Performance Comparison</w:t>
      </w:r>
    </w:p>
    <w:p>
      <w:pPr>
        <w:spacing w:after="120"/>
      </w:pPr>
      <w:r>
        <w:rPr>
          <w:rFonts w:ascii="Arial" w:cs="Arial" w:eastAsia="Arial" w:hAnsi="Arial"/>
          <w:sz w:val="24"/>
          <w:szCs w:val="24"/>
        </w:rPr>
        <w:t xml:space="preserve">Both models were trained on 2000-2019 data and evaluated on the full 2020-2025 test period (1,566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RMSE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MAPE</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ARIMA (5,1,0)</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$7.79</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$8.95</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28.17%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 Baseline (20-day)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28.93%</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ARIMA vs SMA Improvement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+2.6% better</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+2.2% better</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+2.6% better</w:t>
            </w:r>
          </w:p>
        </w:tc>
      </w:tr>
    </w:tbl>
    <w:p>
      <w:pPr>
        <w:spacing w:after="160"/>
      </w:pPr>
    </w:p>
    <w:p>
      <w:pPr>
        <w:spacing w:after="160"/>
      </w:pPr>
      <w:r>
        <w:rPr>
          <w:rFonts w:ascii="Arial" w:cs="Arial" w:eastAsia="Arial" w:hAnsi="Arial"/>
          <w:sz w:val="24"/>
          <w:szCs w:val="24"/>
        </w:rPr>
        <w:t xml:space="preserve">Note: Both models produced flat forecasts anchored near the pre-test mean (~$18.50), confirming that standard time-series models cannot capture structural breaks like the COVID-19 crash (March 2020, low $11.70) or the subsequent recovery (August 2020, high $29.64).</w:t>
      </w:r>
    </w:p>
    <w:p>
      <w:pPr>
        <w:pStyle w:val="Heading2"/>
      </w:pPr>
      <w:r>
        <w:t xml:space="preserve">2.3 COVID-19 Case Study Model Performance</w:t>
      </w:r>
    </w:p>
    <w:p>
      <w:pPr>
        <w:spacing w:after="120"/>
      </w:pPr>
      <w:r>
        <w:rPr>
          <w:rFonts w:ascii="Arial" w:cs="Arial" w:eastAsia="Arial" w:hAnsi="Arial"/>
          <w:sz w:val="24"/>
          <w:szCs w:val="24"/>
        </w:rPr>
        <w:t xml:space="preserve">When evaluated specifically on the COVID-19 period (2020 only, 262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RMSE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Forecast Value</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ARIMA (5,1,0)</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$4.49</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$5.15</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Flat $18.63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 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$18.39</w:t>
            </w:r>
          </w:p>
        </w:tc>
      </w:tr>
      <w:tr>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Actual range</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$11.70 - $29.64</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Range: $17.94</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Start $18.77 / End $24.83</w:t>
            </w:r>
          </w:p>
        </w:tc>
      </w:tr>
    </w:tbl>
    <w:p>
      <w:pPr>
        <w:spacing w:after="240"/>
      </w:pPr>
    </w:p>
    <w:p>
      <w:pPr>
        <w:pStyle w:val="Heading1"/>
      </w:pPr>
      <w:r>
        <w:t xml:space="preserve">3. Validation Tests</w:t>
      </w:r>
    </w:p>
    <w:p>
      <w:pPr>
        <w:spacing w:after="120"/>
      </w:pPr>
      <w:r>
        <w:rPr>
          <w:rFonts w:ascii="Arial" w:cs="Arial" w:eastAsia="Arial" w:hAnsi="Arial"/>
          <w:sz w:val="24"/>
          <w:szCs w:val="24"/>
        </w:rPr>
        <w:t xml:space="preserve">Four unit tests were written and executed to validate data integrity and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test_data_loading</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DataFrame not empty, Close and Date columns exist</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test_no_data_leakage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overlapping dates between train and test sets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PASSED</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test_train_test_split</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Train max date &lt; Test min date, both sets non-empty</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test_arima_metrics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 &lt; $15, MAPE &lt; 50%</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PASSED</w:t>
            </w:r>
          </w:p>
        </w:tc>
      </w:tr>
    </w:tbl>
    <w:p>
      <w:pPr>
        <w:spacing w:after="240"/>
      </w:pPr>
    </w:p>
    <w:p>
      <w:pPr>
        <w:pStyle w:val="Heading1"/>
      </w:pPr>
      <w:r>
        <w:t xml:space="preserve">4. Package Requirements</w:t>
      </w:r>
    </w:p>
    <w:p>
      <w:pPr>
        <w:spacing w:after="120"/>
      </w:pPr>
      <w:r>
        <w:rPr>
          <w:rFonts w:ascii="Arial" w:cs="Arial" w:eastAsia="Arial" w:hAnsi="Arial"/>
          <w:sz w:val="24"/>
          <w:szCs w:val="24"/>
        </w:rPr>
        <w:t xml:space="preserve">The following package versions were used and verified in the project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pandas</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2.2.2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matplotlib</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0.14.6</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1.6.1</w:t>
            </w:r>
          </w:p>
        </w:tc>
      </w:tr>
    </w:tbl>
    <w:p>
      <w:pPr>
        <w:spacing w:after="240"/>
      </w:pPr>
    </w:p>
    <w:p>
      <w:pPr>
        <w:pStyle w:val="Heading1"/>
      </w:pPr>
      <w:r>
        <w:t xml:space="preserve">5. Conclusions</w:t>
      </w:r>
    </w:p>
    <w:p>
      <w:pPr>
        <w:pStyle w:val="ListParagraph"/>
        <w:numPr>
          <w:ilvl w:val="0"/>
          <w:numId w:val="2"/>
        </w:numPr>
        <w:spacing w:after="100"/>
      </w:pPr>
      <w:r>
        <w:rPr>
          <w:rFonts w:ascii="Arial" w:cs="Arial" w:eastAsia="Arial" w:hAnsi="Arial"/>
          <w:sz w:val="24"/>
          <w:szCs w:val="24"/>
        </w:rPr>
        <w:t xml:space="preserve">Standard time-series models (ARIMA, SMA) are insufficient for commodity price forecasting during structural breaks. Both models produced flat forecasts during the COVID-19 crash, confirming that external macro data, sentiment signals, and regime detection are essential components of any robust forecasting system.</w:t>
      </w:r>
    </w:p>
    <w:p>
      <w:pPr>
        <w:pStyle w:val="ListParagraph"/>
        <w:numPr>
          <w:ilvl w:val="0"/>
          <w:numId w:val="2"/>
        </w:numPr>
        <w:spacing w:after="100"/>
      </w:pPr>
      <w:r>
        <w:rPr>
          <w:rFonts w:ascii="Arial" w:cs="Arial" w:eastAsia="Arial" w:hAnsi="Arial"/>
          <w:sz w:val="24"/>
          <w:szCs w:val="24"/>
        </w:rPr>
        <w:t xml:space="preserve">Data leakage is the most critical data science error to avoid. Clean train/test separation with zero overlap was verified programmatically, ensuring all reported metrics represent genuine out-of-sample performance.</w:t>
      </w:r>
    </w:p>
    <w:p>
      <w:pPr>
        <w:pStyle w:val="ListParagraph"/>
        <w:numPr>
          <w:ilvl w:val="0"/>
          <w:numId w:val="2"/>
        </w:numPr>
        <w:spacing w:after="100"/>
      </w:pPr>
      <w:r>
        <w:rPr>
          <w:rFonts w:ascii="Arial" w:cs="Arial" w:eastAsia="Arial" w:hAnsi="Arial"/>
          <w:sz w:val="24"/>
          <w:szCs w:val="24"/>
        </w:rPr>
        <w:t xml:space="preserve">ARIMA outperformed SMA on all metrics (MAE $7.79 vs $8.00, RMSE $8.95 vs $9.15, MAPE 28.17% vs 28.93%), but the margin is small enough to suggest that more sophisticated models (LSTM, ensemble) are needed for meaningful improvement.</w:t>
      </w:r>
    </w:p>
    <w:p>
      <w:pPr>
        <w:pStyle w:val="ListParagraph"/>
        <w:numPr>
          <w:ilvl w:val="0"/>
          <w:numId w:val="2"/>
        </w:numPr>
        <w:spacing w:after="100"/>
      </w:pPr>
      <w:r>
        <w:rPr>
          <w:rFonts w:ascii="Arial" w:cs="Arial" w:eastAsia="Arial" w:hAnsi="Arial"/>
          <w:sz w:val="24"/>
          <w:szCs w:val="24"/>
        </w:rPr>
        <w:t xml:space="preserve">The Power BI dashboard successfully operationalised 17+ DAX measures across 4 pages, providing actionable analytics for price, risk, forecast, and macro dimensions of the silver market.</w:t>
      </w:r>
    </w:p>
    <w:p>
      <w:pPr>
        <w:pStyle w:val="ListParagraph"/>
        <w:numPr>
          <w:ilvl w:val="0"/>
          <w:numId w:val="2"/>
        </w:numPr>
        <w:spacing w:after="280"/>
      </w:pPr>
      <w:r>
        <w:rPr>
          <w:rFonts w:ascii="Arial" w:cs="Arial" w:eastAsia="Arial" w:hAnsi="Arial"/>
          <w:sz w:val="24"/>
          <w:szCs w:val="24"/>
        </w:rPr>
        <w:t xml:space="preserve">Code quality standards (PEP 8, docstrings, type hints) and reproducibility requirements (requirements.txt, unit tests) were met, ensuring the project is maintainable and extensible.</w:t>
      </w:r>
    </w:p>
    <w:p>
      <w:pPr>
        <w:pStyle w:val="Heading1"/>
      </w:pPr>
      <w:r>
        <w:t xml:space="preserve">6. Limitations</w:t>
      </w:r>
    </w:p>
    <w:p>
      <w:pPr>
        <w:pStyle w:val="ListParagraph"/>
        <w:numPr>
          <w:ilvl w:val="0"/>
          <w:numId w:val="2"/>
        </w:numPr>
        <w:spacing w:after="100"/>
      </w:pPr>
      <w:r>
        <w:rPr>
          <w:rFonts w:ascii="Arial" w:cs="Arial" w:eastAsia="Arial" w:hAnsi="Arial"/>
          <w:sz w:val="24"/>
          <w:szCs w:val="24"/>
        </w:rPr>
        <w:t xml:space="preserve">Only ARIMA and SMA models were validated in this final report due to time constraints. LSTM, XGBoost, and Random Forest models were built and evaluated during Days 1-10 but were not re-run in the Day 14 validation notebook.</w:t>
      </w:r>
    </w:p>
    <w:p>
      <w:pPr>
        <w:pStyle w:val="ListParagraph"/>
        <w:numPr>
          <w:ilvl w:val="0"/>
          <w:numId w:val="2"/>
        </w:numPr>
        <w:spacing w:after="100"/>
      </w:pPr>
      <w:r>
        <w:rPr>
          <w:rFonts w:ascii="Arial" w:cs="Arial" w:eastAsia="Arial" w:hAnsi="Arial"/>
          <w:sz w:val="24"/>
          <w:szCs w:val="24"/>
        </w:rPr>
        <w:t xml:space="preserve">The MAPE of 28% indicates significant forecast error over the full 2020-2025 test period, which included multiple unprecedented events (COVID, Reddit squeeze, inflation surge). More frequent model retraining would reduce error.</w:t>
      </w:r>
    </w:p>
    <w:p>
      <w:pPr>
        <w:pStyle w:val="ListParagraph"/>
        <w:numPr>
          <w:ilvl w:val="0"/>
          <w:numId w:val="2"/>
        </w:numPr>
        <w:spacing w:after="100"/>
      </w:pPr>
      <w:r>
        <w:rPr>
          <w:rFonts w:ascii="Arial" w:cs="Arial" w:eastAsia="Arial" w:hAnsi="Arial"/>
          <w:sz w:val="24"/>
          <w:szCs w:val="24"/>
        </w:rPr>
        <w:t xml:space="preserve">The dataset covers only price and volume data for silver. Real-world commodity analytics would incorporate options data, warehouse inventory levels, mining production reports, and real-time news sentiment.</w:t>
      </w:r>
    </w:p>
    <w:p>
      <w:pPr>
        <w:pStyle w:val="ListParagraph"/>
        <w:numPr>
          <w:ilvl w:val="0"/>
          <w:numId w:val="2"/>
        </w:numPr>
        <w:spacing w:after="280"/>
      </w:pPr>
      <w:r>
        <w:rPr>
          <w:rFonts w:ascii="Arial" w:cs="Arial" w:eastAsia="Arial" w:hAnsi="Arial"/>
          <w:sz w:val="24"/>
          <w:szCs w:val="24"/>
        </w:rPr>
        <w:t xml:space="preserve">The Power BI dashboard uses static imported data. A production system would connect to live data feeds via API, enabling real-time dashboard updates.</w:t>
      </w:r>
    </w:p>
    <w:p>
      <w:pPr>
        <w:pStyle w:val="Heading1"/>
      </w:pPr>
      <w:r>
        <w:t xml:space="preserve">7. Future Work</w:t>
      </w:r>
    </w:p>
    <w:p>
      <w:pPr>
        <w:pStyle w:val="ListParagraph"/>
        <w:numPr>
          <w:ilvl w:val="0"/>
          <w:numId w:val="3"/>
        </w:numPr>
        <w:spacing w:after="100"/>
      </w:pPr>
      <w:r>
        <w:rPr>
          <w:rFonts w:ascii="Arial" w:cs="Arial" w:eastAsia="Arial" w:hAnsi="Arial"/>
          <w:sz w:val="24"/>
          <w:szCs w:val="24"/>
        </w:rPr>
        <w:t xml:space="preserve">Implement a full ensemble model combining ARIMA, LSTM, XGBoost, and Random Forest forecasts with dynamically optimised weights using out-of-sample performance.</w:t>
      </w:r>
    </w:p>
    <w:p>
      <w:pPr>
        <w:pStyle w:val="ListParagraph"/>
        <w:numPr>
          <w:ilvl w:val="0"/>
          <w:numId w:val="3"/>
        </w:numPr>
        <w:spacing w:after="100"/>
      </w:pPr>
      <w:r>
        <w:rPr>
          <w:rFonts w:ascii="Arial" w:cs="Arial" w:eastAsia="Arial" w:hAnsi="Arial"/>
          <w:sz w:val="24"/>
          <w:szCs w:val="24"/>
        </w:rPr>
        <w:t xml:space="preserve">Add regime detection using Hidden Markov Models or CUSUM tests to automatically identify when the market has shifted to a new volatility or trend regime.</w:t>
      </w:r>
    </w:p>
    <w:p>
      <w:pPr>
        <w:pStyle w:val="ListParagraph"/>
        <w:numPr>
          <w:ilvl w:val="0"/>
          <w:numId w:val="3"/>
        </w:numPr>
        <w:spacing w:after="100"/>
      </w:pPr>
      <w:r>
        <w:rPr>
          <w:rFonts w:ascii="Arial" w:cs="Arial" w:eastAsia="Arial" w:hAnsi="Arial"/>
          <w:sz w:val="24"/>
          <w:szCs w:val="24"/>
        </w:rPr>
        <w:t xml:space="preserve">Integrate real-time data feeds (Bloomberg, Refinitiv, or Yahoo Finance API) into the Power BI dashboard for live price monitoring.</w:t>
      </w:r>
    </w:p>
    <w:p>
      <w:pPr>
        <w:pStyle w:val="ListParagraph"/>
        <w:numPr>
          <w:ilvl w:val="0"/>
          <w:numId w:val="3"/>
        </w:numPr>
        <w:spacing w:after="100"/>
      </w:pPr>
      <w:r>
        <w:rPr>
          <w:rFonts w:ascii="Arial" w:cs="Arial" w:eastAsia="Arial" w:hAnsi="Arial"/>
          <w:sz w:val="24"/>
          <w:szCs w:val="24"/>
        </w:rPr>
        <w:t xml:space="preserve">Build a COT concentration index using CFTC data to provide early warning signals for potential market squeezes, as demonstrated by the Hunt Brothers case study.</w:t>
      </w:r>
    </w:p>
    <w:p>
      <w:pPr>
        <w:pStyle w:val="ListParagraph"/>
        <w:numPr>
          <w:ilvl w:val="0"/>
          <w:numId w:val="3"/>
        </w:numPr>
        <w:spacing w:after="100"/>
      </w:pPr>
      <w:r>
        <w:rPr>
          <w:rFonts w:ascii="Arial" w:cs="Arial" w:eastAsia="Arial" w:hAnsi="Arial"/>
          <w:sz w:val="24"/>
          <w:szCs w:val="24"/>
        </w:rPr>
        <w:t xml:space="preserve">Extend the analysis to other precious metals (gold, platinum, palladium) to enable cross-commodity correlation analysis and relative value trading signals.</w:t>
      </w:r>
    </w:p>
    <w:p>
      <w:pPr>
        <w:pStyle w:val="ListParagraph"/>
        <w:numPr>
          <w:ilvl w:val="0"/>
          <w:numId w:val="3"/>
        </w:numPr>
        <w:spacing w:after="280"/>
      </w:pPr>
      <w:r>
        <w:rPr>
          <w:rFonts w:ascii="Arial" w:cs="Arial" w:eastAsia="Arial" w:hAnsi="Arial"/>
          <w:sz w:val="24"/>
          <w:szCs w:val="24"/>
        </w:rPr>
        <w:t xml:space="preserve">Deploy the model as a REST API using FastAPI or Flask, enabling integration with third-party trading platforms and automated alert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2026-06-05T10:48:01.997Z</dcterms:created>
  <dcterms:modified xsi:type="dcterms:W3CDTF">2026-06-05T10:48:02.012Z</dcterms:modified>
</cp:coreProperties>
</file>

<file path=docProps/custom.xml><?xml version="1.0" encoding="utf-8"?>
<Properties xmlns="http://schemas.openxmlformats.org/officeDocument/2006/custom-properties" xmlns:vt="http://schemas.openxmlformats.org/officeDocument/2006/docPropsVTypes"/>
</file>