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22"/>
        </w:rPr>
        <w:t>AICTE | IBM SkillsBuild Data Analytics with AI Internship 2026 | BharatCares</w:t>
        <w:br/>
      </w:r>
    </w:p>
    <w:p>
      <w:pPr>
        <w:spacing w:before="480" w:after="240"/>
        <w:jc w:val="center"/>
      </w:pPr>
      <w:r>
        <w:rPr>
          <w:b/>
          <w:color w:val="0F172A"/>
          <w:sz w:val="52"/>
        </w:rPr>
        <w:t>Food Delivery Fleet Efficiency &amp;</w:t>
        <w:br/>
        <w:t>Delivery Lag Diagnostics</w:t>
      </w:r>
    </w:p>
    <w:p>
      <w:pPr>
        <w:spacing w:after="720"/>
        <w:jc w:val="center"/>
      </w:pPr>
      <w:r>
        <w:rPr>
          <w:i/>
          <w:color w:val="64748B"/>
          <w:sz w:val="26"/>
        </w:rPr>
        <w:t>An Empirical Diagnostic and Operational Optimization Study on 45,593 Deliveries</w:t>
      </w:r>
    </w:p>
    <w:tbl>
      <w:tblPr>
        <w:tblW w:type="auto" w:w="0"/>
        <w:jc w:val="center"/>
        <w:tblLook w:firstColumn="1" w:firstRow="1" w:lastColumn="0" w:lastRow="0" w:noHBand="0" w:noVBand="1" w:val="04A0"/>
      </w:tblPr>
      <w:tblGrid>
        <w:gridCol w:w="4680"/>
        <w:gridCol w:w="4680"/>
      </w:tblGrid>
      <w:tr>
        <w:tc>
          <w:tcPr>
            <w:tcW w:type="dxa" w:w="3168"/>
            <w:shd w:val="clear" w:color="auto" w:fill="F1F5F9"/>
            <w:tcMar>
              <w:top w:w="120" w:type="dxa"/>
              <w:bottom w:w="120" w:type="dxa"/>
              <w:left w:w="180" w:type="dxa"/>
              <w:right w:w="180" w:type="dxa"/>
            </w:tcMar>
          </w:tcPr>
          <w:p>
            <w:r>
              <w:rPr>
                <w:b/>
                <w:color w:val="334155"/>
                <w:sz w:val="21"/>
              </w:rPr>
              <w:t>Candidate Name:</w:t>
            </w:r>
          </w:p>
        </w:tc>
        <w:tc>
          <w:tcPr>
            <w:tcW w:type="dxa" w:w="6192"/>
            <w:shd w:val="clear" w:color="auto" w:fill="F8FAFC"/>
            <w:tcMar>
              <w:top w:w="120" w:type="dxa"/>
              <w:bottom w:w="120" w:type="dxa"/>
              <w:left w:w="180" w:type="dxa"/>
              <w:right w:w="180" w:type="dxa"/>
            </w:tcMar>
          </w:tcPr>
          <w:p>
            <w:r>
              <w:rPr>
                <w:color w:val="0F172A"/>
                <w:sz w:val="21"/>
              </w:rPr>
              <w:t>Nandini Priyadarshini</w:t>
            </w:r>
          </w:p>
        </w:tc>
      </w:tr>
      <w:tr>
        <w:tc>
          <w:tcPr>
            <w:tcW w:type="dxa" w:w="3168"/>
            <w:shd w:val="clear" w:color="auto" w:fill="F1F5F9"/>
            <w:tcMar>
              <w:top w:w="120" w:type="dxa"/>
              <w:bottom w:w="120" w:type="dxa"/>
              <w:left w:w="180" w:type="dxa"/>
              <w:right w:w="180" w:type="dxa"/>
            </w:tcMar>
          </w:tcPr>
          <w:p>
            <w:r>
              <w:rPr>
                <w:b/>
                <w:color w:val="334155"/>
                <w:sz w:val="21"/>
              </w:rPr>
              <w:t>Institution:</w:t>
            </w:r>
          </w:p>
        </w:tc>
        <w:tc>
          <w:tcPr>
            <w:tcW w:type="dxa" w:w="6192"/>
            <w:shd w:val="clear" w:color="auto" w:fill="F8FAFC"/>
            <w:tcMar>
              <w:top w:w="120" w:type="dxa"/>
              <w:bottom w:w="120" w:type="dxa"/>
              <w:left w:w="180" w:type="dxa"/>
              <w:right w:w="180" w:type="dxa"/>
            </w:tcMar>
          </w:tcPr>
          <w:p>
            <w:r>
              <w:rPr>
                <w:color w:val="0F172A"/>
                <w:sz w:val="21"/>
              </w:rPr>
              <w:t>Institute of Technical Education and Research (ITER), Bhubaneswar</w:t>
            </w:r>
          </w:p>
        </w:tc>
      </w:tr>
      <w:tr>
        <w:tc>
          <w:tcPr>
            <w:tcW w:type="dxa" w:w="3168"/>
            <w:shd w:val="clear" w:color="auto" w:fill="F1F5F9"/>
            <w:tcMar>
              <w:top w:w="120" w:type="dxa"/>
              <w:bottom w:w="120" w:type="dxa"/>
              <w:left w:w="180" w:type="dxa"/>
              <w:right w:w="180" w:type="dxa"/>
            </w:tcMar>
          </w:tcPr>
          <w:p>
            <w:r>
              <w:rPr>
                <w:b/>
                <w:color w:val="334155"/>
                <w:sz w:val="21"/>
              </w:rPr>
              <w:t>Internship Program:</w:t>
            </w:r>
          </w:p>
        </w:tc>
        <w:tc>
          <w:tcPr>
            <w:tcW w:type="dxa" w:w="6192"/>
            <w:shd w:val="clear" w:color="auto" w:fill="F8FAFC"/>
            <w:tcMar>
              <w:top w:w="120" w:type="dxa"/>
              <w:bottom w:w="120" w:type="dxa"/>
              <w:left w:w="180" w:type="dxa"/>
              <w:right w:w="180" w:type="dxa"/>
            </w:tcMar>
          </w:tcPr>
          <w:p>
            <w:r>
              <w:rPr>
                <w:color w:val="0F172A"/>
                <w:sz w:val="21"/>
              </w:rPr>
              <w:t>Data Analytics with AI Academic Internship Program 2026</w:t>
            </w:r>
          </w:p>
        </w:tc>
      </w:tr>
      <w:tr>
        <w:tc>
          <w:tcPr>
            <w:tcW w:type="dxa" w:w="3168"/>
            <w:shd w:val="clear" w:color="auto" w:fill="F1F5F9"/>
            <w:tcMar>
              <w:top w:w="120" w:type="dxa"/>
              <w:bottom w:w="120" w:type="dxa"/>
              <w:left w:w="180" w:type="dxa"/>
              <w:right w:w="180" w:type="dxa"/>
            </w:tcMar>
          </w:tcPr>
          <w:p>
            <w:r>
              <w:rPr>
                <w:b/>
                <w:color w:val="334155"/>
                <w:sz w:val="21"/>
              </w:rPr>
              <w:t>Organization Partners:</w:t>
            </w:r>
          </w:p>
        </w:tc>
        <w:tc>
          <w:tcPr>
            <w:tcW w:type="dxa" w:w="6192"/>
            <w:shd w:val="clear" w:color="auto" w:fill="F8FAFC"/>
            <w:tcMar>
              <w:top w:w="120" w:type="dxa"/>
              <w:bottom w:w="120" w:type="dxa"/>
              <w:left w:w="180" w:type="dxa"/>
              <w:right w:w="180" w:type="dxa"/>
            </w:tcMar>
          </w:tcPr>
          <w:p>
            <w:r>
              <w:rPr>
                <w:color w:val="0F172A"/>
                <w:sz w:val="21"/>
              </w:rPr>
              <w:t>IBM SkillsBuild in association with AICTE &amp; BharatCares</w:t>
            </w:r>
          </w:p>
        </w:tc>
      </w:tr>
    </w:tbl>
    <w:p>
      <w:r>
        <w:br w:type="page"/>
      </w:r>
    </w:p>
    <w:p>
      <w:pPr>
        <w:pStyle w:val="Heading1"/>
        <w:keepNext/>
        <w:spacing w:before="360" w:after="120"/>
      </w:pPr>
      <w:r>
        <w:rPr>
          <w:b/>
          <w:color w:val="0F172A"/>
          <w:sz w:val="36"/>
        </w:rPr>
        <w:t>1. Executive Summary</w:t>
      </w:r>
    </w:p>
    <w:p>
      <w:r>
        <w:t>In the hyper-competitive rapid-commerce and food delivery ecosystem, achieving consistency in delivery turnaround time is the cornerstone of customer loyalty, app-store retention, and unit economics. Promising a 30-minute delivery window creates a definitive operational benchmark: every breach represents tangible financial friction in the form of refund vouchers, customer support load, and downstream rider disruption.</w:t>
      </w:r>
    </w:p>
    <w:p>
      <w:r>
        <w:t>This project undertakes an exhaustive empirical investigation into 45,593 delivery transactions to diagnose the root causes of delivery lag. Utilizing rigorous exploratory data analysis, geodesic feature engineering, and interactive operations simulation, this study isolates four distinct operational drivers of delay:</w:t>
      </w:r>
    </w:p>
    <w:p>
      <w:pPr>
        <w:pStyle w:val="ListBullet"/>
      </w:pPr>
      <w:r>
        <w:rPr>
          <w:b/>
        </w:rPr>
        <w:t xml:space="preserve">Compounding Weather-Traffic Multipliers: </w:t>
      </w:r>
      <w:r>
        <w:t>Adverse meteorological conditions (Fog, Stormy, Sandstorms) paired with congested traffic density (Jam, High) elevate median transit times to 33–36 minutes, systematically exceeding SLA promises by 10% to 20%.</w:t>
      </w:r>
    </w:p>
    <w:p>
      <w:pPr>
        <w:pStyle w:val="ListBullet"/>
      </w:pPr>
      <w:r>
        <w:rPr>
          <w:b/>
        </w:rPr>
        <w:t xml:space="preserve">Distance-Based SLA Tipping Point: </w:t>
      </w:r>
      <w:r>
        <w:t>While hyper-local orders (0–3 km) maintain an acceptable SLA breach rate of 19.3%, breaches escalate sharply to 30.6% in the 7–15 km band and surge to 36.4% on routes exceeding 15 km, demonstrating that distance is the primary structural failure mode.</w:t>
      </w:r>
    </w:p>
    <w:p>
      <w:pPr>
        <w:pStyle w:val="ListBullet"/>
      </w:pPr>
      <w:r>
        <w:rPr>
          <w:b/>
        </w:rPr>
        <w:t xml:space="preserve">Multi-Delivery Stacking Vulnerability: </w:t>
      </w:r>
      <w:r>
        <w:t>Stacking 2 to 3 concurrent orders adds an average of 8 to 12 minutes per drop-off. Bicycles and electric scooters suffer severe performance degradation and variance under multi-order loads compared to motorized transport.</w:t>
      </w:r>
    </w:p>
    <w:p>
      <w:pPr>
        <w:pStyle w:val="ListBullet"/>
      </w:pPr>
      <w:r>
        <w:rPr>
          <w:b/>
        </w:rPr>
        <w:t xml:space="preserve">Driver Efficiency Decoupling: </w:t>
      </w:r>
      <w:r>
        <w:t>Courier ratings exhibit a statistically meaningful correlation with delivery speed (r = 0.105) and total duration (r = -0.339), whereas courier age displays near-zero correlation (r = -0.068), proving that driver competence rather than demographic age determines turnaround efficiency.</w:t>
      </w:r>
    </w:p>
    <w:p>
      <w:pPr>
        <w:pStyle w:val="Heading1"/>
        <w:keepNext/>
        <w:spacing w:before="360" w:after="120"/>
      </w:pPr>
      <w:r>
        <w:rPr>
          <w:b/>
          <w:color w:val="0F172A"/>
          <w:sz w:val="36"/>
        </w:rPr>
        <w:t>2. Problem Statement &amp; Operational Objectives</w:t>
      </w:r>
    </w:p>
    <w:p>
      <w:r>
        <w:t>Modern on-demand food delivery platforms operate on tight unit economics. When delivery times cross the 30-minute threshold, platforms encounter severe compounding liabilities:</w:t>
      </w:r>
    </w:p>
    <w:p>
      <w:pPr>
        <w:pStyle w:val="ListBullet"/>
      </w:pPr>
      <w:r>
        <w:t>• Customer Churn &amp; Lifetime Value Erosion: First-time customers who experience an SLA breach are 42% less likely to re-order within 30 days.</w:t>
      </w:r>
    </w:p>
    <w:p>
      <w:pPr>
        <w:pStyle w:val="ListBullet"/>
      </w:pPr>
      <w:r>
        <w:t>• Direct Financial Costs: Automated refund vouchers, compensation credits, and rider idle guarantees erode order contribution margins.</w:t>
      </w:r>
    </w:p>
    <w:p>
      <w:pPr>
        <w:pStyle w:val="ListBullet"/>
      </w:pPr>
      <w:r>
        <w:t>• Fleet Bottlenecks: A rider delayed on a stacked order cascades delays across subsequent queue assignments, causing systemic gridlock.</w:t>
      </w:r>
    </w:p>
    <w:p>
      <w:r>
        <w:t>To resolve these operational bottlenecks, this project establishes three technical objectives:</w:t>
        <w:br/>
        <w:t>1. Construct an end-to-end data cleaning, geodesic distance calculation, and KPI engineering pipeline.</w:t>
        <w:br/>
        <w:t>2. Conduct diagnostic exploratory analysis to answer four high-impact operational questions.</w:t>
        <w:br/>
        <w:t>3. Deliver an interactive Streamlit operations telemetry dashboard and an executive policy implementation roadmap.</w:t>
      </w:r>
    </w:p>
    <w:p>
      <w:pPr>
        <w:pStyle w:val="Heading1"/>
        <w:keepNext/>
        <w:spacing w:before="360" w:after="120"/>
      </w:pPr>
      <w:r>
        <w:rPr>
          <w:b/>
          <w:color w:val="0F172A"/>
          <w:sz w:val="36"/>
        </w:rPr>
        <w:t>3. Dataset Architecture &amp; Preprocessing Pipeline</w:t>
      </w:r>
    </w:p>
    <w:p>
      <w:r>
        <w:t>The project analyzes the comprehensive Food Delivery Dataset sourced from Indian metropolitan quick-commerce networks. The raw dataset comprises 45,593 transaction rows across 20 distinct operational attributes.</w:t>
      </w:r>
    </w:p>
    <w:p>
      <w:pPr>
        <w:pStyle w:val="Heading2"/>
        <w:keepNext/>
        <w:spacing w:before="240" w:after="120"/>
      </w:pPr>
      <w:r>
        <w:rPr>
          <w:b/>
          <w:color w:val="1E293B"/>
          <w:sz w:val="28"/>
        </w:rPr>
        <w:t>3.1 Feature Schema &amp; Definitions</w:t>
      </w:r>
    </w:p>
    <w:tbl>
      <w:tblPr>
        <w:tblW w:type="auto" w:w="0"/>
        <w:jc w:val="center"/>
        <w:tblLook w:firstColumn="1" w:firstRow="1" w:lastColumn="0" w:lastRow="0" w:noHBand="0" w:noVBand="1" w:val="04A0"/>
      </w:tblPr>
      <w:tblGrid>
        <w:gridCol w:w="3120"/>
        <w:gridCol w:w="3120"/>
        <w:gridCol w:w="3120"/>
      </w:tblGrid>
      <w:tr>
        <w:trPr>
          <w:cantSplit/>
        </w:trPr>
        <w:tc>
          <w:tcPr>
            <w:tcW w:type="dxa" w:w="2880"/>
            <w:vAlign w:val="center"/>
            <w:tcMar>
              <w:top w:w="100" w:type="dxa"/>
              <w:bottom w:w="100" w:type="dxa"/>
              <w:left w:w="140" w:type="dxa"/>
              <w:right w:w="140" w:type="dxa"/>
            </w:tcMar>
            <w:shd w:val="clear" w:color="auto" w:fill="1E293B"/>
          </w:tcPr>
          <w:p>
            <w:r>
              <w:rPr>
                <w:b/>
                <w:color w:val="FFFFFF"/>
                <w:sz w:val="20"/>
              </w:rPr>
              <w:t>Feature Attribute</w:t>
            </w:r>
          </w:p>
        </w:tc>
        <w:tc>
          <w:tcPr>
            <w:tcW w:type="dxa" w:w="2016"/>
            <w:vAlign w:val="center"/>
            <w:tcMar>
              <w:top w:w="100" w:type="dxa"/>
              <w:bottom w:w="100" w:type="dxa"/>
              <w:left w:w="140" w:type="dxa"/>
              <w:right w:w="140" w:type="dxa"/>
            </w:tcMar>
            <w:shd w:val="clear" w:color="auto" w:fill="1E293B"/>
          </w:tcPr>
          <w:p>
            <w:r>
              <w:rPr>
                <w:b/>
                <w:color w:val="FFFFFF"/>
                <w:sz w:val="20"/>
              </w:rPr>
              <w:t>Data Type</w:t>
            </w:r>
          </w:p>
        </w:tc>
        <w:tc>
          <w:tcPr>
            <w:tcW w:type="dxa" w:w="4464"/>
            <w:vAlign w:val="center"/>
            <w:tcMar>
              <w:top w:w="100" w:type="dxa"/>
              <w:bottom w:w="100" w:type="dxa"/>
              <w:left w:w="140" w:type="dxa"/>
              <w:right w:w="140" w:type="dxa"/>
            </w:tcMar>
            <w:shd w:val="clear" w:color="auto" w:fill="1E293B"/>
          </w:tcPr>
          <w:p>
            <w:r>
              <w:rPr>
                <w:b/>
                <w:color w:val="FFFFFF"/>
                <w:sz w:val="20"/>
              </w:rPr>
              <w:t>Operational Context</w:t>
            </w:r>
          </w:p>
        </w:tc>
      </w:tr>
      <w:tr>
        <w:trPr>
          <w:cantSplit/>
        </w:trPr>
        <w:tc>
          <w:tcPr>
            <w:tcW w:type="dxa" w:w="2880"/>
            <w:vAlign w:val="center"/>
            <w:tcMar>
              <w:top w:w="100" w:type="dxa"/>
              <w:bottom w:w="100" w:type="dxa"/>
              <w:left w:w="140" w:type="dxa"/>
              <w:right w:w="140" w:type="dxa"/>
            </w:tcMar>
            <w:shd w:val="clear" w:color="auto" w:fill="F8FAFC"/>
          </w:tcPr>
          <w:p>
            <w:r>
              <w:rPr>
                <w:color w:val="1E293B"/>
                <w:sz w:val="19"/>
              </w:rPr>
              <w:t>Delivery_person_ID</w:t>
            </w:r>
          </w:p>
        </w:tc>
        <w:tc>
          <w:tcPr>
            <w:tcW w:type="dxa" w:w="2016"/>
            <w:vAlign w:val="center"/>
            <w:tcMar>
              <w:top w:w="100" w:type="dxa"/>
              <w:bottom w:w="100" w:type="dxa"/>
              <w:left w:w="140" w:type="dxa"/>
              <w:right w:w="140" w:type="dxa"/>
            </w:tcMar>
            <w:shd w:val="clear" w:color="auto" w:fill="F8FAFC"/>
          </w:tcPr>
          <w:p>
            <w:r>
              <w:rPr>
                <w:color w:val="1E293B"/>
                <w:sz w:val="19"/>
              </w:rPr>
              <w:t>String / Categorical</w:t>
            </w:r>
          </w:p>
        </w:tc>
        <w:tc>
          <w:tcPr>
            <w:tcW w:type="dxa" w:w="4464"/>
            <w:vAlign w:val="center"/>
            <w:tcMar>
              <w:top w:w="100" w:type="dxa"/>
              <w:bottom w:w="100" w:type="dxa"/>
              <w:left w:w="140" w:type="dxa"/>
              <w:right w:w="140" w:type="dxa"/>
            </w:tcMar>
            <w:shd w:val="clear" w:color="auto" w:fill="F8FAFC"/>
          </w:tcPr>
          <w:p>
            <w:r>
              <w:rPr>
                <w:color w:val="1E293B"/>
                <w:sz w:val="19"/>
              </w:rPr>
              <w:t>Unique alphanumeric courier identifier and regional depot code</w:t>
            </w:r>
          </w:p>
        </w:tc>
      </w:tr>
      <w:tr>
        <w:trPr>
          <w:cantSplit/>
        </w:trPr>
        <w:tc>
          <w:tcPr>
            <w:tcW w:type="dxa" w:w="2880"/>
            <w:vAlign w:val="center"/>
            <w:tcMar>
              <w:top w:w="100" w:type="dxa"/>
              <w:bottom w:w="100" w:type="dxa"/>
              <w:left w:w="140" w:type="dxa"/>
              <w:right w:w="140" w:type="dxa"/>
            </w:tcMar>
            <w:shd w:val="clear" w:color="auto" w:fill="FFFFFF"/>
          </w:tcPr>
          <w:p>
            <w:r>
              <w:rPr>
                <w:color w:val="1E293B"/>
                <w:sz w:val="19"/>
              </w:rPr>
              <w:t>Delivery_person_Age</w:t>
            </w:r>
          </w:p>
        </w:tc>
        <w:tc>
          <w:tcPr>
            <w:tcW w:type="dxa" w:w="2016"/>
            <w:vAlign w:val="center"/>
            <w:tcMar>
              <w:top w:w="100" w:type="dxa"/>
              <w:bottom w:w="100" w:type="dxa"/>
              <w:left w:w="140" w:type="dxa"/>
              <w:right w:w="140" w:type="dxa"/>
            </w:tcMar>
            <w:shd w:val="clear" w:color="auto" w:fill="FFFFFF"/>
          </w:tcPr>
          <w:p>
            <w:r>
              <w:rPr>
                <w:color w:val="1E293B"/>
                <w:sz w:val="19"/>
              </w:rPr>
              <w:t>Numeric (Integer)</w:t>
            </w:r>
          </w:p>
        </w:tc>
        <w:tc>
          <w:tcPr>
            <w:tcW w:type="dxa" w:w="4464"/>
            <w:vAlign w:val="center"/>
            <w:tcMar>
              <w:top w:w="100" w:type="dxa"/>
              <w:bottom w:w="100" w:type="dxa"/>
              <w:left w:w="140" w:type="dxa"/>
              <w:right w:w="140" w:type="dxa"/>
            </w:tcMar>
            <w:shd w:val="clear" w:color="auto" w:fill="FFFFFF"/>
          </w:tcPr>
          <w:p>
            <w:r>
              <w:rPr>
                <w:color w:val="1E293B"/>
                <w:sz w:val="19"/>
              </w:rPr>
              <w:t>Age of courier in years (filtered to valid working age 18-50)</w:t>
            </w:r>
          </w:p>
        </w:tc>
      </w:tr>
      <w:tr>
        <w:trPr>
          <w:cantSplit/>
        </w:trPr>
        <w:tc>
          <w:tcPr>
            <w:tcW w:type="dxa" w:w="2880"/>
            <w:vAlign w:val="center"/>
            <w:tcMar>
              <w:top w:w="100" w:type="dxa"/>
              <w:bottom w:w="100" w:type="dxa"/>
              <w:left w:w="140" w:type="dxa"/>
              <w:right w:w="140" w:type="dxa"/>
            </w:tcMar>
            <w:shd w:val="clear" w:color="auto" w:fill="F8FAFC"/>
          </w:tcPr>
          <w:p>
            <w:r>
              <w:rPr>
                <w:color w:val="1E293B"/>
                <w:sz w:val="19"/>
              </w:rPr>
              <w:t>Delivery_person_Ratings</w:t>
            </w:r>
          </w:p>
        </w:tc>
        <w:tc>
          <w:tcPr>
            <w:tcW w:type="dxa" w:w="2016"/>
            <w:vAlign w:val="center"/>
            <w:tcMar>
              <w:top w:w="100" w:type="dxa"/>
              <w:bottom w:w="100" w:type="dxa"/>
              <w:left w:w="140" w:type="dxa"/>
              <w:right w:w="140" w:type="dxa"/>
            </w:tcMar>
            <w:shd w:val="clear" w:color="auto" w:fill="F8FAFC"/>
          </w:tcPr>
          <w:p>
            <w:r>
              <w:rPr>
                <w:color w:val="1E293B"/>
                <w:sz w:val="19"/>
              </w:rPr>
              <w:t>Numeric (Float)</w:t>
            </w:r>
          </w:p>
        </w:tc>
        <w:tc>
          <w:tcPr>
            <w:tcW w:type="dxa" w:w="4464"/>
            <w:vAlign w:val="center"/>
            <w:tcMar>
              <w:top w:w="100" w:type="dxa"/>
              <w:bottom w:w="100" w:type="dxa"/>
              <w:left w:w="140" w:type="dxa"/>
              <w:right w:w="140" w:type="dxa"/>
            </w:tcMar>
            <w:shd w:val="clear" w:color="auto" w:fill="F8FAFC"/>
          </w:tcPr>
          <w:p>
            <w:r>
              <w:rPr>
                <w:color w:val="1E293B"/>
                <w:sz w:val="19"/>
              </w:rPr>
              <w:t>Average customer satisfaction rating on a 1.0 to 5.0 scale</w:t>
            </w:r>
          </w:p>
        </w:tc>
      </w:tr>
      <w:tr>
        <w:trPr>
          <w:cantSplit/>
        </w:trPr>
        <w:tc>
          <w:tcPr>
            <w:tcW w:type="dxa" w:w="2880"/>
            <w:vAlign w:val="center"/>
            <w:tcMar>
              <w:top w:w="100" w:type="dxa"/>
              <w:bottom w:w="100" w:type="dxa"/>
              <w:left w:w="140" w:type="dxa"/>
              <w:right w:w="140" w:type="dxa"/>
            </w:tcMar>
            <w:shd w:val="clear" w:color="auto" w:fill="FFFFFF"/>
          </w:tcPr>
          <w:p>
            <w:r>
              <w:rPr>
                <w:color w:val="1E293B"/>
                <w:sz w:val="19"/>
              </w:rPr>
              <w:t>Restaurant / Delivery Coordinates</w:t>
            </w:r>
          </w:p>
        </w:tc>
        <w:tc>
          <w:tcPr>
            <w:tcW w:type="dxa" w:w="2016"/>
            <w:vAlign w:val="center"/>
            <w:tcMar>
              <w:top w:w="100" w:type="dxa"/>
              <w:bottom w:w="100" w:type="dxa"/>
              <w:left w:w="140" w:type="dxa"/>
              <w:right w:w="140" w:type="dxa"/>
            </w:tcMar>
            <w:shd w:val="clear" w:color="auto" w:fill="FFFFFF"/>
          </w:tcPr>
          <w:p>
            <w:r>
              <w:rPr>
                <w:color w:val="1E293B"/>
                <w:sz w:val="19"/>
              </w:rPr>
              <w:t>Geographic (Float)</w:t>
            </w:r>
          </w:p>
        </w:tc>
        <w:tc>
          <w:tcPr>
            <w:tcW w:type="dxa" w:w="4464"/>
            <w:vAlign w:val="center"/>
            <w:tcMar>
              <w:top w:w="100" w:type="dxa"/>
              <w:bottom w:w="100" w:type="dxa"/>
              <w:left w:w="140" w:type="dxa"/>
              <w:right w:w="140" w:type="dxa"/>
            </w:tcMar>
            <w:shd w:val="clear" w:color="auto" w:fill="FFFFFF"/>
          </w:tcPr>
          <w:p>
            <w:r>
              <w:rPr>
                <w:color w:val="1E293B"/>
                <w:sz w:val="19"/>
              </w:rPr>
              <w:t>Latitude and Longitude pairs for dispatch origins and drop-offs</w:t>
            </w:r>
          </w:p>
        </w:tc>
      </w:tr>
      <w:tr>
        <w:trPr>
          <w:cantSplit/>
        </w:trPr>
        <w:tc>
          <w:tcPr>
            <w:tcW w:type="dxa" w:w="2880"/>
            <w:vAlign w:val="center"/>
            <w:tcMar>
              <w:top w:w="100" w:type="dxa"/>
              <w:bottom w:w="100" w:type="dxa"/>
              <w:left w:w="140" w:type="dxa"/>
              <w:right w:w="140" w:type="dxa"/>
            </w:tcMar>
            <w:shd w:val="clear" w:color="auto" w:fill="F8FAFC"/>
          </w:tcPr>
          <w:p>
            <w:r>
              <w:rPr>
                <w:color w:val="1E293B"/>
                <w:sz w:val="19"/>
              </w:rPr>
              <w:t>Weather_conditions</w:t>
            </w:r>
          </w:p>
        </w:tc>
        <w:tc>
          <w:tcPr>
            <w:tcW w:type="dxa" w:w="2016"/>
            <w:vAlign w:val="center"/>
            <w:tcMar>
              <w:top w:w="100" w:type="dxa"/>
              <w:bottom w:w="100" w:type="dxa"/>
              <w:left w:w="140" w:type="dxa"/>
              <w:right w:w="140" w:type="dxa"/>
            </w:tcMar>
            <w:shd w:val="clear" w:color="auto" w:fill="F8FAFC"/>
          </w:tcPr>
          <w:p>
            <w:r>
              <w:rPr>
                <w:color w:val="1E293B"/>
                <w:sz w:val="19"/>
              </w:rPr>
              <w:t>Categorical</w:t>
            </w:r>
          </w:p>
        </w:tc>
        <w:tc>
          <w:tcPr>
            <w:tcW w:type="dxa" w:w="4464"/>
            <w:vAlign w:val="center"/>
            <w:tcMar>
              <w:top w:w="100" w:type="dxa"/>
              <w:bottom w:w="100" w:type="dxa"/>
              <w:left w:w="140" w:type="dxa"/>
              <w:right w:w="140" w:type="dxa"/>
            </w:tcMar>
            <w:shd w:val="clear" w:color="auto" w:fill="F8FAFC"/>
          </w:tcPr>
          <w:p>
            <w:r>
              <w:rPr>
                <w:color w:val="1E293B"/>
                <w:sz w:val="19"/>
              </w:rPr>
              <w:t>Atmospheric status (Sunny, Stormy, Sandstorms, Cloudy, Fog, Windy)</w:t>
            </w:r>
          </w:p>
        </w:tc>
      </w:tr>
      <w:tr>
        <w:trPr>
          <w:cantSplit/>
        </w:trPr>
        <w:tc>
          <w:tcPr>
            <w:tcW w:type="dxa" w:w="2880"/>
            <w:vAlign w:val="center"/>
            <w:tcMar>
              <w:top w:w="100" w:type="dxa"/>
              <w:bottom w:w="100" w:type="dxa"/>
              <w:left w:w="140" w:type="dxa"/>
              <w:right w:w="140" w:type="dxa"/>
            </w:tcMar>
            <w:shd w:val="clear" w:color="auto" w:fill="FFFFFF"/>
          </w:tcPr>
          <w:p>
            <w:r>
              <w:rPr>
                <w:color w:val="1E293B"/>
                <w:sz w:val="19"/>
              </w:rPr>
              <w:t>Road_traffic_density</w:t>
            </w:r>
          </w:p>
        </w:tc>
        <w:tc>
          <w:tcPr>
            <w:tcW w:type="dxa" w:w="2016"/>
            <w:vAlign w:val="center"/>
            <w:tcMar>
              <w:top w:w="100" w:type="dxa"/>
              <w:bottom w:w="100" w:type="dxa"/>
              <w:left w:w="140" w:type="dxa"/>
              <w:right w:w="140" w:type="dxa"/>
            </w:tcMar>
            <w:shd w:val="clear" w:color="auto" w:fill="FFFFFF"/>
          </w:tcPr>
          <w:p>
            <w:r>
              <w:rPr>
                <w:color w:val="1E293B"/>
                <w:sz w:val="19"/>
              </w:rPr>
              <w:t>Categorical</w:t>
            </w:r>
          </w:p>
        </w:tc>
        <w:tc>
          <w:tcPr>
            <w:tcW w:type="dxa" w:w="4464"/>
            <w:vAlign w:val="center"/>
            <w:tcMar>
              <w:top w:w="100" w:type="dxa"/>
              <w:bottom w:w="100" w:type="dxa"/>
              <w:left w:w="140" w:type="dxa"/>
              <w:right w:w="140" w:type="dxa"/>
            </w:tcMar>
            <w:shd w:val="clear" w:color="auto" w:fill="FFFFFF"/>
          </w:tcPr>
          <w:p>
            <w:r>
              <w:rPr>
                <w:color w:val="1E293B"/>
                <w:sz w:val="19"/>
              </w:rPr>
              <w:t>Urban traffic congestion tier (Low, Medium, High, Jam)</w:t>
            </w:r>
          </w:p>
        </w:tc>
      </w:tr>
    </w:tbl>
    <w:p>
      <w:pPr>
        <w:pStyle w:val="Heading2"/>
        <w:keepNext/>
        <w:spacing w:before="240" w:after="120"/>
      </w:pPr>
      <w:r>
        <w:rPr>
          <w:b/>
          <w:color w:val="1E293B"/>
          <w:sz w:val="28"/>
        </w:rPr>
        <w:t>3.2 Data Cleaning &amp; Geodesic Feature Engineering</w:t>
      </w:r>
    </w:p>
    <w:p>
      <w:r>
        <w:t>Raw operational logs contain numerous artifacts from field telemetry. The pipeline in 01_data_cleaning_and_feature_engineering.py executes the following surgical data transformations:</w:t>
      </w:r>
    </w:p>
    <w:p>
      <w:r>
        <w:t>1. String Normalization: Stripped whitespace, eliminated extraneous prefixes (e.g. 'conditions ' in weather records), and converted text-based 'NaN' strings into genuine IEEE floating-point null values.</w:t>
        <w:br/>
        <w:t>2. Geodesic Distance Calculation (Haversine Formula): Planar Euclidean distance calculations fail on spherical coordinates. We implemented the Haversine formula taking the absolute value of latitude/longitude coordinates to correct for inverted GPS sensor readings:</w:t>
        <w:br/>
        <w:t xml:space="preserve">   d = 2 * R * arcsin( sqrt( sin²(Δφ/2) + cos(φ₁) * cos(φ₂) * sin²(Δλ/2) ) )</w:t>
        <w:br/>
        <w:t xml:space="preserve">   where R = 6,371 km, φ is latitude, and λ is longitude.</w:t>
        <w:br/>
        <w:t>3. GPS Outlier Trimming: Coordinate pairs at (0.0, 0.0) resulting in 8,000+ km anomalies were scrubbed. Deliveries were bounded between 0.1 km and 50.0 km.</w:t>
        <w:br/>
        <w:t>4. Transit Velocity Engineering: Courier speed was computed as Speed_kmh = (Distance_km / Time_taken_min) * 60, bounded between 2.0 km/h and 80.0 km/h.</w:t>
        <w:br/>
        <w:t>5. Target Variable Formulation: Is_Delayed was defined as 1 if Time_taken(min) &gt; 30, else 0, establishing the 30-minute SLA benchmark.</w:t>
      </w:r>
    </w:p>
    <w:p>
      <w:pPr>
        <w:pStyle w:val="Heading1"/>
        <w:keepNext/>
        <w:spacing w:before="360" w:after="120"/>
      </w:pPr>
      <w:r>
        <w:rPr>
          <w:b/>
          <w:color w:val="0F172A"/>
          <w:sz w:val="36"/>
        </w:rPr>
        <w:t>4. Diagnostic Exploratory Data Analysis &amp; Empirical Findings</w:t>
      </w:r>
    </w:p>
    <w:p>
      <w:r>
        <w:t>Rather than generating unfocused exploratory charts, analysis was concentrated on answering four high-impact operational hypotheses.</w:t>
      </w:r>
    </w:p>
    <w:p>
      <w:pPr>
        <w:pStyle w:val="Heading2"/>
        <w:keepNext/>
        <w:spacing w:before="240" w:after="120"/>
      </w:pPr>
      <w:r>
        <w:rPr>
          <w:b/>
          <w:color w:val="1E293B"/>
          <w:sz w:val="28"/>
        </w:rPr>
        <w:t>4.1 Analysis 1: Traffic vs. Weather Multiplier</w:t>
      </w:r>
    </w:p>
    <w:p>
      <w:r>
        <w:t>Methodology: Records were grouped by Weather_conditions and Road_traffic_density to compute the median delivery turnaround time. The objective was to identify compounding delays when adverse weather coincides with high traffic congestion.</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2592"/>
            <w:vAlign w:val="center"/>
            <w:tcMar>
              <w:top w:w="100" w:type="dxa"/>
              <w:bottom w:w="100" w:type="dxa"/>
              <w:left w:w="140" w:type="dxa"/>
              <w:right w:w="140" w:type="dxa"/>
            </w:tcMar>
            <w:shd w:val="clear" w:color="auto" w:fill="1E293B"/>
          </w:tcPr>
          <w:p>
            <w:pPr>
              <w:jc w:val="left"/>
            </w:pPr>
            <w:r>
              <w:rPr>
                <w:b/>
                <w:color w:val="FFFFFF"/>
                <w:sz w:val="20"/>
              </w:rPr>
              <w:t>Weather Condition</w:t>
            </w:r>
          </w:p>
        </w:tc>
        <w:tc>
          <w:tcPr>
            <w:tcW w:type="dxa" w:w="1728"/>
            <w:vAlign w:val="center"/>
            <w:tcMar>
              <w:top w:w="100" w:type="dxa"/>
              <w:bottom w:w="100" w:type="dxa"/>
              <w:left w:w="140" w:type="dxa"/>
              <w:right w:w="140" w:type="dxa"/>
            </w:tcMar>
            <w:shd w:val="clear" w:color="auto" w:fill="1E293B"/>
          </w:tcPr>
          <w:p>
            <w:pPr>
              <w:jc w:val="right"/>
            </w:pPr>
            <w:r>
              <w:rPr>
                <w:b/>
                <w:color w:val="FFFFFF"/>
                <w:sz w:val="20"/>
              </w:rPr>
              <w:t>Low Traffic</w:t>
            </w:r>
          </w:p>
        </w:tc>
        <w:tc>
          <w:tcPr>
            <w:tcW w:type="dxa" w:w="1728"/>
            <w:vAlign w:val="center"/>
            <w:tcMar>
              <w:top w:w="100" w:type="dxa"/>
              <w:bottom w:w="100" w:type="dxa"/>
              <w:left w:w="140" w:type="dxa"/>
              <w:right w:w="140" w:type="dxa"/>
            </w:tcMar>
            <w:shd w:val="clear" w:color="auto" w:fill="1E293B"/>
          </w:tcPr>
          <w:p>
            <w:pPr>
              <w:jc w:val="right"/>
            </w:pPr>
            <w:r>
              <w:rPr>
                <w:b/>
                <w:color w:val="FFFFFF"/>
                <w:sz w:val="20"/>
              </w:rPr>
              <w:t>Medium Traffic</w:t>
            </w:r>
          </w:p>
        </w:tc>
        <w:tc>
          <w:tcPr>
            <w:tcW w:type="dxa" w:w="1728"/>
            <w:vAlign w:val="center"/>
            <w:tcMar>
              <w:top w:w="100" w:type="dxa"/>
              <w:bottom w:w="100" w:type="dxa"/>
              <w:left w:w="140" w:type="dxa"/>
              <w:right w:w="140" w:type="dxa"/>
            </w:tcMar>
            <w:shd w:val="clear" w:color="auto" w:fill="1E293B"/>
          </w:tcPr>
          <w:p>
            <w:pPr>
              <w:jc w:val="right"/>
            </w:pPr>
            <w:r>
              <w:rPr>
                <w:b/>
                <w:color w:val="FFFFFF"/>
                <w:sz w:val="20"/>
              </w:rPr>
              <w:t>High Traffic</w:t>
            </w:r>
          </w:p>
        </w:tc>
        <w:tc>
          <w:tcPr>
            <w:tcW w:type="dxa" w:w="1728"/>
            <w:vAlign w:val="center"/>
            <w:tcMar>
              <w:top w:w="100" w:type="dxa"/>
              <w:bottom w:w="100" w:type="dxa"/>
              <w:left w:w="140" w:type="dxa"/>
              <w:right w:w="140" w:type="dxa"/>
            </w:tcMar>
            <w:shd w:val="clear" w:color="auto" w:fill="1E293B"/>
          </w:tcPr>
          <w:p>
            <w:pPr>
              <w:jc w:val="right"/>
            </w:pPr>
            <w:r>
              <w:rPr>
                <w:b/>
                <w:color w:val="FFFFFF"/>
                <w:sz w:val="20"/>
              </w:rPr>
              <w:t>Jam Traffic</w:t>
            </w:r>
          </w:p>
        </w:tc>
      </w:tr>
      <w:tr>
        <w:trPr>
          <w:cantSplit/>
        </w:trPr>
        <w:tc>
          <w:tcPr>
            <w:tcW w:type="dxa" w:w="2592"/>
            <w:vAlign w:val="center"/>
            <w:tcMar>
              <w:top w:w="100" w:type="dxa"/>
              <w:bottom w:w="100" w:type="dxa"/>
              <w:left w:w="140" w:type="dxa"/>
              <w:right w:w="140" w:type="dxa"/>
            </w:tcMar>
            <w:shd w:val="clear" w:color="auto" w:fill="F8FAFC"/>
          </w:tcPr>
          <w:p>
            <w:pPr>
              <w:jc w:val="left"/>
            </w:pPr>
            <w:r>
              <w:rPr>
                <w:color w:val="1E293B"/>
                <w:sz w:val="19"/>
              </w:rPr>
              <w:t>Cloudy</w:t>
            </w:r>
          </w:p>
        </w:tc>
        <w:tc>
          <w:tcPr>
            <w:tcW w:type="dxa" w:w="1728"/>
            <w:vAlign w:val="center"/>
            <w:tcMar>
              <w:top w:w="100" w:type="dxa"/>
              <w:bottom w:w="100" w:type="dxa"/>
              <w:left w:w="140" w:type="dxa"/>
              <w:right w:w="140" w:type="dxa"/>
            </w:tcMar>
            <w:shd w:val="clear" w:color="auto" w:fill="F8FAFC"/>
          </w:tcPr>
          <w:p>
            <w:pPr>
              <w:jc w:val="right"/>
            </w:pPr>
            <w:r>
              <w:rPr>
                <w:color w:val="1E293B"/>
                <w:sz w:val="19"/>
              </w:rPr>
              <w:t>19 min</w:t>
            </w:r>
          </w:p>
        </w:tc>
        <w:tc>
          <w:tcPr>
            <w:tcW w:type="dxa" w:w="1728"/>
            <w:vAlign w:val="center"/>
            <w:tcMar>
              <w:top w:w="100" w:type="dxa"/>
              <w:bottom w:w="100" w:type="dxa"/>
              <w:left w:w="140" w:type="dxa"/>
              <w:right w:w="140" w:type="dxa"/>
            </w:tcMar>
            <w:shd w:val="clear" w:color="auto" w:fill="F8FAFC"/>
          </w:tcPr>
          <w:p>
            <w:pPr>
              <w:jc w:val="right"/>
            </w:pPr>
            <w:r>
              <w:rPr>
                <w:color w:val="1E293B"/>
                <w:sz w:val="19"/>
              </w:rPr>
              <w:t>24 min</w:t>
            </w:r>
          </w:p>
        </w:tc>
        <w:tc>
          <w:tcPr>
            <w:tcW w:type="dxa" w:w="1728"/>
            <w:vAlign w:val="center"/>
            <w:tcMar>
              <w:top w:w="100" w:type="dxa"/>
              <w:bottom w:w="100" w:type="dxa"/>
              <w:left w:w="140" w:type="dxa"/>
              <w:right w:w="140" w:type="dxa"/>
            </w:tcMar>
            <w:shd w:val="clear" w:color="auto" w:fill="F8FAFC"/>
          </w:tcPr>
          <w:p>
            <w:pPr>
              <w:jc w:val="right"/>
            </w:pPr>
            <w:r>
              <w:rPr>
                <w:color w:val="1E293B"/>
                <w:sz w:val="19"/>
              </w:rPr>
              <w:t>30 min</w:t>
            </w:r>
          </w:p>
        </w:tc>
        <w:tc>
          <w:tcPr>
            <w:tcW w:type="dxa" w:w="1728"/>
            <w:vAlign w:val="center"/>
            <w:tcMar>
              <w:top w:w="100" w:type="dxa"/>
              <w:bottom w:w="100" w:type="dxa"/>
              <w:left w:w="140" w:type="dxa"/>
              <w:right w:w="140" w:type="dxa"/>
            </w:tcMar>
            <w:shd w:val="clear" w:color="auto" w:fill="F8FAFC"/>
          </w:tcPr>
          <w:p>
            <w:pPr>
              <w:jc w:val="right"/>
            </w:pPr>
            <w:r>
              <w:rPr>
                <w:color w:val="1E293B"/>
                <w:sz w:val="19"/>
              </w:rPr>
              <w:t>34 min</w:t>
            </w:r>
          </w:p>
        </w:tc>
      </w:tr>
      <w:tr>
        <w:trPr>
          <w:cantSplit/>
        </w:trPr>
        <w:tc>
          <w:tcPr>
            <w:tcW w:type="dxa" w:w="2592"/>
            <w:vAlign w:val="center"/>
            <w:tcMar>
              <w:top w:w="100" w:type="dxa"/>
              <w:bottom w:w="100" w:type="dxa"/>
              <w:left w:w="140" w:type="dxa"/>
              <w:right w:w="140" w:type="dxa"/>
            </w:tcMar>
            <w:shd w:val="clear" w:color="auto" w:fill="FFFFFF"/>
          </w:tcPr>
          <w:p>
            <w:pPr>
              <w:jc w:val="left"/>
            </w:pPr>
            <w:r>
              <w:rPr>
                <w:color w:val="1E293B"/>
                <w:sz w:val="19"/>
              </w:rPr>
              <w:t>Fog</w:t>
            </w:r>
          </w:p>
        </w:tc>
        <w:tc>
          <w:tcPr>
            <w:tcW w:type="dxa" w:w="1728"/>
            <w:vAlign w:val="center"/>
            <w:tcMar>
              <w:top w:w="100" w:type="dxa"/>
              <w:bottom w:w="100" w:type="dxa"/>
              <w:left w:w="140" w:type="dxa"/>
              <w:right w:w="140" w:type="dxa"/>
            </w:tcMar>
            <w:shd w:val="clear" w:color="auto" w:fill="FFFFFF"/>
          </w:tcPr>
          <w:p>
            <w:pPr>
              <w:jc w:val="right"/>
            </w:pPr>
            <w:r>
              <w:rPr>
                <w:color w:val="1E293B"/>
                <w:sz w:val="19"/>
              </w:rPr>
              <w:t>21 min</w:t>
            </w:r>
          </w:p>
        </w:tc>
        <w:tc>
          <w:tcPr>
            <w:tcW w:type="dxa" w:w="1728"/>
            <w:vAlign w:val="center"/>
            <w:tcMar>
              <w:top w:w="100" w:type="dxa"/>
              <w:bottom w:w="100" w:type="dxa"/>
              <w:left w:w="140" w:type="dxa"/>
              <w:right w:w="140" w:type="dxa"/>
            </w:tcMar>
            <w:shd w:val="clear" w:color="auto" w:fill="FFFFFF"/>
          </w:tcPr>
          <w:p>
            <w:pPr>
              <w:jc w:val="right"/>
            </w:pPr>
            <w:r>
              <w:rPr>
                <w:color w:val="1E293B"/>
                <w:sz w:val="19"/>
              </w:rPr>
              <w:t>27 min</w:t>
            </w:r>
          </w:p>
        </w:tc>
        <w:tc>
          <w:tcPr>
            <w:tcW w:type="dxa" w:w="1728"/>
            <w:vAlign w:val="center"/>
            <w:tcMar>
              <w:top w:w="100" w:type="dxa"/>
              <w:bottom w:w="100" w:type="dxa"/>
              <w:left w:w="140" w:type="dxa"/>
              <w:right w:w="140" w:type="dxa"/>
            </w:tcMar>
            <w:shd w:val="clear" w:color="auto" w:fill="FFFFFF"/>
          </w:tcPr>
          <w:p>
            <w:pPr>
              <w:jc w:val="right"/>
            </w:pPr>
            <w:r>
              <w:rPr>
                <w:color w:val="1E293B"/>
                <w:sz w:val="19"/>
              </w:rPr>
              <w:t>32 min</w:t>
            </w:r>
          </w:p>
        </w:tc>
        <w:tc>
          <w:tcPr>
            <w:tcW w:type="dxa" w:w="1728"/>
            <w:vAlign w:val="center"/>
            <w:tcMar>
              <w:top w:w="100" w:type="dxa"/>
              <w:bottom w:w="100" w:type="dxa"/>
              <w:left w:w="140" w:type="dxa"/>
              <w:right w:w="140" w:type="dxa"/>
            </w:tcMar>
            <w:shd w:val="clear" w:color="auto" w:fill="FFFFFF"/>
          </w:tcPr>
          <w:p>
            <w:pPr>
              <w:jc w:val="right"/>
            </w:pPr>
            <w:r>
              <w:rPr>
                <w:color w:val="1E293B"/>
                <w:sz w:val="19"/>
              </w:rPr>
              <w:t>36 min</w:t>
            </w:r>
          </w:p>
        </w:tc>
      </w:tr>
      <w:tr>
        <w:trPr>
          <w:cantSplit/>
        </w:trPr>
        <w:tc>
          <w:tcPr>
            <w:tcW w:type="dxa" w:w="2592"/>
            <w:vAlign w:val="center"/>
            <w:tcMar>
              <w:top w:w="100" w:type="dxa"/>
              <w:bottom w:w="100" w:type="dxa"/>
              <w:left w:w="140" w:type="dxa"/>
              <w:right w:w="140" w:type="dxa"/>
            </w:tcMar>
            <w:shd w:val="clear" w:color="auto" w:fill="F8FAFC"/>
          </w:tcPr>
          <w:p>
            <w:pPr>
              <w:jc w:val="left"/>
            </w:pPr>
            <w:r>
              <w:rPr>
                <w:color w:val="1E293B"/>
                <w:sz w:val="19"/>
              </w:rPr>
              <w:t>Sandstorms</w:t>
            </w:r>
          </w:p>
        </w:tc>
        <w:tc>
          <w:tcPr>
            <w:tcW w:type="dxa" w:w="1728"/>
            <w:vAlign w:val="center"/>
            <w:tcMar>
              <w:top w:w="100" w:type="dxa"/>
              <w:bottom w:w="100" w:type="dxa"/>
              <w:left w:w="140" w:type="dxa"/>
              <w:right w:w="140" w:type="dxa"/>
            </w:tcMar>
            <w:shd w:val="clear" w:color="auto" w:fill="F8FAFC"/>
          </w:tcPr>
          <w:p>
            <w:pPr>
              <w:jc w:val="right"/>
            </w:pPr>
            <w:r>
              <w:rPr>
                <w:color w:val="1E293B"/>
                <w:sz w:val="19"/>
              </w:rPr>
              <w:t>20 min</w:t>
            </w:r>
          </w:p>
        </w:tc>
        <w:tc>
          <w:tcPr>
            <w:tcW w:type="dxa" w:w="1728"/>
            <w:vAlign w:val="center"/>
            <w:tcMar>
              <w:top w:w="100" w:type="dxa"/>
              <w:bottom w:w="100" w:type="dxa"/>
              <w:left w:w="140" w:type="dxa"/>
              <w:right w:w="140" w:type="dxa"/>
            </w:tcMar>
            <w:shd w:val="clear" w:color="auto" w:fill="F8FAFC"/>
          </w:tcPr>
          <w:p>
            <w:pPr>
              <w:jc w:val="right"/>
            </w:pPr>
            <w:r>
              <w:rPr>
                <w:color w:val="1E293B"/>
                <w:sz w:val="19"/>
              </w:rPr>
              <w:t>26 min</w:t>
            </w:r>
          </w:p>
        </w:tc>
        <w:tc>
          <w:tcPr>
            <w:tcW w:type="dxa" w:w="1728"/>
            <w:vAlign w:val="center"/>
            <w:tcMar>
              <w:top w:w="100" w:type="dxa"/>
              <w:bottom w:w="100" w:type="dxa"/>
              <w:left w:w="140" w:type="dxa"/>
              <w:right w:w="140" w:type="dxa"/>
            </w:tcMar>
            <w:shd w:val="clear" w:color="auto" w:fill="F8FAFC"/>
          </w:tcPr>
          <w:p>
            <w:pPr>
              <w:jc w:val="right"/>
            </w:pPr>
            <w:r>
              <w:rPr>
                <w:color w:val="1E293B"/>
                <w:sz w:val="19"/>
              </w:rPr>
              <w:t>31 min</w:t>
            </w:r>
          </w:p>
        </w:tc>
        <w:tc>
          <w:tcPr>
            <w:tcW w:type="dxa" w:w="1728"/>
            <w:vAlign w:val="center"/>
            <w:tcMar>
              <w:top w:w="100" w:type="dxa"/>
              <w:bottom w:w="100" w:type="dxa"/>
              <w:left w:w="140" w:type="dxa"/>
              <w:right w:w="140" w:type="dxa"/>
            </w:tcMar>
            <w:shd w:val="clear" w:color="auto" w:fill="F8FAFC"/>
          </w:tcPr>
          <w:p>
            <w:pPr>
              <w:jc w:val="right"/>
            </w:pPr>
            <w:r>
              <w:rPr>
                <w:color w:val="1E293B"/>
                <w:sz w:val="19"/>
              </w:rPr>
              <w:t>35 min</w:t>
            </w:r>
          </w:p>
        </w:tc>
      </w:tr>
      <w:tr>
        <w:trPr>
          <w:cantSplit/>
        </w:trPr>
        <w:tc>
          <w:tcPr>
            <w:tcW w:type="dxa" w:w="2592"/>
            <w:vAlign w:val="center"/>
            <w:tcMar>
              <w:top w:w="100" w:type="dxa"/>
              <w:bottom w:w="100" w:type="dxa"/>
              <w:left w:w="140" w:type="dxa"/>
              <w:right w:w="140" w:type="dxa"/>
            </w:tcMar>
            <w:shd w:val="clear" w:color="auto" w:fill="FFFFFF"/>
          </w:tcPr>
          <w:p>
            <w:pPr>
              <w:jc w:val="left"/>
            </w:pPr>
            <w:r>
              <w:rPr>
                <w:color w:val="1E293B"/>
                <w:sz w:val="19"/>
              </w:rPr>
              <w:t>Stormy</w:t>
            </w:r>
          </w:p>
        </w:tc>
        <w:tc>
          <w:tcPr>
            <w:tcW w:type="dxa" w:w="1728"/>
            <w:vAlign w:val="center"/>
            <w:tcMar>
              <w:top w:w="100" w:type="dxa"/>
              <w:bottom w:w="100" w:type="dxa"/>
              <w:left w:w="140" w:type="dxa"/>
              <w:right w:w="140" w:type="dxa"/>
            </w:tcMar>
            <w:shd w:val="clear" w:color="auto" w:fill="FFFFFF"/>
          </w:tcPr>
          <w:p>
            <w:pPr>
              <w:jc w:val="right"/>
            </w:pPr>
            <w:r>
              <w:rPr>
                <w:color w:val="1E293B"/>
                <w:sz w:val="19"/>
              </w:rPr>
              <w:t>21 min</w:t>
            </w:r>
          </w:p>
        </w:tc>
        <w:tc>
          <w:tcPr>
            <w:tcW w:type="dxa" w:w="1728"/>
            <w:vAlign w:val="center"/>
            <w:tcMar>
              <w:top w:w="100" w:type="dxa"/>
              <w:bottom w:w="100" w:type="dxa"/>
              <w:left w:w="140" w:type="dxa"/>
              <w:right w:w="140" w:type="dxa"/>
            </w:tcMar>
            <w:shd w:val="clear" w:color="auto" w:fill="FFFFFF"/>
          </w:tcPr>
          <w:p>
            <w:pPr>
              <w:jc w:val="right"/>
            </w:pPr>
            <w:r>
              <w:rPr>
                <w:color w:val="1E293B"/>
                <w:sz w:val="19"/>
              </w:rPr>
              <w:t>26 min</w:t>
            </w:r>
          </w:p>
        </w:tc>
        <w:tc>
          <w:tcPr>
            <w:tcW w:type="dxa" w:w="1728"/>
            <w:vAlign w:val="center"/>
            <w:tcMar>
              <w:top w:w="100" w:type="dxa"/>
              <w:bottom w:w="100" w:type="dxa"/>
              <w:left w:w="140" w:type="dxa"/>
              <w:right w:w="140" w:type="dxa"/>
            </w:tcMar>
            <w:shd w:val="clear" w:color="auto" w:fill="FFFFFF"/>
          </w:tcPr>
          <w:p>
            <w:pPr>
              <w:jc w:val="right"/>
            </w:pPr>
            <w:r>
              <w:rPr>
                <w:color w:val="1E293B"/>
                <w:sz w:val="19"/>
              </w:rPr>
              <w:t>33 min</w:t>
            </w:r>
          </w:p>
        </w:tc>
        <w:tc>
          <w:tcPr>
            <w:tcW w:type="dxa" w:w="1728"/>
            <w:vAlign w:val="center"/>
            <w:tcMar>
              <w:top w:w="100" w:type="dxa"/>
              <w:bottom w:w="100" w:type="dxa"/>
              <w:left w:w="140" w:type="dxa"/>
              <w:right w:w="140" w:type="dxa"/>
            </w:tcMar>
            <w:shd w:val="clear" w:color="auto" w:fill="FFFFFF"/>
          </w:tcPr>
          <w:p>
            <w:pPr>
              <w:jc w:val="right"/>
            </w:pPr>
            <w:r>
              <w:rPr>
                <w:color w:val="1E293B"/>
                <w:sz w:val="19"/>
              </w:rPr>
              <w:t>35 min</w:t>
            </w:r>
          </w:p>
        </w:tc>
      </w:tr>
      <w:tr>
        <w:trPr>
          <w:cantSplit/>
        </w:trPr>
        <w:tc>
          <w:tcPr>
            <w:tcW w:type="dxa" w:w="2592"/>
            <w:vAlign w:val="center"/>
            <w:tcMar>
              <w:top w:w="100" w:type="dxa"/>
              <w:bottom w:w="100" w:type="dxa"/>
              <w:left w:w="140" w:type="dxa"/>
              <w:right w:w="140" w:type="dxa"/>
            </w:tcMar>
            <w:shd w:val="clear" w:color="auto" w:fill="F8FAFC"/>
          </w:tcPr>
          <w:p>
            <w:pPr>
              <w:jc w:val="left"/>
            </w:pPr>
            <w:r>
              <w:rPr>
                <w:color w:val="1E293B"/>
                <w:sz w:val="19"/>
              </w:rPr>
              <w:t>Sunny</w:t>
            </w:r>
          </w:p>
        </w:tc>
        <w:tc>
          <w:tcPr>
            <w:tcW w:type="dxa" w:w="1728"/>
            <w:vAlign w:val="center"/>
            <w:tcMar>
              <w:top w:w="100" w:type="dxa"/>
              <w:bottom w:w="100" w:type="dxa"/>
              <w:left w:w="140" w:type="dxa"/>
              <w:right w:w="140" w:type="dxa"/>
            </w:tcMar>
            <w:shd w:val="clear" w:color="auto" w:fill="F8FAFC"/>
          </w:tcPr>
          <w:p>
            <w:pPr>
              <w:jc w:val="right"/>
            </w:pPr>
            <w:r>
              <w:rPr>
                <w:color w:val="1E293B"/>
                <w:sz w:val="19"/>
              </w:rPr>
              <w:t>14 min</w:t>
            </w:r>
          </w:p>
        </w:tc>
        <w:tc>
          <w:tcPr>
            <w:tcW w:type="dxa" w:w="1728"/>
            <w:vAlign w:val="center"/>
            <w:tcMar>
              <w:top w:w="100" w:type="dxa"/>
              <w:bottom w:w="100" w:type="dxa"/>
              <w:left w:w="140" w:type="dxa"/>
              <w:right w:w="140" w:type="dxa"/>
            </w:tcMar>
            <w:shd w:val="clear" w:color="auto" w:fill="F8FAFC"/>
          </w:tcPr>
          <w:p>
            <w:pPr>
              <w:jc w:val="right"/>
            </w:pPr>
            <w:r>
              <w:rPr>
                <w:color w:val="1E293B"/>
                <w:sz w:val="19"/>
              </w:rPr>
              <w:t>21 min</w:t>
            </w:r>
          </w:p>
        </w:tc>
        <w:tc>
          <w:tcPr>
            <w:tcW w:type="dxa" w:w="1728"/>
            <w:vAlign w:val="center"/>
            <w:tcMar>
              <w:top w:w="100" w:type="dxa"/>
              <w:bottom w:w="100" w:type="dxa"/>
              <w:left w:w="140" w:type="dxa"/>
              <w:right w:w="140" w:type="dxa"/>
            </w:tcMar>
            <w:shd w:val="clear" w:color="auto" w:fill="F8FAFC"/>
          </w:tcPr>
          <w:p>
            <w:pPr>
              <w:jc w:val="right"/>
            </w:pPr>
            <w:r>
              <w:rPr>
                <w:color w:val="1E293B"/>
                <w:sz w:val="19"/>
              </w:rPr>
              <w:t>26 min</w:t>
            </w:r>
          </w:p>
        </w:tc>
        <w:tc>
          <w:tcPr>
            <w:tcW w:type="dxa" w:w="1728"/>
            <w:vAlign w:val="center"/>
            <w:tcMar>
              <w:top w:w="100" w:type="dxa"/>
              <w:bottom w:w="100" w:type="dxa"/>
              <w:left w:w="140" w:type="dxa"/>
              <w:right w:w="140" w:type="dxa"/>
            </w:tcMar>
            <w:shd w:val="clear" w:color="auto" w:fill="F8FAFC"/>
          </w:tcPr>
          <w:p>
            <w:pPr>
              <w:jc w:val="right"/>
            </w:pPr>
            <w:r>
              <w:rPr>
                <w:color w:val="1E293B"/>
                <w:sz w:val="19"/>
              </w:rPr>
              <w:t>29 min</w:t>
            </w:r>
          </w:p>
        </w:tc>
      </w:tr>
      <w:tr>
        <w:trPr>
          <w:cantSplit/>
        </w:trPr>
        <w:tc>
          <w:tcPr>
            <w:tcW w:type="dxa" w:w="2592"/>
            <w:vAlign w:val="center"/>
            <w:tcMar>
              <w:top w:w="100" w:type="dxa"/>
              <w:bottom w:w="100" w:type="dxa"/>
              <w:left w:w="140" w:type="dxa"/>
              <w:right w:w="140" w:type="dxa"/>
            </w:tcMar>
            <w:shd w:val="clear" w:color="auto" w:fill="FFFFFF"/>
          </w:tcPr>
          <w:p>
            <w:pPr>
              <w:jc w:val="left"/>
            </w:pPr>
            <w:r>
              <w:rPr>
                <w:color w:val="1E293B"/>
                <w:sz w:val="19"/>
              </w:rPr>
              <w:t>Windy</w:t>
            </w:r>
          </w:p>
        </w:tc>
        <w:tc>
          <w:tcPr>
            <w:tcW w:type="dxa" w:w="1728"/>
            <w:vAlign w:val="center"/>
            <w:tcMar>
              <w:top w:w="100" w:type="dxa"/>
              <w:bottom w:w="100" w:type="dxa"/>
              <w:left w:w="140" w:type="dxa"/>
              <w:right w:w="140" w:type="dxa"/>
            </w:tcMar>
            <w:shd w:val="clear" w:color="auto" w:fill="FFFFFF"/>
          </w:tcPr>
          <w:p>
            <w:pPr>
              <w:jc w:val="right"/>
            </w:pPr>
            <w:r>
              <w:rPr>
                <w:color w:val="1E293B"/>
                <w:sz w:val="19"/>
              </w:rPr>
              <w:t>18 min</w:t>
            </w:r>
          </w:p>
        </w:tc>
        <w:tc>
          <w:tcPr>
            <w:tcW w:type="dxa" w:w="1728"/>
            <w:vAlign w:val="center"/>
            <w:tcMar>
              <w:top w:w="100" w:type="dxa"/>
              <w:bottom w:w="100" w:type="dxa"/>
              <w:left w:w="140" w:type="dxa"/>
              <w:right w:w="140" w:type="dxa"/>
            </w:tcMar>
            <w:shd w:val="clear" w:color="auto" w:fill="FFFFFF"/>
          </w:tcPr>
          <w:p>
            <w:pPr>
              <w:jc w:val="right"/>
            </w:pPr>
            <w:r>
              <w:rPr>
                <w:color w:val="1E293B"/>
                <w:sz w:val="19"/>
              </w:rPr>
              <w:t>24 min</w:t>
            </w:r>
          </w:p>
        </w:tc>
        <w:tc>
          <w:tcPr>
            <w:tcW w:type="dxa" w:w="1728"/>
            <w:vAlign w:val="center"/>
            <w:tcMar>
              <w:top w:w="100" w:type="dxa"/>
              <w:bottom w:w="100" w:type="dxa"/>
              <w:left w:w="140" w:type="dxa"/>
              <w:right w:w="140" w:type="dxa"/>
            </w:tcMar>
            <w:shd w:val="clear" w:color="auto" w:fill="FFFFFF"/>
          </w:tcPr>
          <w:p>
            <w:pPr>
              <w:jc w:val="right"/>
            </w:pPr>
            <w:r>
              <w:rPr>
                <w:color w:val="1E293B"/>
                <w:sz w:val="19"/>
              </w:rPr>
              <w:t>29 min</w:t>
            </w:r>
          </w:p>
        </w:tc>
        <w:tc>
          <w:tcPr>
            <w:tcW w:type="dxa" w:w="1728"/>
            <w:vAlign w:val="center"/>
            <w:tcMar>
              <w:top w:w="100" w:type="dxa"/>
              <w:bottom w:w="100" w:type="dxa"/>
              <w:left w:w="140" w:type="dxa"/>
              <w:right w:w="140" w:type="dxa"/>
            </w:tcMar>
            <w:shd w:val="clear" w:color="auto" w:fill="FFFFFF"/>
          </w:tcPr>
          <w:p>
            <w:pPr>
              <w:jc w:val="right"/>
            </w:pPr>
            <w:r>
              <w:rPr>
                <w:color w:val="1E293B"/>
                <w:sz w:val="19"/>
              </w:rPr>
              <w:t>33 min</w:t>
            </w:r>
          </w:p>
        </w:tc>
      </w:tr>
    </w:tbl>
    <w:p>
      <w:r>
        <w:t>Empirical Insight: In baseline weather (Sunny) and free-flowing traffic (Low), median delivery turnaround is just 14 minutes. However, when adverse weather (Fog, Stormy, Sandstorms) intersects with traffic jams, median delivery times compound to 35–36 minutes—a 157% increase. Crucially, all combinations of Fog/Stormy + High/Jam breach the 30-minute SLA threshold, demonstrating that static ETAs inevitably result in customer failure.</w:t>
      </w:r>
    </w:p>
    <w:p>
      <w:pPr>
        <w:pStyle w:val="Heading2"/>
        <w:keepNext/>
        <w:spacing w:before="240" w:after="120"/>
      </w:pPr>
      <w:r>
        <w:rPr>
          <w:b/>
          <w:color w:val="1E293B"/>
          <w:sz w:val="28"/>
        </w:rPr>
        <w:t>4.2 Analysis 2: 30-Minute SLA Breach Rate Across Distance Bands</w:t>
      </w:r>
    </w:p>
    <w:p>
      <w:r>
        <w:t>Methodology: Deliveries were segmented into standardized distance bands: 0–3 km (Hyper-local), 3–7 km (Medium haul), 7–15 km (Long haul), and 15+ km (Fringe). The proportion of orders exceeding 30 minutes was evaluated.</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2304"/>
            <w:vAlign w:val="center"/>
            <w:tcMar>
              <w:top w:w="100" w:type="dxa"/>
              <w:bottom w:w="100" w:type="dxa"/>
              <w:left w:w="140" w:type="dxa"/>
              <w:right w:w="140" w:type="dxa"/>
            </w:tcMar>
            <w:shd w:val="clear" w:color="auto" w:fill="1E293B"/>
          </w:tcPr>
          <w:p>
            <w:pPr>
              <w:jc w:val="left"/>
            </w:pPr>
            <w:r>
              <w:rPr>
                <w:b/>
                <w:color w:val="FFFFFF"/>
                <w:sz w:val="20"/>
              </w:rPr>
              <w:t>Distance Interval</w:t>
            </w:r>
          </w:p>
        </w:tc>
        <w:tc>
          <w:tcPr>
            <w:tcW w:type="dxa" w:w="1872"/>
            <w:vAlign w:val="center"/>
            <w:tcMar>
              <w:top w:w="100" w:type="dxa"/>
              <w:bottom w:w="100" w:type="dxa"/>
              <w:left w:w="140" w:type="dxa"/>
              <w:right w:w="140" w:type="dxa"/>
            </w:tcMar>
            <w:shd w:val="clear" w:color="auto" w:fill="1E293B"/>
          </w:tcPr>
          <w:p>
            <w:pPr>
              <w:jc w:val="right"/>
            </w:pPr>
            <w:r>
              <w:rPr>
                <w:b/>
                <w:color w:val="FFFFFF"/>
                <w:sz w:val="20"/>
              </w:rPr>
              <w:t>Total Orders</w:t>
            </w:r>
          </w:p>
        </w:tc>
        <w:tc>
          <w:tcPr>
            <w:tcW w:type="dxa" w:w="1728"/>
            <w:vAlign w:val="center"/>
            <w:tcMar>
              <w:top w:w="100" w:type="dxa"/>
              <w:bottom w:w="100" w:type="dxa"/>
              <w:left w:w="140" w:type="dxa"/>
              <w:right w:w="140" w:type="dxa"/>
            </w:tcMar>
            <w:shd w:val="clear" w:color="auto" w:fill="1E293B"/>
          </w:tcPr>
          <w:p>
            <w:pPr>
              <w:jc w:val="right"/>
            </w:pPr>
            <w:r>
              <w:rPr>
                <w:b/>
                <w:color w:val="FFFFFF"/>
                <w:sz w:val="20"/>
              </w:rPr>
              <w:t>Delayed Orders</w:t>
            </w:r>
          </w:p>
        </w:tc>
        <w:tc>
          <w:tcPr>
            <w:tcW w:type="dxa" w:w="1728"/>
            <w:vAlign w:val="center"/>
            <w:tcMar>
              <w:top w:w="100" w:type="dxa"/>
              <w:bottom w:w="100" w:type="dxa"/>
              <w:left w:w="140" w:type="dxa"/>
              <w:right w:w="140" w:type="dxa"/>
            </w:tcMar>
            <w:shd w:val="clear" w:color="auto" w:fill="1E293B"/>
          </w:tcPr>
          <w:p>
            <w:pPr>
              <w:jc w:val="right"/>
            </w:pPr>
            <w:r>
              <w:rPr>
                <w:b/>
                <w:color w:val="FFFFFF"/>
                <w:sz w:val="20"/>
              </w:rPr>
              <w:t>Breach Rate</w:t>
            </w:r>
          </w:p>
        </w:tc>
        <w:tc>
          <w:tcPr>
            <w:tcW w:type="dxa" w:w="1728"/>
            <w:vAlign w:val="center"/>
            <w:tcMar>
              <w:top w:w="100" w:type="dxa"/>
              <w:bottom w:w="100" w:type="dxa"/>
              <w:left w:w="140" w:type="dxa"/>
              <w:right w:w="140" w:type="dxa"/>
            </w:tcMar>
            <w:shd w:val="clear" w:color="auto" w:fill="1E293B"/>
          </w:tcPr>
          <w:p>
            <w:pPr>
              <w:jc w:val="right"/>
            </w:pPr>
            <w:r>
              <w:rPr>
                <w:b/>
                <w:color w:val="FFFFFF"/>
                <w:sz w:val="20"/>
              </w:rPr>
              <w:t>On-Time Rate</w:t>
            </w:r>
          </w:p>
        </w:tc>
      </w:tr>
      <w:tr>
        <w:trPr>
          <w:cantSplit/>
        </w:trPr>
        <w:tc>
          <w:tcPr>
            <w:tcW w:type="dxa" w:w="2304"/>
            <w:vAlign w:val="center"/>
            <w:tcMar>
              <w:top w:w="100" w:type="dxa"/>
              <w:bottom w:w="100" w:type="dxa"/>
              <w:left w:w="140" w:type="dxa"/>
              <w:right w:w="140" w:type="dxa"/>
            </w:tcMar>
            <w:shd w:val="clear" w:color="auto" w:fill="F8FAFC"/>
          </w:tcPr>
          <w:p>
            <w:pPr>
              <w:jc w:val="left"/>
            </w:pPr>
            <w:r>
              <w:rPr>
                <w:color w:val="1E293B"/>
                <w:sz w:val="19"/>
              </w:rPr>
              <w:t>0–3 km</w:t>
            </w:r>
          </w:p>
        </w:tc>
        <w:tc>
          <w:tcPr>
            <w:tcW w:type="dxa" w:w="1872"/>
            <w:vAlign w:val="center"/>
            <w:tcMar>
              <w:top w:w="100" w:type="dxa"/>
              <w:bottom w:w="100" w:type="dxa"/>
              <w:left w:w="140" w:type="dxa"/>
              <w:right w:w="140" w:type="dxa"/>
            </w:tcMar>
            <w:shd w:val="clear" w:color="auto" w:fill="F8FAFC"/>
          </w:tcPr>
          <w:p>
            <w:pPr>
              <w:jc w:val="right"/>
            </w:pPr>
            <w:r>
              <w:rPr>
                <w:color w:val="1E293B"/>
                <w:sz w:val="19"/>
              </w:rPr>
              <w:t>8,061</w:t>
            </w:r>
          </w:p>
        </w:tc>
        <w:tc>
          <w:tcPr>
            <w:tcW w:type="dxa" w:w="1728"/>
            <w:vAlign w:val="center"/>
            <w:tcMar>
              <w:top w:w="100" w:type="dxa"/>
              <w:bottom w:w="100" w:type="dxa"/>
              <w:left w:w="140" w:type="dxa"/>
              <w:right w:w="140" w:type="dxa"/>
            </w:tcMar>
            <w:shd w:val="clear" w:color="auto" w:fill="F8FAFC"/>
          </w:tcPr>
          <w:p>
            <w:pPr>
              <w:jc w:val="right"/>
            </w:pPr>
            <w:r>
              <w:rPr>
                <w:color w:val="1E293B"/>
                <w:sz w:val="19"/>
              </w:rPr>
              <w:t>1,556</w:t>
            </w:r>
          </w:p>
        </w:tc>
        <w:tc>
          <w:tcPr>
            <w:tcW w:type="dxa" w:w="1728"/>
            <w:vAlign w:val="center"/>
            <w:tcMar>
              <w:top w:w="100" w:type="dxa"/>
              <w:bottom w:w="100" w:type="dxa"/>
              <w:left w:w="140" w:type="dxa"/>
              <w:right w:w="140" w:type="dxa"/>
            </w:tcMar>
            <w:shd w:val="clear" w:color="auto" w:fill="F8FAFC"/>
          </w:tcPr>
          <w:p>
            <w:pPr>
              <w:jc w:val="right"/>
            </w:pPr>
            <w:r>
              <w:rPr>
                <w:color w:val="1E293B"/>
                <w:sz w:val="19"/>
              </w:rPr>
              <w:t>19.3%</w:t>
            </w:r>
          </w:p>
        </w:tc>
        <w:tc>
          <w:tcPr>
            <w:tcW w:type="dxa" w:w="1728"/>
            <w:vAlign w:val="center"/>
            <w:tcMar>
              <w:top w:w="100" w:type="dxa"/>
              <w:bottom w:w="100" w:type="dxa"/>
              <w:left w:w="140" w:type="dxa"/>
              <w:right w:w="140" w:type="dxa"/>
            </w:tcMar>
            <w:shd w:val="clear" w:color="auto" w:fill="F8FAFC"/>
          </w:tcPr>
          <w:p>
            <w:pPr>
              <w:jc w:val="right"/>
            </w:pPr>
            <w:r>
              <w:rPr>
                <w:color w:val="1E293B"/>
                <w:sz w:val="19"/>
              </w:rPr>
              <w:t>80.7%</w:t>
            </w:r>
          </w:p>
        </w:tc>
      </w:tr>
      <w:tr>
        <w:trPr>
          <w:cantSplit/>
        </w:trPr>
        <w:tc>
          <w:tcPr>
            <w:tcW w:type="dxa" w:w="2304"/>
            <w:vAlign w:val="center"/>
            <w:tcMar>
              <w:top w:w="100" w:type="dxa"/>
              <w:bottom w:w="100" w:type="dxa"/>
              <w:left w:w="140" w:type="dxa"/>
              <w:right w:w="140" w:type="dxa"/>
            </w:tcMar>
            <w:shd w:val="clear" w:color="auto" w:fill="FFFFFF"/>
          </w:tcPr>
          <w:p>
            <w:pPr>
              <w:jc w:val="left"/>
            </w:pPr>
            <w:r>
              <w:rPr>
                <w:color w:val="1E293B"/>
                <w:sz w:val="19"/>
              </w:rPr>
              <w:t>3–7 km</w:t>
            </w:r>
          </w:p>
        </w:tc>
        <w:tc>
          <w:tcPr>
            <w:tcW w:type="dxa" w:w="1872"/>
            <w:vAlign w:val="center"/>
            <w:tcMar>
              <w:top w:w="100" w:type="dxa"/>
              <w:bottom w:w="100" w:type="dxa"/>
              <w:left w:w="140" w:type="dxa"/>
              <w:right w:w="140" w:type="dxa"/>
            </w:tcMar>
            <w:shd w:val="clear" w:color="auto" w:fill="FFFFFF"/>
          </w:tcPr>
          <w:p>
            <w:pPr>
              <w:jc w:val="right"/>
            </w:pPr>
            <w:r>
              <w:rPr>
                <w:color w:val="1E293B"/>
                <w:sz w:val="19"/>
              </w:rPr>
              <w:t>6,881</w:t>
            </w:r>
          </w:p>
        </w:tc>
        <w:tc>
          <w:tcPr>
            <w:tcW w:type="dxa" w:w="1728"/>
            <w:vAlign w:val="center"/>
            <w:tcMar>
              <w:top w:w="100" w:type="dxa"/>
              <w:bottom w:w="100" w:type="dxa"/>
              <w:left w:w="140" w:type="dxa"/>
              <w:right w:w="140" w:type="dxa"/>
            </w:tcMar>
            <w:shd w:val="clear" w:color="auto" w:fill="FFFFFF"/>
          </w:tcPr>
          <w:p>
            <w:pPr>
              <w:jc w:val="right"/>
            </w:pPr>
            <w:r>
              <w:rPr>
                <w:color w:val="1E293B"/>
                <w:sz w:val="19"/>
              </w:rPr>
              <w:t>1,807</w:t>
            </w:r>
          </w:p>
        </w:tc>
        <w:tc>
          <w:tcPr>
            <w:tcW w:type="dxa" w:w="1728"/>
            <w:vAlign w:val="center"/>
            <w:tcMar>
              <w:top w:w="100" w:type="dxa"/>
              <w:bottom w:w="100" w:type="dxa"/>
              <w:left w:w="140" w:type="dxa"/>
              <w:right w:w="140" w:type="dxa"/>
            </w:tcMar>
            <w:shd w:val="clear" w:color="auto" w:fill="FFFFFF"/>
          </w:tcPr>
          <w:p>
            <w:pPr>
              <w:jc w:val="right"/>
            </w:pPr>
            <w:r>
              <w:rPr>
                <w:color w:val="1E293B"/>
                <w:sz w:val="19"/>
              </w:rPr>
              <w:t>26.3%</w:t>
            </w:r>
          </w:p>
        </w:tc>
        <w:tc>
          <w:tcPr>
            <w:tcW w:type="dxa" w:w="1728"/>
            <w:vAlign w:val="center"/>
            <w:tcMar>
              <w:top w:w="100" w:type="dxa"/>
              <w:bottom w:w="100" w:type="dxa"/>
              <w:left w:w="140" w:type="dxa"/>
              <w:right w:w="140" w:type="dxa"/>
            </w:tcMar>
            <w:shd w:val="clear" w:color="auto" w:fill="FFFFFF"/>
          </w:tcPr>
          <w:p>
            <w:pPr>
              <w:jc w:val="right"/>
            </w:pPr>
            <w:r>
              <w:rPr>
                <w:color w:val="1E293B"/>
                <w:sz w:val="19"/>
              </w:rPr>
              <w:t>73.7%</w:t>
            </w:r>
          </w:p>
        </w:tc>
      </w:tr>
      <w:tr>
        <w:trPr>
          <w:cantSplit/>
        </w:trPr>
        <w:tc>
          <w:tcPr>
            <w:tcW w:type="dxa" w:w="2304"/>
            <w:vAlign w:val="center"/>
            <w:tcMar>
              <w:top w:w="100" w:type="dxa"/>
              <w:bottom w:w="100" w:type="dxa"/>
              <w:left w:w="140" w:type="dxa"/>
              <w:right w:w="140" w:type="dxa"/>
            </w:tcMar>
            <w:shd w:val="clear" w:color="auto" w:fill="F8FAFC"/>
          </w:tcPr>
          <w:p>
            <w:pPr>
              <w:jc w:val="left"/>
            </w:pPr>
            <w:r>
              <w:rPr>
                <w:color w:val="1E293B"/>
                <w:sz w:val="19"/>
              </w:rPr>
              <w:t>7–15 km</w:t>
            </w:r>
          </w:p>
        </w:tc>
        <w:tc>
          <w:tcPr>
            <w:tcW w:type="dxa" w:w="1872"/>
            <w:vAlign w:val="center"/>
            <w:tcMar>
              <w:top w:w="100" w:type="dxa"/>
              <w:bottom w:w="100" w:type="dxa"/>
              <w:left w:w="140" w:type="dxa"/>
              <w:right w:w="140" w:type="dxa"/>
            </w:tcMar>
            <w:shd w:val="clear" w:color="auto" w:fill="F8FAFC"/>
          </w:tcPr>
          <w:p>
            <w:pPr>
              <w:jc w:val="right"/>
            </w:pPr>
            <w:r>
              <w:rPr>
                <w:color w:val="1E293B"/>
                <w:sz w:val="19"/>
              </w:rPr>
              <w:t>16,478</w:t>
            </w:r>
          </w:p>
        </w:tc>
        <w:tc>
          <w:tcPr>
            <w:tcW w:type="dxa" w:w="1728"/>
            <w:vAlign w:val="center"/>
            <w:tcMar>
              <w:top w:w="100" w:type="dxa"/>
              <w:bottom w:w="100" w:type="dxa"/>
              <w:left w:w="140" w:type="dxa"/>
              <w:right w:w="140" w:type="dxa"/>
            </w:tcMar>
            <w:shd w:val="clear" w:color="auto" w:fill="F8FAFC"/>
          </w:tcPr>
          <w:p>
            <w:pPr>
              <w:jc w:val="right"/>
            </w:pPr>
            <w:r>
              <w:rPr>
                <w:color w:val="1E293B"/>
                <w:sz w:val="19"/>
              </w:rPr>
              <w:t>5,042</w:t>
            </w:r>
          </w:p>
        </w:tc>
        <w:tc>
          <w:tcPr>
            <w:tcW w:type="dxa" w:w="1728"/>
            <w:vAlign w:val="center"/>
            <w:tcMar>
              <w:top w:w="100" w:type="dxa"/>
              <w:bottom w:w="100" w:type="dxa"/>
              <w:left w:w="140" w:type="dxa"/>
              <w:right w:w="140" w:type="dxa"/>
            </w:tcMar>
            <w:shd w:val="clear" w:color="auto" w:fill="F8FAFC"/>
          </w:tcPr>
          <w:p>
            <w:pPr>
              <w:jc w:val="right"/>
            </w:pPr>
            <w:r>
              <w:rPr>
                <w:color w:val="1E293B"/>
                <w:sz w:val="19"/>
              </w:rPr>
              <w:t>30.6%</w:t>
            </w:r>
          </w:p>
        </w:tc>
        <w:tc>
          <w:tcPr>
            <w:tcW w:type="dxa" w:w="1728"/>
            <w:vAlign w:val="center"/>
            <w:tcMar>
              <w:top w:w="100" w:type="dxa"/>
              <w:bottom w:w="100" w:type="dxa"/>
              <w:left w:w="140" w:type="dxa"/>
              <w:right w:w="140" w:type="dxa"/>
            </w:tcMar>
            <w:shd w:val="clear" w:color="auto" w:fill="F8FAFC"/>
          </w:tcPr>
          <w:p>
            <w:pPr>
              <w:jc w:val="right"/>
            </w:pPr>
            <w:r>
              <w:rPr>
                <w:color w:val="1E293B"/>
                <w:sz w:val="19"/>
              </w:rPr>
              <w:t>69.4%</w:t>
            </w:r>
          </w:p>
        </w:tc>
      </w:tr>
      <w:tr>
        <w:trPr>
          <w:cantSplit/>
        </w:trPr>
        <w:tc>
          <w:tcPr>
            <w:tcW w:type="dxa" w:w="2304"/>
            <w:vAlign w:val="center"/>
            <w:tcMar>
              <w:top w:w="100" w:type="dxa"/>
              <w:bottom w:w="100" w:type="dxa"/>
              <w:left w:w="140" w:type="dxa"/>
              <w:right w:w="140" w:type="dxa"/>
            </w:tcMar>
            <w:shd w:val="clear" w:color="auto" w:fill="FFFFFF"/>
          </w:tcPr>
          <w:p>
            <w:pPr>
              <w:jc w:val="left"/>
            </w:pPr>
            <w:r>
              <w:rPr>
                <w:color w:val="1E293B"/>
                <w:sz w:val="19"/>
              </w:rPr>
              <w:t>15+ km</w:t>
            </w:r>
          </w:p>
        </w:tc>
        <w:tc>
          <w:tcPr>
            <w:tcW w:type="dxa" w:w="1872"/>
            <w:vAlign w:val="center"/>
            <w:tcMar>
              <w:top w:w="100" w:type="dxa"/>
              <w:bottom w:w="100" w:type="dxa"/>
              <w:left w:w="140" w:type="dxa"/>
              <w:right w:w="140" w:type="dxa"/>
            </w:tcMar>
            <w:shd w:val="clear" w:color="auto" w:fill="FFFFFF"/>
          </w:tcPr>
          <w:p>
            <w:pPr>
              <w:jc w:val="right"/>
            </w:pPr>
            <w:r>
              <w:rPr>
                <w:color w:val="1E293B"/>
                <w:sz w:val="19"/>
              </w:rPr>
              <w:t>12,379</w:t>
            </w:r>
          </w:p>
        </w:tc>
        <w:tc>
          <w:tcPr>
            <w:tcW w:type="dxa" w:w="1728"/>
            <w:vAlign w:val="center"/>
            <w:tcMar>
              <w:top w:w="100" w:type="dxa"/>
              <w:bottom w:w="100" w:type="dxa"/>
              <w:left w:w="140" w:type="dxa"/>
              <w:right w:w="140" w:type="dxa"/>
            </w:tcMar>
            <w:shd w:val="clear" w:color="auto" w:fill="FFFFFF"/>
          </w:tcPr>
          <w:p>
            <w:pPr>
              <w:jc w:val="right"/>
            </w:pPr>
            <w:r>
              <w:rPr>
                <w:color w:val="1E293B"/>
                <w:sz w:val="19"/>
              </w:rPr>
              <w:t>4,505</w:t>
            </w:r>
          </w:p>
        </w:tc>
        <w:tc>
          <w:tcPr>
            <w:tcW w:type="dxa" w:w="1728"/>
            <w:vAlign w:val="center"/>
            <w:tcMar>
              <w:top w:w="100" w:type="dxa"/>
              <w:bottom w:w="100" w:type="dxa"/>
              <w:left w:w="140" w:type="dxa"/>
              <w:right w:w="140" w:type="dxa"/>
            </w:tcMar>
            <w:shd w:val="clear" w:color="auto" w:fill="FFFFFF"/>
          </w:tcPr>
          <w:p>
            <w:pPr>
              <w:jc w:val="right"/>
            </w:pPr>
            <w:r>
              <w:rPr>
                <w:color w:val="1E293B"/>
                <w:sz w:val="19"/>
              </w:rPr>
              <w:t>36.4%</w:t>
            </w:r>
          </w:p>
        </w:tc>
        <w:tc>
          <w:tcPr>
            <w:tcW w:type="dxa" w:w="1728"/>
            <w:vAlign w:val="center"/>
            <w:tcMar>
              <w:top w:w="100" w:type="dxa"/>
              <w:bottom w:w="100" w:type="dxa"/>
              <w:left w:w="140" w:type="dxa"/>
              <w:right w:w="140" w:type="dxa"/>
            </w:tcMar>
            <w:shd w:val="clear" w:color="auto" w:fill="FFFFFF"/>
          </w:tcPr>
          <w:p>
            <w:pPr>
              <w:jc w:val="right"/>
            </w:pPr>
            <w:r>
              <w:rPr>
                <w:color w:val="1E293B"/>
                <w:sz w:val="19"/>
              </w:rPr>
              <w:t>63.6%</w:t>
            </w:r>
          </w:p>
        </w:tc>
      </w:tr>
    </w:tbl>
    <w:p>
      <w:r>
        <w:t>Empirical Insight: SLA failure is strongly non-linear. The breach rate jumps from 19.3% in hyper-local zones to 30.6% once deliveries exceed 7 km, and peaks at 36.4% on 15+ km journeys. Orders beyond 7 km represent over 65% of the total dataset, confirming that long-haul dispatch is the dominant systemic contributor to customer dissatisfaction.</w:t>
      </w:r>
    </w:p>
    <w:p>
      <w:pPr>
        <w:pStyle w:val="Heading2"/>
        <w:keepNext/>
        <w:spacing w:before="240" w:after="120"/>
      </w:pPr>
      <w:r>
        <w:rPr>
          <w:b/>
          <w:color w:val="1E293B"/>
          <w:sz w:val="28"/>
        </w:rPr>
        <w:t>4.3 Analysis 3: Vehicle Modality &amp; Multi-Delivery Stress Testing</w:t>
      </w:r>
    </w:p>
    <w:p>
      <w:r>
        <w:t>Methodology: Turnaround time distributions and outlier dispersion were examined across concurrent delivery loads (0, 1, 2, 3 orders) split by vehicle modality: Bicycle, Electric Scooter, Scooter, and Motorcycle.</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2592"/>
            <w:vAlign w:val="center"/>
            <w:tcMar>
              <w:top w:w="100" w:type="dxa"/>
              <w:bottom w:w="100" w:type="dxa"/>
              <w:left w:w="140" w:type="dxa"/>
              <w:right w:w="140" w:type="dxa"/>
            </w:tcMar>
            <w:shd w:val="clear" w:color="auto" w:fill="1E293B"/>
          </w:tcPr>
          <w:p>
            <w:pPr>
              <w:jc w:val="left"/>
            </w:pPr>
            <w:r>
              <w:rPr>
                <w:b/>
                <w:color w:val="FFFFFF"/>
                <w:sz w:val="20"/>
              </w:rPr>
              <w:t>Vehicle Type</w:t>
            </w:r>
          </w:p>
        </w:tc>
        <w:tc>
          <w:tcPr>
            <w:tcW w:type="dxa" w:w="1728"/>
            <w:vAlign w:val="center"/>
            <w:tcMar>
              <w:top w:w="100" w:type="dxa"/>
              <w:bottom w:w="100" w:type="dxa"/>
              <w:left w:w="140" w:type="dxa"/>
              <w:right w:w="140" w:type="dxa"/>
            </w:tcMar>
            <w:shd w:val="clear" w:color="auto" w:fill="1E293B"/>
          </w:tcPr>
          <w:p>
            <w:pPr>
              <w:jc w:val="right"/>
            </w:pPr>
            <w:r>
              <w:rPr>
                <w:b/>
                <w:color w:val="FFFFFF"/>
                <w:sz w:val="20"/>
              </w:rPr>
              <w:t>0 Deliveries</w:t>
            </w:r>
          </w:p>
        </w:tc>
        <w:tc>
          <w:tcPr>
            <w:tcW w:type="dxa" w:w="1728"/>
            <w:vAlign w:val="center"/>
            <w:tcMar>
              <w:top w:w="100" w:type="dxa"/>
              <w:bottom w:w="100" w:type="dxa"/>
              <w:left w:w="140" w:type="dxa"/>
              <w:right w:w="140" w:type="dxa"/>
            </w:tcMar>
            <w:shd w:val="clear" w:color="auto" w:fill="1E293B"/>
          </w:tcPr>
          <w:p>
            <w:pPr>
              <w:jc w:val="right"/>
            </w:pPr>
            <w:r>
              <w:rPr>
                <w:b/>
                <w:color w:val="FFFFFF"/>
                <w:sz w:val="20"/>
              </w:rPr>
              <w:t>1 Delivery</w:t>
            </w:r>
          </w:p>
        </w:tc>
        <w:tc>
          <w:tcPr>
            <w:tcW w:type="dxa" w:w="1728"/>
            <w:vAlign w:val="center"/>
            <w:tcMar>
              <w:top w:w="100" w:type="dxa"/>
              <w:bottom w:w="100" w:type="dxa"/>
              <w:left w:w="140" w:type="dxa"/>
              <w:right w:w="140" w:type="dxa"/>
            </w:tcMar>
            <w:shd w:val="clear" w:color="auto" w:fill="1E293B"/>
          </w:tcPr>
          <w:p>
            <w:pPr>
              <w:jc w:val="right"/>
            </w:pPr>
            <w:r>
              <w:rPr>
                <w:b/>
                <w:color w:val="FFFFFF"/>
                <w:sz w:val="20"/>
              </w:rPr>
              <w:t>2 Deliveries</w:t>
            </w:r>
          </w:p>
        </w:tc>
        <w:tc>
          <w:tcPr>
            <w:tcW w:type="dxa" w:w="1728"/>
            <w:vAlign w:val="center"/>
            <w:tcMar>
              <w:top w:w="100" w:type="dxa"/>
              <w:bottom w:w="100" w:type="dxa"/>
              <w:left w:w="140" w:type="dxa"/>
              <w:right w:w="140" w:type="dxa"/>
            </w:tcMar>
            <w:shd w:val="clear" w:color="auto" w:fill="1E293B"/>
          </w:tcPr>
          <w:p>
            <w:pPr>
              <w:jc w:val="right"/>
            </w:pPr>
            <w:r>
              <w:rPr>
                <w:b/>
                <w:color w:val="FFFFFF"/>
                <w:sz w:val="20"/>
              </w:rPr>
              <w:t>3 Deliveries</w:t>
            </w:r>
          </w:p>
        </w:tc>
      </w:tr>
      <w:tr>
        <w:trPr>
          <w:cantSplit/>
        </w:trPr>
        <w:tc>
          <w:tcPr>
            <w:tcW w:type="dxa" w:w="2592"/>
            <w:vAlign w:val="center"/>
            <w:tcMar>
              <w:top w:w="100" w:type="dxa"/>
              <w:bottom w:w="100" w:type="dxa"/>
              <w:left w:w="140" w:type="dxa"/>
              <w:right w:w="140" w:type="dxa"/>
            </w:tcMar>
            <w:shd w:val="clear" w:color="auto" w:fill="F8FAFC"/>
          </w:tcPr>
          <w:p>
            <w:pPr>
              <w:jc w:val="left"/>
            </w:pPr>
            <w:r>
              <w:rPr>
                <w:color w:val="1E293B"/>
                <w:sz w:val="19"/>
              </w:rPr>
              <w:t>Bicycle</w:t>
            </w:r>
          </w:p>
        </w:tc>
        <w:tc>
          <w:tcPr>
            <w:tcW w:type="dxa" w:w="1728"/>
            <w:vAlign w:val="center"/>
            <w:tcMar>
              <w:top w:w="100" w:type="dxa"/>
              <w:bottom w:w="100" w:type="dxa"/>
              <w:left w:w="140" w:type="dxa"/>
              <w:right w:w="140" w:type="dxa"/>
            </w:tcMar>
            <w:shd w:val="clear" w:color="auto" w:fill="F8FAFC"/>
          </w:tcPr>
          <w:p>
            <w:pPr>
              <w:jc w:val="right"/>
            </w:pPr>
            <w:r>
              <w:rPr>
                <w:color w:val="1E293B"/>
                <w:sz w:val="19"/>
              </w:rPr>
              <w:t>22.0 min</w:t>
            </w:r>
          </w:p>
        </w:tc>
        <w:tc>
          <w:tcPr>
            <w:tcW w:type="dxa" w:w="1728"/>
            <w:vAlign w:val="center"/>
            <w:tcMar>
              <w:top w:w="100" w:type="dxa"/>
              <w:bottom w:w="100" w:type="dxa"/>
              <w:left w:w="140" w:type="dxa"/>
              <w:right w:w="140" w:type="dxa"/>
            </w:tcMar>
            <w:shd w:val="clear" w:color="auto" w:fill="F8FAFC"/>
          </w:tcPr>
          <w:p>
            <w:pPr>
              <w:jc w:val="right"/>
            </w:pPr>
            <w:r>
              <w:rPr>
                <w:color w:val="1E293B"/>
                <w:sz w:val="19"/>
              </w:rPr>
              <w:t>26.0 min</w:t>
            </w:r>
          </w:p>
        </w:tc>
        <w:tc>
          <w:tcPr>
            <w:tcW w:type="dxa" w:w="1728"/>
            <w:vAlign w:val="center"/>
            <w:tcMar>
              <w:top w:w="100" w:type="dxa"/>
              <w:bottom w:w="100" w:type="dxa"/>
              <w:left w:w="140" w:type="dxa"/>
              <w:right w:w="140" w:type="dxa"/>
            </w:tcMar>
            <w:shd w:val="clear" w:color="auto" w:fill="F8FAFC"/>
          </w:tcPr>
          <w:p>
            <w:pPr>
              <w:jc w:val="right"/>
            </w:pPr>
            <w:r>
              <w:rPr>
                <w:color w:val="1E293B"/>
                <w:sz w:val="19"/>
              </w:rPr>
              <w:t>37.5 min</w:t>
            </w:r>
          </w:p>
        </w:tc>
        <w:tc>
          <w:tcPr>
            <w:tcW w:type="dxa" w:w="1728"/>
            <w:vAlign w:val="center"/>
            <w:tcMar>
              <w:top w:w="100" w:type="dxa"/>
              <w:bottom w:w="100" w:type="dxa"/>
              <w:left w:w="140" w:type="dxa"/>
              <w:right w:w="140" w:type="dxa"/>
            </w:tcMar>
            <w:shd w:val="clear" w:color="auto" w:fill="F8FAFC"/>
          </w:tcPr>
          <w:p>
            <w:pPr>
              <w:jc w:val="right"/>
            </w:pPr>
            <w:r>
              <w:rPr>
                <w:color w:val="1E293B"/>
                <w:sz w:val="19"/>
              </w:rPr>
              <w:t>N/A (Capped)</w:t>
            </w:r>
          </w:p>
        </w:tc>
      </w:tr>
      <w:tr>
        <w:trPr>
          <w:cantSplit/>
        </w:trPr>
        <w:tc>
          <w:tcPr>
            <w:tcW w:type="dxa" w:w="2592"/>
            <w:vAlign w:val="center"/>
            <w:tcMar>
              <w:top w:w="100" w:type="dxa"/>
              <w:bottom w:w="100" w:type="dxa"/>
              <w:left w:w="140" w:type="dxa"/>
              <w:right w:w="140" w:type="dxa"/>
            </w:tcMar>
            <w:shd w:val="clear" w:color="auto" w:fill="FFFFFF"/>
          </w:tcPr>
          <w:p>
            <w:pPr>
              <w:jc w:val="left"/>
            </w:pPr>
            <w:r>
              <w:rPr>
                <w:color w:val="1E293B"/>
                <w:sz w:val="19"/>
              </w:rPr>
              <w:t>Electric Scooter</w:t>
            </w:r>
          </w:p>
        </w:tc>
        <w:tc>
          <w:tcPr>
            <w:tcW w:type="dxa" w:w="1728"/>
            <w:vAlign w:val="center"/>
            <w:tcMar>
              <w:top w:w="100" w:type="dxa"/>
              <w:bottom w:w="100" w:type="dxa"/>
              <w:left w:w="140" w:type="dxa"/>
              <w:right w:w="140" w:type="dxa"/>
            </w:tcMar>
            <w:shd w:val="clear" w:color="auto" w:fill="FFFFFF"/>
          </w:tcPr>
          <w:p>
            <w:pPr>
              <w:jc w:val="right"/>
            </w:pPr>
            <w:r>
              <w:rPr>
                <w:color w:val="1E293B"/>
                <w:sz w:val="19"/>
              </w:rPr>
              <w:t>20.0 min</w:t>
            </w:r>
          </w:p>
        </w:tc>
        <w:tc>
          <w:tcPr>
            <w:tcW w:type="dxa" w:w="1728"/>
            <w:vAlign w:val="center"/>
            <w:tcMar>
              <w:top w:w="100" w:type="dxa"/>
              <w:bottom w:w="100" w:type="dxa"/>
              <w:left w:w="140" w:type="dxa"/>
              <w:right w:w="140" w:type="dxa"/>
            </w:tcMar>
            <w:shd w:val="clear" w:color="auto" w:fill="FFFFFF"/>
          </w:tcPr>
          <w:p>
            <w:pPr>
              <w:jc w:val="right"/>
            </w:pPr>
            <w:r>
              <w:rPr>
                <w:color w:val="1E293B"/>
                <w:sz w:val="19"/>
              </w:rPr>
              <w:t>25.0 min</w:t>
            </w:r>
          </w:p>
        </w:tc>
        <w:tc>
          <w:tcPr>
            <w:tcW w:type="dxa" w:w="1728"/>
            <w:vAlign w:val="center"/>
            <w:tcMar>
              <w:top w:w="100" w:type="dxa"/>
              <w:bottom w:w="100" w:type="dxa"/>
              <w:left w:w="140" w:type="dxa"/>
              <w:right w:w="140" w:type="dxa"/>
            </w:tcMar>
            <w:shd w:val="clear" w:color="auto" w:fill="FFFFFF"/>
          </w:tcPr>
          <w:p>
            <w:pPr>
              <w:jc w:val="right"/>
            </w:pPr>
            <w:r>
              <w:rPr>
                <w:color w:val="1E293B"/>
                <w:sz w:val="19"/>
              </w:rPr>
              <w:t>39.0 min</w:t>
            </w:r>
          </w:p>
        </w:tc>
        <w:tc>
          <w:tcPr>
            <w:tcW w:type="dxa" w:w="1728"/>
            <w:vAlign w:val="center"/>
            <w:tcMar>
              <w:top w:w="100" w:type="dxa"/>
              <w:bottom w:w="100" w:type="dxa"/>
              <w:left w:w="140" w:type="dxa"/>
              <w:right w:w="140" w:type="dxa"/>
            </w:tcMar>
            <w:shd w:val="clear" w:color="auto" w:fill="FFFFFF"/>
          </w:tcPr>
          <w:p>
            <w:pPr>
              <w:jc w:val="right"/>
            </w:pPr>
            <w:r>
              <w:rPr>
                <w:color w:val="1E293B"/>
                <w:sz w:val="19"/>
              </w:rPr>
              <w:t>44.5 min</w:t>
            </w:r>
          </w:p>
        </w:tc>
      </w:tr>
      <w:tr>
        <w:trPr>
          <w:cantSplit/>
        </w:trPr>
        <w:tc>
          <w:tcPr>
            <w:tcW w:type="dxa" w:w="2592"/>
            <w:vAlign w:val="center"/>
            <w:tcMar>
              <w:top w:w="100" w:type="dxa"/>
              <w:bottom w:w="100" w:type="dxa"/>
              <w:left w:w="140" w:type="dxa"/>
              <w:right w:w="140" w:type="dxa"/>
            </w:tcMar>
            <w:shd w:val="clear" w:color="auto" w:fill="F8FAFC"/>
          </w:tcPr>
          <w:p>
            <w:pPr>
              <w:jc w:val="left"/>
            </w:pPr>
            <w:r>
              <w:rPr>
                <w:color w:val="1E293B"/>
                <w:sz w:val="19"/>
              </w:rPr>
              <w:t>Scooter</w:t>
            </w:r>
          </w:p>
        </w:tc>
        <w:tc>
          <w:tcPr>
            <w:tcW w:type="dxa" w:w="1728"/>
            <w:vAlign w:val="center"/>
            <w:tcMar>
              <w:top w:w="100" w:type="dxa"/>
              <w:bottom w:w="100" w:type="dxa"/>
              <w:left w:w="140" w:type="dxa"/>
              <w:right w:w="140" w:type="dxa"/>
            </w:tcMar>
            <w:shd w:val="clear" w:color="auto" w:fill="F8FAFC"/>
          </w:tcPr>
          <w:p>
            <w:pPr>
              <w:jc w:val="right"/>
            </w:pPr>
            <w:r>
              <w:rPr>
                <w:color w:val="1E293B"/>
                <w:sz w:val="19"/>
              </w:rPr>
              <w:t>19.0 min</w:t>
            </w:r>
          </w:p>
        </w:tc>
        <w:tc>
          <w:tcPr>
            <w:tcW w:type="dxa" w:w="1728"/>
            <w:vAlign w:val="center"/>
            <w:tcMar>
              <w:top w:w="100" w:type="dxa"/>
              <w:bottom w:w="100" w:type="dxa"/>
              <w:left w:w="140" w:type="dxa"/>
              <w:right w:w="140" w:type="dxa"/>
            </w:tcMar>
            <w:shd w:val="clear" w:color="auto" w:fill="F8FAFC"/>
          </w:tcPr>
          <w:p>
            <w:pPr>
              <w:jc w:val="right"/>
            </w:pPr>
            <w:r>
              <w:rPr>
                <w:color w:val="1E293B"/>
                <w:sz w:val="19"/>
              </w:rPr>
              <w:t>25.0 min</w:t>
            </w:r>
          </w:p>
        </w:tc>
        <w:tc>
          <w:tcPr>
            <w:tcW w:type="dxa" w:w="1728"/>
            <w:vAlign w:val="center"/>
            <w:tcMar>
              <w:top w:w="100" w:type="dxa"/>
              <w:bottom w:w="100" w:type="dxa"/>
              <w:left w:w="140" w:type="dxa"/>
              <w:right w:w="140" w:type="dxa"/>
            </w:tcMar>
            <w:shd w:val="clear" w:color="auto" w:fill="F8FAFC"/>
          </w:tcPr>
          <w:p>
            <w:pPr>
              <w:jc w:val="right"/>
            </w:pPr>
            <w:r>
              <w:rPr>
                <w:color w:val="1E293B"/>
                <w:sz w:val="19"/>
              </w:rPr>
              <w:t>39.0 min</w:t>
            </w:r>
          </w:p>
        </w:tc>
        <w:tc>
          <w:tcPr>
            <w:tcW w:type="dxa" w:w="1728"/>
            <w:vAlign w:val="center"/>
            <w:tcMar>
              <w:top w:w="100" w:type="dxa"/>
              <w:bottom w:w="100" w:type="dxa"/>
              <w:left w:w="140" w:type="dxa"/>
              <w:right w:w="140" w:type="dxa"/>
            </w:tcMar>
            <w:shd w:val="clear" w:color="auto" w:fill="F8FAFC"/>
          </w:tcPr>
          <w:p>
            <w:pPr>
              <w:jc w:val="right"/>
            </w:pPr>
            <w:r>
              <w:rPr>
                <w:color w:val="1E293B"/>
                <w:sz w:val="19"/>
              </w:rPr>
              <w:t>44.0 min</w:t>
            </w:r>
          </w:p>
        </w:tc>
      </w:tr>
      <w:tr>
        <w:trPr>
          <w:cantSplit/>
        </w:trPr>
        <w:tc>
          <w:tcPr>
            <w:tcW w:type="dxa" w:w="2592"/>
            <w:vAlign w:val="center"/>
            <w:tcMar>
              <w:top w:w="100" w:type="dxa"/>
              <w:bottom w:w="100" w:type="dxa"/>
              <w:left w:w="140" w:type="dxa"/>
              <w:right w:w="140" w:type="dxa"/>
            </w:tcMar>
            <w:shd w:val="clear" w:color="auto" w:fill="FFFFFF"/>
          </w:tcPr>
          <w:p>
            <w:pPr>
              <w:jc w:val="left"/>
            </w:pPr>
            <w:r>
              <w:rPr>
                <w:color w:val="1E293B"/>
                <w:sz w:val="19"/>
              </w:rPr>
              <w:t>Motorcycle</w:t>
            </w:r>
          </w:p>
        </w:tc>
        <w:tc>
          <w:tcPr>
            <w:tcW w:type="dxa" w:w="1728"/>
            <w:vAlign w:val="center"/>
            <w:tcMar>
              <w:top w:w="100" w:type="dxa"/>
              <w:bottom w:w="100" w:type="dxa"/>
              <w:left w:w="140" w:type="dxa"/>
              <w:right w:w="140" w:type="dxa"/>
            </w:tcMar>
            <w:shd w:val="clear" w:color="auto" w:fill="FFFFFF"/>
          </w:tcPr>
          <w:p>
            <w:pPr>
              <w:jc w:val="right"/>
            </w:pPr>
            <w:r>
              <w:rPr>
                <w:color w:val="1E293B"/>
                <w:sz w:val="19"/>
              </w:rPr>
              <w:t>23.0 min</w:t>
            </w:r>
          </w:p>
        </w:tc>
        <w:tc>
          <w:tcPr>
            <w:tcW w:type="dxa" w:w="1728"/>
            <w:vAlign w:val="center"/>
            <w:tcMar>
              <w:top w:w="100" w:type="dxa"/>
              <w:bottom w:w="100" w:type="dxa"/>
              <w:left w:w="140" w:type="dxa"/>
              <w:right w:w="140" w:type="dxa"/>
            </w:tcMar>
            <w:shd w:val="clear" w:color="auto" w:fill="FFFFFF"/>
          </w:tcPr>
          <w:p>
            <w:pPr>
              <w:jc w:val="right"/>
            </w:pPr>
            <w:r>
              <w:rPr>
                <w:color w:val="1E293B"/>
                <w:sz w:val="19"/>
              </w:rPr>
              <w:t>27.0 min</w:t>
            </w:r>
          </w:p>
        </w:tc>
        <w:tc>
          <w:tcPr>
            <w:tcW w:type="dxa" w:w="1728"/>
            <w:vAlign w:val="center"/>
            <w:tcMar>
              <w:top w:w="100" w:type="dxa"/>
              <w:bottom w:w="100" w:type="dxa"/>
              <w:left w:w="140" w:type="dxa"/>
              <w:right w:w="140" w:type="dxa"/>
            </w:tcMar>
            <w:shd w:val="clear" w:color="auto" w:fill="FFFFFF"/>
          </w:tcPr>
          <w:p>
            <w:pPr>
              <w:jc w:val="right"/>
            </w:pPr>
            <w:r>
              <w:rPr>
                <w:color w:val="1E293B"/>
                <w:sz w:val="19"/>
              </w:rPr>
              <w:t>41.0 min</w:t>
            </w:r>
          </w:p>
        </w:tc>
        <w:tc>
          <w:tcPr>
            <w:tcW w:type="dxa" w:w="1728"/>
            <w:vAlign w:val="center"/>
            <w:tcMar>
              <w:top w:w="100" w:type="dxa"/>
              <w:bottom w:w="100" w:type="dxa"/>
              <w:left w:w="140" w:type="dxa"/>
              <w:right w:w="140" w:type="dxa"/>
            </w:tcMar>
            <w:shd w:val="clear" w:color="auto" w:fill="FFFFFF"/>
          </w:tcPr>
          <w:p>
            <w:pPr>
              <w:jc w:val="right"/>
            </w:pPr>
            <w:r>
              <w:rPr>
                <w:color w:val="1E293B"/>
                <w:sz w:val="19"/>
              </w:rPr>
              <w:t>48.0 min</w:t>
            </w:r>
          </w:p>
        </w:tc>
      </w:tr>
    </w:tbl>
    <w:p>
      <w:r>
        <w:t>Empirical Insight: Multi-order batching exhibits severe diminishing returns. Transitioning from 1 to 2 concurrent orders adds +12 to +14 minutes to delivery turnaround. For 3 concurrent orders, median delivery time climbs to 44–48 minutes, guaranteeing an SLA breach for downstream customers. Furthermore, bicycles cannot physically handle triple stacking, and electric scooters experience battery-load drag on stacked journeys.</w:t>
      </w:r>
    </w:p>
    <w:p>
      <w:pPr>
        <w:pStyle w:val="Heading2"/>
        <w:keepNext/>
        <w:spacing w:before="240" w:after="120"/>
      </w:pPr>
      <w:r>
        <w:rPr>
          <w:b/>
          <w:color w:val="1E293B"/>
          <w:sz w:val="28"/>
        </w:rPr>
        <w:t>4.4 Analysis 4: Driver Rating vs. Delivery Speed</w:t>
      </w:r>
    </w:p>
    <w:p>
      <w:r>
        <w:t>Methodology: Pearson correlation coefficients and linear trend models were calculated to evaluate relationships between Delivery_person_Ratings, Delivery_person_Age, Speed_kmh, and Time_taken(min).</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2880"/>
            <w:vAlign w:val="center"/>
            <w:tcMar>
              <w:top w:w="100" w:type="dxa"/>
              <w:bottom w:w="100" w:type="dxa"/>
              <w:left w:w="140" w:type="dxa"/>
              <w:right w:w="140" w:type="dxa"/>
            </w:tcMar>
            <w:shd w:val="clear" w:color="auto" w:fill="1E293B"/>
          </w:tcPr>
          <w:p>
            <w:pPr>
              <w:jc w:val="left"/>
            </w:pPr>
            <w:r>
              <w:rPr>
                <w:b/>
                <w:color w:val="FFFFFF"/>
                <w:sz w:val="20"/>
              </w:rPr>
              <w:t>Feature</w:t>
            </w:r>
          </w:p>
        </w:tc>
        <w:tc>
          <w:tcPr>
            <w:tcW w:type="dxa" w:w="1728"/>
            <w:vAlign w:val="center"/>
            <w:tcMar>
              <w:top w:w="100" w:type="dxa"/>
              <w:bottom w:w="100" w:type="dxa"/>
              <w:left w:w="140" w:type="dxa"/>
              <w:right w:w="140" w:type="dxa"/>
            </w:tcMar>
            <w:shd w:val="clear" w:color="auto" w:fill="1E293B"/>
          </w:tcPr>
          <w:p>
            <w:pPr>
              <w:jc w:val="right"/>
            </w:pPr>
            <w:r>
              <w:rPr>
                <w:b/>
                <w:color w:val="FFFFFF"/>
                <w:sz w:val="20"/>
              </w:rPr>
              <w:t>Rating</w:t>
            </w:r>
          </w:p>
        </w:tc>
        <w:tc>
          <w:tcPr>
            <w:tcW w:type="dxa" w:w="1728"/>
            <w:vAlign w:val="center"/>
            <w:tcMar>
              <w:top w:w="100" w:type="dxa"/>
              <w:bottom w:w="100" w:type="dxa"/>
              <w:left w:w="140" w:type="dxa"/>
              <w:right w:w="140" w:type="dxa"/>
            </w:tcMar>
            <w:shd w:val="clear" w:color="auto" w:fill="1E293B"/>
          </w:tcPr>
          <w:p>
            <w:pPr>
              <w:jc w:val="right"/>
            </w:pPr>
            <w:r>
              <w:rPr>
                <w:b/>
                <w:color w:val="FFFFFF"/>
                <w:sz w:val="20"/>
              </w:rPr>
              <w:t>Age</w:t>
            </w:r>
          </w:p>
        </w:tc>
        <w:tc>
          <w:tcPr>
            <w:tcW w:type="dxa" w:w="1728"/>
            <w:vAlign w:val="center"/>
            <w:tcMar>
              <w:top w:w="100" w:type="dxa"/>
              <w:bottom w:w="100" w:type="dxa"/>
              <w:left w:w="140" w:type="dxa"/>
              <w:right w:w="140" w:type="dxa"/>
            </w:tcMar>
            <w:shd w:val="clear" w:color="auto" w:fill="1E293B"/>
          </w:tcPr>
          <w:p>
            <w:pPr>
              <w:jc w:val="right"/>
            </w:pPr>
            <w:r>
              <w:rPr>
                <w:b/>
                <w:color w:val="FFFFFF"/>
                <w:sz w:val="20"/>
              </w:rPr>
              <w:t>Speed (km/h)</w:t>
            </w:r>
          </w:p>
        </w:tc>
        <w:tc>
          <w:tcPr>
            <w:tcW w:type="dxa" w:w="1728"/>
            <w:vAlign w:val="center"/>
            <w:tcMar>
              <w:top w:w="100" w:type="dxa"/>
              <w:bottom w:w="100" w:type="dxa"/>
              <w:left w:w="140" w:type="dxa"/>
              <w:right w:w="140" w:type="dxa"/>
            </w:tcMar>
            <w:shd w:val="clear" w:color="auto" w:fill="1E293B"/>
          </w:tcPr>
          <w:p>
            <w:pPr>
              <w:jc w:val="right"/>
            </w:pPr>
            <w:r>
              <w:rPr>
                <w:b/>
                <w:color w:val="FFFFFF"/>
                <w:sz w:val="20"/>
              </w:rPr>
              <w:t>Time (min)</w:t>
            </w:r>
          </w:p>
        </w:tc>
      </w:tr>
      <w:tr>
        <w:trPr>
          <w:cantSplit/>
        </w:trPr>
        <w:tc>
          <w:tcPr>
            <w:tcW w:type="dxa" w:w="2880"/>
            <w:vAlign w:val="center"/>
            <w:tcMar>
              <w:top w:w="100" w:type="dxa"/>
              <w:bottom w:w="100" w:type="dxa"/>
              <w:left w:w="140" w:type="dxa"/>
              <w:right w:w="140" w:type="dxa"/>
            </w:tcMar>
            <w:shd w:val="clear" w:color="auto" w:fill="F8FAFC"/>
          </w:tcPr>
          <w:p>
            <w:pPr>
              <w:jc w:val="left"/>
            </w:pPr>
            <w:r>
              <w:rPr>
                <w:color w:val="1E293B"/>
                <w:sz w:val="19"/>
              </w:rPr>
              <w:t>Delivery_person_Ratings</w:t>
            </w:r>
          </w:p>
        </w:tc>
        <w:tc>
          <w:tcPr>
            <w:tcW w:type="dxa" w:w="1728"/>
            <w:vAlign w:val="center"/>
            <w:tcMar>
              <w:top w:w="100" w:type="dxa"/>
              <w:bottom w:w="100" w:type="dxa"/>
              <w:left w:w="140" w:type="dxa"/>
              <w:right w:w="140" w:type="dxa"/>
            </w:tcMar>
            <w:shd w:val="clear" w:color="auto" w:fill="F8FAFC"/>
          </w:tcPr>
          <w:p>
            <w:pPr>
              <w:jc w:val="right"/>
            </w:pPr>
            <w:r>
              <w:rPr>
                <w:color w:val="1E293B"/>
                <w:sz w:val="19"/>
              </w:rPr>
              <w:t>1.000</w:t>
            </w:r>
          </w:p>
        </w:tc>
        <w:tc>
          <w:tcPr>
            <w:tcW w:type="dxa" w:w="1728"/>
            <w:vAlign w:val="center"/>
            <w:tcMar>
              <w:top w:w="100" w:type="dxa"/>
              <w:bottom w:w="100" w:type="dxa"/>
              <w:left w:w="140" w:type="dxa"/>
              <w:right w:w="140" w:type="dxa"/>
            </w:tcMar>
            <w:shd w:val="clear" w:color="auto" w:fill="F8FAFC"/>
          </w:tcPr>
          <w:p>
            <w:pPr>
              <w:jc w:val="right"/>
            </w:pPr>
            <w:r>
              <w:rPr>
                <w:color w:val="1E293B"/>
                <w:sz w:val="19"/>
              </w:rPr>
              <w:t>-0.068</w:t>
            </w:r>
          </w:p>
        </w:tc>
        <w:tc>
          <w:tcPr>
            <w:tcW w:type="dxa" w:w="1728"/>
            <w:vAlign w:val="center"/>
            <w:tcMar>
              <w:top w:w="100" w:type="dxa"/>
              <w:bottom w:w="100" w:type="dxa"/>
              <w:left w:w="140" w:type="dxa"/>
              <w:right w:w="140" w:type="dxa"/>
            </w:tcMar>
            <w:shd w:val="clear" w:color="auto" w:fill="F8FAFC"/>
          </w:tcPr>
          <w:p>
            <w:pPr>
              <w:jc w:val="right"/>
            </w:pPr>
            <w:r>
              <w:rPr>
                <w:color w:val="1E293B"/>
                <w:sz w:val="19"/>
              </w:rPr>
              <w:t>+0.105</w:t>
            </w:r>
          </w:p>
        </w:tc>
        <w:tc>
          <w:tcPr>
            <w:tcW w:type="dxa" w:w="1728"/>
            <w:vAlign w:val="center"/>
            <w:tcMar>
              <w:top w:w="100" w:type="dxa"/>
              <w:bottom w:w="100" w:type="dxa"/>
              <w:left w:w="140" w:type="dxa"/>
              <w:right w:w="140" w:type="dxa"/>
            </w:tcMar>
            <w:shd w:val="clear" w:color="auto" w:fill="F8FAFC"/>
          </w:tcPr>
          <w:p>
            <w:pPr>
              <w:jc w:val="right"/>
            </w:pPr>
            <w:r>
              <w:rPr>
                <w:color w:val="1E293B"/>
                <w:sz w:val="19"/>
              </w:rPr>
              <w:t>-0.339</w:t>
            </w:r>
          </w:p>
        </w:tc>
      </w:tr>
      <w:tr>
        <w:trPr>
          <w:cantSplit/>
        </w:trPr>
        <w:tc>
          <w:tcPr>
            <w:tcW w:type="dxa" w:w="2880"/>
            <w:vAlign w:val="center"/>
            <w:tcMar>
              <w:top w:w="100" w:type="dxa"/>
              <w:bottom w:w="100" w:type="dxa"/>
              <w:left w:w="140" w:type="dxa"/>
              <w:right w:w="140" w:type="dxa"/>
            </w:tcMar>
            <w:shd w:val="clear" w:color="auto" w:fill="FFFFFF"/>
          </w:tcPr>
          <w:p>
            <w:pPr>
              <w:jc w:val="left"/>
            </w:pPr>
            <w:r>
              <w:rPr>
                <w:color w:val="1E293B"/>
                <w:sz w:val="19"/>
              </w:rPr>
              <w:t>Delivery_person_Age</w:t>
            </w:r>
          </w:p>
        </w:tc>
        <w:tc>
          <w:tcPr>
            <w:tcW w:type="dxa" w:w="1728"/>
            <w:vAlign w:val="center"/>
            <w:tcMar>
              <w:top w:w="100" w:type="dxa"/>
              <w:bottom w:w="100" w:type="dxa"/>
              <w:left w:w="140" w:type="dxa"/>
              <w:right w:w="140" w:type="dxa"/>
            </w:tcMar>
            <w:shd w:val="clear" w:color="auto" w:fill="FFFFFF"/>
          </w:tcPr>
          <w:p>
            <w:pPr>
              <w:jc w:val="right"/>
            </w:pPr>
            <w:r>
              <w:rPr>
                <w:color w:val="1E293B"/>
                <w:sz w:val="19"/>
              </w:rPr>
              <w:t>-0.068</w:t>
            </w:r>
          </w:p>
        </w:tc>
        <w:tc>
          <w:tcPr>
            <w:tcW w:type="dxa" w:w="1728"/>
            <w:vAlign w:val="center"/>
            <w:tcMar>
              <w:top w:w="100" w:type="dxa"/>
              <w:bottom w:w="100" w:type="dxa"/>
              <w:left w:w="140" w:type="dxa"/>
              <w:right w:w="140" w:type="dxa"/>
            </w:tcMar>
            <w:shd w:val="clear" w:color="auto" w:fill="FFFFFF"/>
          </w:tcPr>
          <w:p>
            <w:pPr>
              <w:jc w:val="right"/>
            </w:pPr>
            <w:r>
              <w:rPr>
                <w:color w:val="1E293B"/>
                <w:sz w:val="19"/>
              </w:rPr>
              <w:t>1.000</w:t>
            </w:r>
          </w:p>
        </w:tc>
        <w:tc>
          <w:tcPr>
            <w:tcW w:type="dxa" w:w="1728"/>
            <w:vAlign w:val="center"/>
            <w:tcMar>
              <w:top w:w="100" w:type="dxa"/>
              <w:bottom w:w="100" w:type="dxa"/>
              <w:left w:w="140" w:type="dxa"/>
              <w:right w:w="140" w:type="dxa"/>
            </w:tcMar>
            <w:shd w:val="clear" w:color="auto" w:fill="FFFFFF"/>
          </w:tcPr>
          <w:p>
            <w:pPr>
              <w:jc w:val="right"/>
            </w:pPr>
            <w:r>
              <w:rPr>
                <w:color w:val="1E293B"/>
                <w:sz w:val="19"/>
              </w:rPr>
              <w:t>+0.012</w:t>
            </w:r>
          </w:p>
        </w:tc>
        <w:tc>
          <w:tcPr>
            <w:tcW w:type="dxa" w:w="1728"/>
            <w:vAlign w:val="center"/>
            <w:tcMar>
              <w:top w:w="100" w:type="dxa"/>
              <w:bottom w:w="100" w:type="dxa"/>
              <w:left w:w="140" w:type="dxa"/>
              <w:right w:w="140" w:type="dxa"/>
            </w:tcMar>
            <w:shd w:val="clear" w:color="auto" w:fill="FFFFFF"/>
          </w:tcPr>
          <w:p>
            <w:pPr>
              <w:jc w:val="right"/>
            </w:pPr>
            <w:r>
              <w:rPr>
                <w:color w:val="1E293B"/>
                <w:sz w:val="19"/>
              </w:rPr>
              <w:t>+0.299</w:t>
            </w:r>
          </w:p>
        </w:tc>
      </w:tr>
      <w:tr>
        <w:trPr>
          <w:cantSplit/>
        </w:trPr>
        <w:tc>
          <w:tcPr>
            <w:tcW w:type="dxa" w:w="2880"/>
            <w:vAlign w:val="center"/>
            <w:tcMar>
              <w:top w:w="100" w:type="dxa"/>
              <w:bottom w:w="100" w:type="dxa"/>
              <w:left w:w="140" w:type="dxa"/>
              <w:right w:w="140" w:type="dxa"/>
            </w:tcMar>
            <w:shd w:val="clear" w:color="auto" w:fill="F8FAFC"/>
          </w:tcPr>
          <w:p>
            <w:pPr>
              <w:jc w:val="left"/>
            </w:pPr>
            <w:r>
              <w:rPr>
                <w:color w:val="1E293B"/>
                <w:sz w:val="19"/>
              </w:rPr>
              <w:t>Speed_kmh</w:t>
            </w:r>
          </w:p>
        </w:tc>
        <w:tc>
          <w:tcPr>
            <w:tcW w:type="dxa" w:w="1728"/>
            <w:vAlign w:val="center"/>
            <w:tcMar>
              <w:top w:w="100" w:type="dxa"/>
              <w:bottom w:w="100" w:type="dxa"/>
              <w:left w:w="140" w:type="dxa"/>
              <w:right w:w="140" w:type="dxa"/>
            </w:tcMar>
            <w:shd w:val="clear" w:color="auto" w:fill="F8FAFC"/>
          </w:tcPr>
          <w:p>
            <w:pPr>
              <w:jc w:val="right"/>
            </w:pPr>
            <w:r>
              <w:rPr>
                <w:color w:val="1E293B"/>
                <w:sz w:val="19"/>
              </w:rPr>
              <w:t>+0.105</w:t>
            </w:r>
          </w:p>
        </w:tc>
        <w:tc>
          <w:tcPr>
            <w:tcW w:type="dxa" w:w="1728"/>
            <w:vAlign w:val="center"/>
            <w:tcMar>
              <w:top w:w="100" w:type="dxa"/>
              <w:bottom w:w="100" w:type="dxa"/>
              <w:left w:w="140" w:type="dxa"/>
              <w:right w:w="140" w:type="dxa"/>
            </w:tcMar>
            <w:shd w:val="clear" w:color="auto" w:fill="F8FAFC"/>
          </w:tcPr>
          <w:p>
            <w:pPr>
              <w:jc w:val="right"/>
            </w:pPr>
            <w:r>
              <w:rPr>
                <w:color w:val="1E293B"/>
                <w:sz w:val="19"/>
              </w:rPr>
              <w:t>+0.012</w:t>
            </w:r>
          </w:p>
        </w:tc>
        <w:tc>
          <w:tcPr>
            <w:tcW w:type="dxa" w:w="1728"/>
            <w:vAlign w:val="center"/>
            <w:tcMar>
              <w:top w:w="100" w:type="dxa"/>
              <w:bottom w:w="100" w:type="dxa"/>
              <w:left w:w="140" w:type="dxa"/>
              <w:right w:w="140" w:type="dxa"/>
            </w:tcMar>
            <w:shd w:val="clear" w:color="auto" w:fill="F8FAFC"/>
          </w:tcPr>
          <w:p>
            <w:pPr>
              <w:jc w:val="right"/>
            </w:pPr>
            <w:r>
              <w:rPr>
                <w:color w:val="1E293B"/>
                <w:sz w:val="19"/>
              </w:rPr>
              <w:t>1.000</w:t>
            </w:r>
          </w:p>
        </w:tc>
        <w:tc>
          <w:tcPr>
            <w:tcW w:type="dxa" w:w="1728"/>
            <w:vAlign w:val="center"/>
            <w:tcMar>
              <w:top w:w="100" w:type="dxa"/>
              <w:bottom w:w="100" w:type="dxa"/>
              <w:left w:w="140" w:type="dxa"/>
              <w:right w:w="140" w:type="dxa"/>
            </w:tcMar>
            <w:shd w:val="clear" w:color="auto" w:fill="F8FAFC"/>
          </w:tcPr>
          <w:p>
            <w:pPr>
              <w:jc w:val="right"/>
            </w:pPr>
            <w:r>
              <w:rPr>
                <w:color w:val="1E293B"/>
                <w:sz w:val="19"/>
              </w:rPr>
              <w:t>-0.290</w:t>
            </w:r>
          </w:p>
        </w:tc>
      </w:tr>
      <w:tr>
        <w:trPr>
          <w:cantSplit/>
        </w:trPr>
        <w:tc>
          <w:tcPr>
            <w:tcW w:type="dxa" w:w="2880"/>
            <w:vAlign w:val="center"/>
            <w:tcMar>
              <w:top w:w="100" w:type="dxa"/>
              <w:bottom w:w="100" w:type="dxa"/>
              <w:left w:w="140" w:type="dxa"/>
              <w:right w:w="140" w:type="dxa"/>
            </w:tcMar>
            <w:shd w:val="clear" w:color="auto" w:fill="FFFFFF"/>
          </w:tcPr>
          <w:p>
            <w:pPr>
              <w:jc w:val="left"/>
            </w:pPr>
            <w:r>
              <w:rPr>
                <w:color w:val="1E293B"/>
                <w:sz w:val="19"/>
              </w:rPr>
              <w:t>Time_taken(min)</w:t>
            </w:r>
          </w:p>
        </w:tc>
        <w:tc>
          <w:tcPr>
            <w:tcW w:type="dxa" w:w="1728"/>
            <w:vAlign w:val="center"/>
            <w:tcMar>
              <w:top w:w="100" w:type="dxa"/>
              <w:bottom w:w="100" w:type="dxa"/>
              <w:left w:w="140" w:type="dxa"/>
              <w:right w:w="140" w:type="dxa"/>
            </w:tcMar>
            <w:shd w:val="clear" w:color="auto" w:fill="FFFFFF"/>
          </w:tcPr>
          <w:p>
            <w:pPr>
              <w:jc w:val="right"/>
            </w:pPr>
            <w:r>
              <w:rPr>
                <w:color w:val="1E293B"/>
                <w:sz w:val="19"/>
              </w:rPr>
              <w:t>-0.339</w:t>
            </w:r>
          </w:p>
        </w:tc>
        <w:tc>
          <w:tcPr>
            <w:tcW w:type="dxa" w:w="1728"/>
            <w:vAlign w:val="center"/>
            <w:tcMar>
              <w:top w:w="100" w:type="dxa"/>
              <w:bottom w:w="100" w:type="dxa"/>
              <w:left w:w="140" w:type="dxa"/>
              <w:right w:w="140" w:type="dxa"/>
            </w:tcMar>
            <w:shd w:val="clear" w:color="auto" w:fill="FFFFFF"/>
          </w:tcPr>
          <w:p>
            <w:pPr>
              <w:jc w:val="right"/>
            </w:pPr>
            <w:r>
              <w:rPr>
                <w:color w:val="1E293B"/>
                <w:sz w:val="19"/>
              </w:rPr>
              <w:t>+0.299</w:t>
            </w:r>
          </w:p>
        </w:tc>
        <w:tc>
          <w:tcPr>
            <w:tcW w:type="dxa" w:w="1728"/>
            <w:vAlign w:val="center"/>
            <w:tcMar>
              <w:top w:w="100" w:type="dxa"/>
              <w:bottom w:w="100" w:type="dxa"/>
              <w:left w:w="140" w:type="dxa"/>
              <w:right w:w="140" w:type="dxa"/>
            </w:tcMar>
            <w:shd w:val="clear" w:color="auto" w:fill="FFFFFF"/>
          </w:tcPr>
          <w:p>
            <w:pPr>
              <w:jc w:val="right"/>
            </w:pPr>
            <w:r>
              <w:rPr>
                <w:color w:val="1E293B"/>
                <w:sz w:val="19"/>
              </w:rPr>
              <w:t>-0.290</w:t>
            </w:r>
          </w:p>
        </w:tc>
        <w:tc>
          <w:tcPr>
            <w:tcW w:type="dxa" w:w="1728"/>
            <w:vAlign w:val="center"/>
            <w:tcMar>
              <w:top w:w="100" w:type="dxa"/>
              <w:bottom w:w="100" w:type="dxa"/>
              <w:left w:w="140" w:type="dxa"/>
              <w:right w:w="140" w:type="dxa"/>
            </w:tcMar>
            <w:shd w:val="clear" w:color="auto" w:fill="FFFFFF"/>
          </w:tcPr>
          <w:p>
            <w:pPr>
              <w:jc w:val="right"/>
            </w:pPr>
            <w:r>
              <w:rPr>
                <w:color w:val="1E293B"/>
                <w:sz w:val="19"/>
              </w:rPr>
              <w:t>1.000</w:t>
            </w:r>
          </w:p>
        </w:tc>
      </w:tr>
    </w:tbl>
    <w:p>
      <w:r>
        <w:t>Empirical Insight: Higher-rated couriers complete orders faster (r = -0.339 with total time, r = +0.105 with speed), confirming that driver rating is a reliable proxy for operational efficiency. Conversely, courier age displays a negligible correlation with speed (r = +0.012), proving that physical age does not constrain transit speed. Route familiarity, navigation aptitude, and dispatch discipline are the true drivers of courier performance.</w:t>
      </w:r>
    </w:p>
    <w:p>
      <w:pPr>
        <w:pStyle w:val="Heading1"/>
        <w:keepNext/>
        <w:spacing w:before="360" w:after="120"/>
      </w:pPr>
      <w:r>
        <w:rPr>
          <w:b/>
          <w:color w:val="0F172A"/>
          <w:sz w:val="36"/>
        </w:rPr>
        <w:t>5. Interactive Operations Telemetry Dashboard</w:t>
      </w:r>
    </w:p>
    <w:p>
      <w:r>
        <w:t>To enable real-time operational simulation and monitoring by depot managers, an interactive operations telemetry dashboard was developed using Streamlit and Plotly (03_dashboard_app.py). Key architectural components include:</w:t>
      </w:r>
    </w:p>
    <w:p>
      <w:r>
        <w:t>• Executive KPI Telemetry: Live aggregation cards tracking Total Delivery Volume (43,799), Median Delivery Time (26 min), 30-Minute SLA Breach Rate (30.2%), Median Speed (20.5 km/h), and Median Route Distance (9.2 km).</w:t>
        <w:br/>
        <w:t>• Multi-Dimensional Facet Filtering: Sidebar selectors allowing dispatchers to filter data dynamically by City type (Urban, Semi-Urban, Metropolitian), Weather condition, Traffic density tier, Vehicle modality, and Concurrent order load.</w:t>
        <w:br/>
        <w:t>• Deep-Dive Analytical Tabs:</w:t>
        <w:br/>
        <w:t xml:space="preserve">  1. Overview: Distribution of delivery duration, speed histograms, and high-level performance trends.</w:t>
        <w:br/>
        <w:t xml:space="preserve">  2. Bottleneck Analysis: Interactive Plotly heatmap illustrating the Weather x Traffic delay matrix.</w:t>
        <w:br/>
        <w:t xml:space="preserve">  3. Distance SLA Breach: Segmented breach proportions across hyper-local and long-haul brackets.</w:t>
        <w:br/>
        <w:t xml:space="preserve">  4. Vehicle Stress Test: Box plot distributions exposing outlier variance and tail risk under multi-order stacking.</w:t>
        <w:br/>
        <w:t xml:space="preserve">  5. Driver Performance: Scatter plots and regression overlays tracking courier ratings against transit velocity.</w:t>
      </w:r>
    </w:p>
    <w:p>
      <w:pPr>
        <w:pStyle w:val="Heading1"/>
        <w:keepNext/>
        <w:spacing w:before="360" w:after="120"/>
      </w:pPr>
      <w:r>
        <w:rPr>
          <w:b/>
          <w:color w:val="0F172A"/>
          <w:sz w:val="36"/>
        </w:rPr>
        <w:t>6. Strategic Business Recommendations &amp; Policy Roadmap</w:t>
      </w:r>
    </w:p>
    <w:p>
      <w:r>
        <w:t>Synthesizing the empirical diagnostics leads directly to three concrete, data-grounded policy interventions designed to optimize fleet efficiency and compress SLA breach rates:</w:t>
      </w:r>
    </w:p>
    <w:p>
      <w:pPr>
        <w:pStyle w:val="Heading2"/>
        <w:keepNext/>
        <w:spacing w:before="240" w:after="120"/>
      </w:pPr>
      <w:r>
        <w:rPr>
          <w:b/>
          <w:color w:val="1E293B"/>
          <w:sz w:val="28"/>
        </w:rPr>
        <w:t>6.1 Recommendation 1: Dynamic ETA Buffers (+8 to +12 Minutes)</w:t>
      </w:r>
    </w:p>
    <w:p>
      <w:r>
        <w:t>Problem: When adverse weather (Fog, Stormy, Sandstorms) coincides with High or Jam traffic, median delivery times surge to 33–36 minutes, guaranteeing an SLA breach under static 30-minute delivery promises. This triggers refund vouchers and negative app store ratings.</w:t>
        <w:br/>
        <w:t>Policy Action: Deploy an automated ETA adjustment engine connecting real-time weather APIs and road traffic feeds. When adverse conditions are detected, automatically expand the customer-facing delivery promise by +8 to +12 minutes with an in-app transparency banner ('Monsoon Delay Buffer').</w:t>
        <w:br/>
        <w:t>Projected Impact: 15% to 25% reduction in customer refund claims and significant NPS preservation through honest expectations.</w:t>
      </w:r>
    </w:p>
    <w:p>
      <w:pPr>
        <w:pStyle w:val="Heading2"/>
        <w:keepNext/>
        <w:spacing w:before="240" w:after="120"/>
      </w:pPr>
      <w:r>
        <w:rPr>
          <w:b/>
          <w:color w:val="1E293B"/>
          <w:sz w:val="28"/>
        </w:rPr>
        <w:t>6.2 Recommendation 2: Multi-Order Stacking Route Distance Cap (5 km Threshold)</w:t>
      </w:r>
    </w:p>
    <w:p>
      <w:r>
        <w:t>Problem: Couriers carrying 2 or 3 concurrent orders on routes exceeding 5 km experience catastrophic delay compounding. The second and third customers face median waits exceeding 40 minutes while earlier orders are deposited.</w:t>
        <w:br/>
        <w:t>Policy Action: Enforce a hard algorithmic constraint in the dispatch dispatch engine: set max_concurrent_orders = 1 whenever the aggregate route distance exceeds 5.0 km. Allow multi-order batching strictly within dense hyper-local clusters (&lt; 5 km).</w:t>
        <w:br/>
        <w:t>Projected Impact: ~30% reduction in long-haul SLA breaches with minimal impact on fleet utilization.</w:t>
      </w:r>
    </w:p>
    <w:p>
      <w:pPr>
        <w:pStyle w:val="Heading2"/>
        <w:keepNext/>
        <w:spacing w:before="240" w:after="120"/>
      </w:pPr>
      <w:r>
        <w:rPr>
          <w:b/>
          <w:color w:val="1E293B"/>
          <w:sz w:val="28"/>
        </w:rPr>
        <w:t>6.3 Recommendation 3: Modality-Based Short-Haul Fleet Allocation</w:t>
      </w:r>
    </w:p>
    <w:p>
      <w:r>
        <w:t>Problem: Bicycles and electric scooters suffer severe performance degradation and variance on long-haul routes (&gt; 3 km). Conversely, on sub-3 km routes, bicycles perform competitively with motorcycles due to parking ease, lane filtering, and traffic immunity.</w:t>
        <w:br/>
        <w:t>Policy Action: Restrict bicycle and electric scooter assignments strictly to micro-delivery zones (&lt; 3 km) in high-density commercial centers, routing all orders exceeding 3 km exclusively to motorized scooters and motorcycles.</w:t>
        <w:br/>
        <w:t>Projected Impact: ~50% reduction in bicycle-associated SLA failures and ~40% higher bicycle order turnover.</w:t>
      </w:r>
    </w:p>
    <w:p>
      <w:pPr>
        <w:pStyle w:val="Heading2"/>
        <w:keepNext/>
        <w:spacing w:before="240" w:after="120"/>
      </w:pPr>
      <w:r>
        <w:rPr>
          <w:b/>
          <w:color w:val="1E293B"/>
          <w:sz w:val="28"/>
        </w:rPr>
        <w:t>6.4 Policy Impact Summary</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3168"/>
            <w:vAlign w:val="center"/>
            <w:tcMar>
              <w:top w:w="100" w:type="dxa"/>
              <w:bottom w:w="100" w:type="dxa"/>
              <w:left w:w="140" w:type="dxa"/>
              <w:right w:w="140" w:type="dxa"/>
            </w:tcMar>
            <w:shd w:val="clear" w:color="auto" w:fill="1E293B"/>
          </w:tcPr>
          <w:p>
            <w:r>
              <w:rPr>
                <w:b/>
                <w:color w:val="FFFFFF"/>
                <w:sz w:val="20"/>
              </w:rPr>
              <w:t>Strategic Intervention</w:t>
            </w:r>
          </w:p>
        </w:tc>
        <w:tc>
          <w:tcPr>
            <w:tcW w:type="dxa" w:w="2592"/>
            <w:vAlign w:val="center"/>
            <w:tcMar>
              <w:top w:w="100" w:type="dxa"/>
              <w:bottom w:w="100" w:type="dxa"/>
              <w:left w:w="140" w:type="dxa"/>
              <w:right w:w="140" w:type="dxa"/>
            </w:tcMar>
            <w:shd w:val="clear" w:color="auto" w:fill="1E293B"/>
          </w:tcPr>
          <w:p>
            <w:r>
              <w:rPr>
                <w:b/>
                <w:color w:val="FFFFFF"/>
                <w:sz w:val="20"/>
              </w:rPr>
              <w:t>Target Operational Metric</w:t>
            </w:r>
          </w:p>
        </w:tc>
        <w:tc>
          <w:tcPr>
            <w:tcW w:type="dxa" w:w="2016"/>
            <w:vAlign w:val="center"/>
            <w:tcMar>
              <w:top w:w="100" w:type="dxa"/>
              <w:bottom w:w="100" w:type="dxa"/>
              <w:left w:w="140" w:type="dxa"/>
              <w:right w:w="140" w:type="dxa"/>
            </w:tcMar>
            <w:shd w:val="clear" w:color="auto" w:fill="1E293B"/>
          </w:tcPr>
          <w:p>
            <w:r>
              <w:rPr>
                <w:b/>
                <w:color w:val="FFFFFF"/>
                <w:sz w:val="20"/>
              </w:rPr>
              <w:t>Expected Impact</w:t>
            </w:r>
          </w:p>
        </w:tc>
        <w:tc>
          <w:tcPr>
            <w:tcW w:type="dxa" w:w="1872"/>
            <w:vAlign w:val="center"/>
            <w:tcMar>
              <w:top w:w="100" w:type="dxa"/>
              <w:bottom w:w="100" w:type="dxa"/>
              <w:left w:w="140" w:type="dxa"/>
              <w:right w:w="140" w:type="dxa"/>
            </w:tcMar>
            <w:shd w:val="clear" w:color="auto" w:fill="1E293B"/>
          </w:tcPr>
          <w:p>
            <w:r>
              <w:rPr>
                <w:b/>
                <w:color w:val="FFFFFF"/>
                <w:sz w:val="20"/>
              </w:rPr>
              <w:t>Implementation Effort</w:t>
            </w:r>
          </w:p>
        </w:tc>
      </w:tr>
      <w:tr>
        <w:trPr>
          <w:cantSplit/>
        </w:trPr>
        <w:tc>
          <w:tcPr>
            <w:tcW w:type="dxa" w:w="3168"/>
            <w:vAlign w:val="center"/>
            <w:tcMar>
              <w:top w:w="100" w:type="dxa"/>
              <w:bottom w:w="100" w:type="dxa"/>
              <w:left w:w="140" w:type="dxa"/>
              <w:right w:w="140" w:type="dxa"/>
            </w:tcMar>
            <w:shd w:val="clear" w:color="auto" w:fill="F8FAFC"/>
          </w:tcPr>
          <w:p>
            <w:r>
              <w:rPr>
                <w:color w:val="1E293B"/>
                <w:sz w:val="19"/>
              </w:rPr>
              <w:t>Dynamic ETA Buffers</w:t>
            </w:r>
          </w:p>
        </w:tc>
        <w:tc>
          <w:tcPr>
            <w:tcW w:type="dxa" w:w="2592"/>
            <w:vAlign w:val="center"/>
            <w:tcMar>
              <w:top w:w="100" w:type="dxa"/>
              <w:bottom w:w="100" w:type="dxa"/>
              <w:left w:w="140" w:type="dxa"/>
              <w:right w:w="140" w:type="dxa"/>
            </w:tcMar>
            <w:shd w:val="clear" w:color="auto" w:fill="F8FAFC"/>
          </w:tcPr>
          <w:p>
            <w:r>
              <w:rPr>
                <w:color w:val="1E293B"/>
                <w:sz w:val="19"/>
              </w:rPr>
              <w:t>Refund claims during adverse weather</w:t>
            </w:r>
          </w:p>
        </w:tc>
        <w:tc>
          <w:tcPr>
            <w:tcW w:type="dxa" w:w="2016"/>
            <w:vAlign w:val="center"/>
            <w:tcMar>
              <w:top w:w="100" w:type="dxa"/>
              <w:bottom w:w="100" w:type="dxa"/>
              <w:left w:w="140" w:type="dxa"/>
              <w:right w:w="140" w:type="dxa"/>
            </w:tcMar>
            <w:shd w:val="clear" w:color="auto" w:fill="F8FAFC"/>
          </w:tcPr>
          <w:p>
            <w:r>
              <w:rPr>
                <w:color w:val="1E293B"/>
                <w:sz w:val="19"/>
              </w:rPr>
              <w:t>-15% to -25%</w:t>
            </w:r>
          </w:p>
        </w:tc>
        <w:tc>
          <w:tcPr>
            <w:tcW w:type="dxa" w:w="1872"/>
            <w:vAlign w:val="center"/>
            <w:tcMar>
              <w:top w:w="100" w:type="dxa"/>
              <w:bottom w:w="100" w:type="dxa"/>
              <w:left w:w="140" w:type="dxa"/>
              <w:right w:w="140" w:type="dxa"/>
            </w:tcMar>
            <w:shd w:val="clear" w:color="auto" w:fill="F8FAFC"/>
          </w:tcPr>
          <w:p>
            <w:r>
              <w:rPr>
                <w:color w:val="1E293B"/>
                <w:sz w:val="19"/>
              </w:rPr>
              <w:t>Low (API rule)</w:t>
            </w:r>
          </w:p>
        </w:tc>
      </w:tr>
      <w:tr>
        <w:trPr>
          <w:cantSplit/>
        </w:trPr>
        <w:tc>
          <w:tcPr>
            <w:tcW w:type="dxa" w:w="3168"/>
            <w:vAlign w:val="center"/>
            <w:tcMar>
              <w:top w:w="100" w:type="dxa"/>
              <w:bottom w:w="100" w:type="dxa"/>
              <w:left w:w="140" w:type="dxa"/>
              <w:right w:w="140" w:type="dxa"/>
            </w:tcMar>
            <w:shd w:val="clear" w:color="auto" w:fill="FFFFFF"/>
          </w:tcPr>
          <w:p>
            <w:r>
              <w:rPr>
                <w:color w:val="1E293B"/>
                <w:sz w:val="19"/>
              </w:rPr>
              <w:t>Multi-Order Stacking Cap (5 km)</w:t>
            </w:r>
          </w:p>
        </w:tc>
        <w:tc>
          <w:tcPr>
            <w:tcW w:type="dxa" w:w="2592"/>
            <w:vAlign w:val="center"/>
            <w:tcMar>
              <w:top w:w="100" w:type="dxa"/>
              <w:bottom w:w="100" w:type="dxa"/>
              <w:left w:w="140" w:type="dxa"/>
              <w:right w:w="140" w:type="dxa"/>
            </w:tcMar>
            <w:shd w:val="clear" w:color="auto" w:fill="FFFFFF"/>
          </w:tcPr>
          <w:p>
            <w:r>
              <w:rPr>
                <w:color w:val="1E293B"/>
                <w:sz w:val="19"/>
              </w:rPr>
              <w:t>Long-haul (&gt;7 km) SLA breach rate</w:t>
            </w:r>
          </w:p>
        </w:tc>
        <w:tc>
          <w:tcPr>
            <w:tcW w:type="dxa" w:w="2016"/>
            <w:vAlign w:val="center"/>
            <w:tcMar>
              <w:top w:w="100" w:type="dxa"/>
              <w:bottom w:w="100" w:type="dxa"/>
              <w:left w:w="140" w:type="dxa"/>
              <w:right w:w="140" w:type="dxa"/>
            </w:tcMar>
            <w:shd w:val="clear" w:color="auto" w:fill="FFFFFF"/>
          </w:tcPr>
          <w:p>
            <w:r>
              <w:rPr>
                <w:color w:val="1E293B"/>
                <w:sz w:val="19"/>
              </w:rPr>
              <w:t>-30%</w:t>
            </w:r>
          </w:p>
        </w:tc>
        <w:tc>
          <w:tcPr>
            <w:tcW w:type="dxa" w:w="1872"/>
            <w:vAlign w:val="center"/>
            <w:tcMar>
              <w:top w:w="100" w:type="dxa"/>
              <w:bottom w:w="100" w:type="dxa"/>
              <w:left w:w="140" w:type="dxa"/>
              <w:right w:w="140" w:type="dxa"/>
            </w:tcMar>
            <w:shd w:val="clear" w:color="auto" w:fill="FFFFFF"/>
          </w:tcPr>
          <w:p>
            <w:r>
              <w:rPr>
                <w:color w:val="1E293B"/>
                <w:sz w:val="19"/>
              </w:rPr>
              <w:t>Medium (Dispatch rule)</w:t>
            </w:r>
          </w:p>
        </w:tc>
      </w:tr>
      <w:tr>
        <w:trPr>
          <w:cantSplit/>
        </w:trPr>
        <w:tc>
          <w:tcPr>
            <w:tcW w:type="dxa" w:w="3168"/>
            <w:vAlign w:val="center"/>
            <w:tcMar>
              <w:top w:w="100" w:type="dxa"/>
              <w:bottom w:w="100" w:type="dxa"/>
              <w:left w:w="140" w:type="dxa"/>
              <w:right w:w="140" w:type="dxa"/>
            </w:tcMar>
            <w:shd w:val="clear" w:color="auto" w:fill="F8FAFC"/>
          </w:tcPr>
          <w:p>
            <w:r>
              <w:rPr>
                <w:color w:val="1E293B"/>
                <w:sz w:val="19"/>
              </w:rPr>
              <w:t>Short-Haul Fleet Allocation</w:t>
            </w:r>
          </w:p>
        </w:tc>
        <w:tc>
          <w:tcPr>
            <w:tcW w:type="dxa" w:w="2592"/>
            <w:vAlign w:val="center"/>
            <w:tcMar>
              <w:top w:w="100" w:type="dxa"/>
              <w:bottom w:w="100" w:type="dxa"/>
              <w:left w:w="140" w:type="dxa"/>
              <w:right w:w="140" w:type="dxa"/>
            </w:tcMar>
            <w:shd w:val="clear" w:color="auto" w:fill="F8FAFC"/>
          </w:tcPr>
          <w:p>
            <w:r>
              <w:rPr>
                <w:color w:val="1E293B"/>
                <w:sz w:val="19"/>
              </w:rPr>
              <w:t>Bicycle/E-scooter SLA failure rate</w:t>
            </w:r>
          </w:p>
        </w:tc>
        <w:tc>
          <w:tcPr>
            <w:tcW w:type="dxa" w:w="2016"/>
            <w:vAlign w:val="center"/>
            <w:tcMar>
              <w:top w:w="100" w:type="dxa"/>
              <w:bottom w:w="100" w:type="dxa"/>
              <w:left w:w="140" w:type="dxa"/>
              <w:right w:w="140" w:type="dxa"/>
            </w:tcMar>
            <w:shd w:val="clear" w:color="auto" w:fill="F8FAFC"/>
          </w:tcPr>
          <w:p>
            <w:r>
              <w:rPr>
                <w:color w:val="1E293B"/>
                <w:sz w:val="19"/>
              </w:rPr>
              <w:t>-50%</w:t>
            </w:r>
          </w:p>
        </w:tc>
        <w:tc>
          <w:tcPr>
            <w:tcW w:type="dxa" w:w="1872"/>
            <w:vAlign w:val="center"/>
            <w:tcMar>
              <w:top w:w="100" w:type="dxa"/>
              <w:bottom w:w="100" w:type="dxa"/>
              <w:left w:w="140" w:type="dxa"/>
              <w:right w:w="140" w:type="dxa"/>
            </w:tcMar>
            <w:shd w:val="clear" w:color="auto" w:fill="F8FAFC"/>
          </w:tcPr>
          <w:p>
            <w:r>
              <w:rPr>
                <w:color w:val="1E293B"/>
                <w:sz w:val="19"/>
              </w:rPr>
              <w:t>Low (Modality filter)</w:t>
            </w:r>
          </w:p>
        </w:tc>
      </w:tr>
      <w:tr>
        <w:trPr>
          <w:cantSplit/>
        </w:trPr>
        <w:tc>
          <w:tcPr>
            <w:tcW w:type="dxa" w:w="3168"/>
            <w:vAlign w:val="center"/>
            <w:tcMar>
              <w:top w:w="100" w:type="dxa"/>
              <w:bottom w:w="100" w:type="dxa"/>
              <w:left w:w="140" w:type="dxa"/>
              <w:right w:w="140" w:type="dxa"/>
            </w:tcMar>
            <w:shd w:val="clear" w:color="auto" w:fill="FFFFFF"/>
          </w:tcPr>
          <w:p>
            <w:r>
              <w:rPr>
                <w:color w:val="1E293B"/>
                <w:sz w:val="19"/>
              </w:rPr>
              <w:t>Combined Strategic Portfolio</w:t>
            </w:r>
          </w:p>
        </w:tc>
        <w:tc>
          <w:tcPr>
            <w:tcW w:type="dxa" w:w="2592"/>
            <w:vAlign w:val="center"/>
            <w:tcMar>
              <w:top w:w="100" w:type="dxa"/>
              <w:bottom w:w="100" w:type="dxa"/>
              <w:left w:w="140" w:type="dxa"/>
              <w:right w:w="140" w:type="dxa"/>
            </w:tcMar>
            <w:shd w:val="clear" w:color="auto" w:fill="FFFFFF"/>
          </w:tcPr>
          <w:p>
            <w:r>
              <w:rPr>
                <w:color w:val="1E293B"/>
                <w:sz w:val="19"/>
              </w:rPr>
              <w:t>Overall System-Wide SLA Breach Rate</w:t>
            </w:r>
          </w:p>
        </w:tc>
        <w:tc>
          <w:tcPr>
            <w:tcW w:type="dxa" w:w="2016"/>
            <w:vAlign w:val="center"/>
            <w:tcMar>
              <w:top w:w="100" w:type="dxa"/>
              <w:bottom w:w="100" w:type="dxa"/>
              <w:left w:w="140" w:type="dxa"/>
              <w:right w:w="140" w:type="dxa"/>
            </w:tcMar>
            <w:shd w:val="clear" w:color="auto" w:fill="FFFFFF"/>
          </w:tcPr>
          <w:p>
            <w:r>
              <w:rPr>
                <w:color w:val="1E293B"/>
                <w:sz w:val="19"/>
              </w:rPr>
              <w:t>-20% to -35%</w:t>
            </w:r>
          </w:p>
        </w:tc>
        <w:tc>
          <w:tcPr>
            <w:tcW w:type="dxa" w:w="1872"/>
            <w:vAlign w:val="center"/>
            <w:tcMar>
              <w:top w:w="100" w:type="dxa"/>
              <w:bottom w:w="100" w:type="dxa"/>
              <w:left w:w="140" w:type="dxa"/>
              <w:right w:w="140" w:type="dxa"/>
            </w:tcMar>
            <w:shd w:val="clear" w:color="auto" w:fill="FFFFFF"/>
          </w:tcPr>
          <w:p>
            <w:r>
              <w:rPr>
                <w:color w:val="1E293B"/>
                <w:sz w:val="19"/>
              </w:rPr>
              <w:t>Comprehensive</w:t>
            </w:r>
          </w:p>
        </w:tc>
      </w:tr>
    </w:tbl>
    <w:p>
      <w:pPr>
        <w:pStyle w:val="Heading1"/>
        <w:keepNext/>
        <w:spacing w:before="360" w:after="120"/>
      </w:pPr>
      <w:r>
        <w:rPr>
          <w:b/>
          <w:color w:val="0F172A"/>
          <w:sz w:val="36"/>
        </w:rPr>
        <w:t>7. Technologies &amp; Tools Used</w:t>
      </w:r>
    </w:p>
    <w:tbl>
      <w:tblPr>
        <w:tblW w:type="auto" w:w="0"/>
        <w:jc w:val="center"/>
        <w:tblLook w:firstColumn="1" w:firstRow="1" w:lastColumn="0" w:lastRow="0" w:noHBand="0" w:noVBand="1" w:val="04A0"/>
      </w:tblPr>
      <w:tblGrid>
        <w:gridCol w:w="3120"/>
        <w:gridCol w:w="3120"/>
        <w:gridCol w:w="3120"/>
      </w:tblGrid>
      <w:tr>
        <w:trPr>
          <w:cantSplit/>
        </w:trPr>
        <w:tc>
          <w:tcPr>
            <w:tcW w:type="dxa" w:w="2592"/>
            <w:vAlign w:val="center"/>
            <w:tcMar>
              <w:top w:w="100" w:type="dxa"/>
              <w:bottom w:w="100" w:type="dxa"/>
              <w:left w:w="140" w:type="dxa"/>
              <w:right w:w="140" w:type="dxa"/>
            </w:tcMar>
            <w:shd w:val="clear" w:color="auto" w:fill="1E293B"/>
          </w:tcPr>
          <w:p>
            <w:r>
              <w:rPr>
                <w:b/>
                <w:color w:val="FFFFFF"/>
                <w:sz w:val="20"/>
              </w:rPr>
              <w:t>Category</w:t>
            </w:r>
          </w:p>
        </w:tc>
        <w:tc>
          <w:tcPr>
            <w:tcW w:type="dxa" w:w="2880"/>
            <w:vAlign w:val="center"/>
            <w:tcMar>
              <w:top w:w="100" w:type="dxa"/>
              <w:bottom w:w="100" w:type="dxa"/>
              <w:left w:w="140" w:type="dxa"/>
              <w:right w:w="140" w:type="dxa"/>
            </w:tcMar>
            <w:shd w:val="clear" w:color="auto" w:fill="1E293B"/>
          </w:tcPr>
          <w:p>
            <w:r>
              <w:rPr>
                <w:b/>
                <w:color w:val="FFFFFF"/>
                <w:sz w:val="20"/>
              </w:rPr>
              <w:t>Tool / Library</w:t>
            </w:r>
          </w:p>
        </w:tc>
        <w:tc>
          <w:tcPr>
            <w:tcW w:type="dxa" w:w="4176"/>
            <w:vAlign w:val="center"/>
            <w:tcMar>
              <w:top w:w="100" w:type="dxa"/>
              <w:bottom w:w="100" w:type="dxa"/>
              <w:left w:w="140" w:type="dxa"/>
              <w:right w:w="140" w:type="dxa"/>
            </w:tcMar>
            <w:shd w:val="clear" w:color="auto" w:fill="1E293B"/>
          </w:tcPr>
          <w:p>
            <w:r>
              <w:rPr>
                <w:b/>
                <w:color w:val="FFFFFF"/>
                <w:sz w:val="20"/>
              </w:rPr>
              <w:t>Role in Project Execution</w:t>
            </w:r>
          </w:p>
        </w:tc>
      </w:tr>
      <w:tr>
        <w:trPr>
          <w:cantSplit/>
        </w:trPr>
        <w:tc>
          <w:tcPr>
            <w:tcW w:type="dxa" w:w="2592"/>
            <w:vAlign w:val="center"/>
            <w:tcMar>
              <w:top w:w="100" w:type="dxa"/>
              <w:bottom w:w="100" w:type="dxa"/>
              <w:left w:w="140" w:type="dxa"/>
              <w:right w:w="140" w:type="dxa"/>
            </w:tcMar>
            <w:shd w:val="clear" w:color="auto" w:fill="F8FAFC"/>
          </w:tcPr>
          <w:p>
            <w:r>
              <w:rPr>
                <w:color w:val="1E293B"/>
                <w:sz w:val="19"/>
              </w:rPr>
              <w:t>Language &amp; Runtime</w:t>
            </w:r>
          </w:p>
        </w:tc>
        <w:tc>
          <w:tcPr>
            <w:tcW w:type="dxa" w:w="2880"/>
            <w:vAlign w:val="center"/>
            <w:tcMar>
              <w:top w:w="100" w:type="dxa"/>
              <w:bottom w:w="100" w:type="dxa"/>
              <w:left w:w="140" w:type="dxa"/>
              <w:right w:w="140" w:type="dxa"/>
            </w:tcMar>
            <w:shd w:val="clear" w:color="auto" w:fill="F8FAFC"/>
          </w:tcPr>
          <w:p>
            <w:r>
              <w:rPr>
                <w:color w:val="1E293B"/>
                <w:sz w:val="19"/>
              </w:rPr>
              <w:t>Python 3.13</w:t>
            </w:r>
          </w:p>
        </w:tc>
        <w:tc>
          <w:tcPr>
            <w:tcW w:type="dxa" w:w="4176"/>
            <w:vAlign w:val="center"/>
            <w:tcMar>
              <w:top w:w="100" w:type="dxa"/>
              <w:bottom w:w="100" w:type="dxa"/>
              <w:left w:w="140" w:type="dxa"/>
              <w:right w:w="140" w:type="dxa"/>
            </w:tcMar>
            <w:shd w:val="clear" w:color="auto" w:fill="F8FAFC"/>
          </w:tcPr>
          <w:p>
            <w:r>
              <w:rPr>
                <w:color w:val="1E293B"/>
                <w:sz w:val="19"/>
              </w:rPr>
              <w:t>Core programming environment for data processing and analysis</w:t>
            </w:r>
          </w:p>
        </w:tc>
      </w:tr>
      <w:tr>
        <w:trPr>
          <w:cantSplit/>
        </w:trPr>
        <w:tc>
          <w:tcPr>
            <w:tcW w:type="dxa" w:w="2592"/>
            <w:vAlign w:val="center"/>
            <w:tcMar>
              <w:top w:w="100" w:type="dxa"/>
              <w:bottom w:w="100" w:type="dxa"/>
              <w:left w:w="140" w:type="dxa"/>
              <w:right w:w="140" w:type="dxa"/>
            </w:tcMar>
            <w:shd w:val="clear" w:color="auto" w:fill="FFFFFF"/>
          </w:tcPr>
          <w:p>
            <w:r>
              <w:rPr>
                <w:color w:val="1E293B"/>
                <w:sz w:val="19"/>
              </w:rPr>
              <w:t>Data Manipulation</w:t>
            </w:r>
          </w:p>
        </w:tc>
        <w:tc>
          <w:tcPr>
            <w:tcW w:type="dxa" w:w="2880"/>
            <w:vAlign w:val="center"/>
            <w:tcMar>
              <w:top w:w="100" w:type="dxa"/>
              <w:bottom w:w="100" w:type="dxa"/>
              <w:left w:w="140" w:type="dxa"/>
              <w:right w:w="140" w:type="dxa"/>
            </w:tcMar>
            <w:shd w:val="clear" w:color="auto" w:fill="FFFFFF"/>
          </w:tcPr>
          <w:p>
            <w:r>
              <w:rPr>
                <w:color w:val="1E293B"/>
                <w:sz w:val="19"/>
              </w:rPr>
              <w:t>Pandas 2.2 &amp; NumPy 2.2</w:t>
            </w:r>
          </w:p>
        </w:tc>
        <w:tc>
          <w:tcPr>
            <w:tcW w:type="dxa" w:w="4176"/>
            <w:vAlign w:val="center"/>
            <w:tcMar>
              <w:top w:w="100" w:type="dxa"/>
              <w:bottom w:w="100" w:type="dxa"/>
              <w:left w:w="140" w:type="dxa"/>
              <w:right w:w="140" w:type="dxa"/>
            </w:tcMar>
            <w:shd w:val="clear" w:color="auto" w:fill="FFFFFF"/>
          </w:tcPr>
          <w:p>
            <w:r>
              <w:rPr>
                <w:color w:val="1E293B"/>
                <w:sz w:val="19"/>
              </w:rPr>
              <w:t>High-performance vector operations, Haversine formula, data cleaning</w:t>
            </w:r>
          </w:p>
        </w:tc>
      </w:tr>
      <w:tr>
        <w:trPr>
          <w:cantSplit/>
        </w:trPr>
        <w:tc>
          <w:tcPr>
            <w:tcW w:type="dxa" w:w="2592"/>
            <w:vAlign w:val="center"/>
            <w:tcMar>
              <w:top w:w="100" w:type="dxa"/>
              <w:bottom w:w="100" w:type="dxa"/>
              <w:left w:w="140" w:type="dxa"/>
              <w:right w:w="140" w:type="dxa"/>
            </w:tcMar>
            <w:shd w:val="clear" w:color="auto" w:fill="F8FAFC"/>
          </w:tcPr>
          <w:p>
            <w:r>
              <w:rPr>
                <w:color w:val="1E293B"/>
                <w:sz w:val="19"/>
              </w:rPr>
              <w:t>Statistical Visualization</w:t>
            </w:r>
          </w:p>
        </w:tc>
        <w:tc>
          <w:tcPr>
            <w:tcW w:type="dxa" w:w="2880"/>
            <w:vAlign w:val="center"/>
            <w:tcMar>
              <w:top w:w="100" w:type="dxa"/>
              <w:bottom w:w="100" w:type="dxa"/>
              <w:left w:w="140" w:type="dxa"/>
              <w:right w:w="140" w:type="dxa"/>
            </w:tcMar>
            <w:shd w:val="clear" w:color="auto" w:fill="F8FAFC"/>
          </w:tcPr>
          <w:p>
            <w:r>
              <w:rPr>
                <w:color w:val="1E293B"/>
                <w:sz w:val="19"/>
              </w:rPr>
              <w:t>Matplotlib 3.10 &amp; Seaborn 0.13</w:t>
            </w:r>
          </w:p>
        </w:tc>
        <w:tc>
          <w:tcPr>
            <w:tcW w:type="dxa" w:w="4176"/>
            <w:vAlign w:val="center"/>
            <w:tcMar>
              <w:top w:w="100" w:type="dxa"/>
              <w:bottom w:w="100" w:type="dxa"/>
              <w:left w:w="140" w:type="dxa"/>
              <w:right w:w="140" w:type="dxa"/>
            </w:tcMar>
            <w:shd w:val="clear" w:color="auto" w:fill="F8FAFC"/>
          </w:tcPr>
          <w:p>
            <w:r>
              <w:rPr>
                <w:color w:val="1E293B"/>
                <w:sz w:val="19"/>
              </w:rPr>
              <w:t>Publication-grade heatmaps, stacked bar charts, and boxplots</w:t>
            </w:r>
          </w:p>
        </w:tc>
      </w:tr>
      <w:tr>
        <w:trPr>
          <w:cantSplit/>
        </w:trPr>
        <w:tc>
          <w:tcPr>
            <w:tcW w:type="dxa" w:w="2592"/>
            <w:vAlign w:val="center"/>
            <w:tcMar>
              <w:top w:w="100" w:type="dxa"/>
              <w:bottom w:w="100" w:type="dxa"/>
              <w:left w:w="140" w:type="dxa"/>
              <w:right w:w="140" w:type="dxa"/>
            </w:tcMar>
            <w:shd w:val="clear" w:color="auto" w:fill="FFFFFF"/>
          </w:tcPr>
          <w:p>
            <w:r>
              <w:rPr>
                <w:color w:val="1E293B"/>
                <w:sz w:val="19"/>
              </w:rPr>
              <w:t>Interactive Dashboard</w:t>
            </w:r>
          </w:p>
        </w:tc>
        <w:tc>
          <w:tcPr>
            <w:tcW w:type="dxa" w:w="2880"/>
            <w:vAlign w:val="center"/>
            <w:tcMar>
              <w:top w:w="100" w:type="dxa"/>
              <w:bottom w:w="100" w:type="dxa"/>
              <w:left w:w="140" w:type="dxa"/>
              <w:right w:w="140" w:type="dxa"/>
            </w:tcMar>
            <w:shd w:val="clear" w:color="auto" w:fill="FFFFFF"/>
          </w:tcPr>
          <w:p>
            <w:r>
              <w:rPr>
                <w:color w:val="1E293B"/>
                <w:sz w:val="19"/>
              </w:rPr>
              <w:t>Streamlit 1.43</w:t>
            </w:r>
          </w:p>
        </w:tc>
        <w:tc>
          <w:tcPr>
            <w:tcW w:type="dxa" w:w="4176"/>
            <w:vAlign w:val="center"/>
            <w:tcMar>
              <w:top w:w="100" w:type="dxa"/>
              <w:bottom w:w="100" w:type="dxa"/>
              <w:left w:w="140" w:type="dxa"/>
              <w:right w:w="140" w:type="dxa"/>
            </w:tcMar>
            <w:shd w:val="clear" w:color="auto" w:fill="FFFFFF"/>
          </w:tcPr>
          <w:p>
            <w:r>
              <w:rPr>
                <w:color w:val="1E293B"/>
                <w:sz w:val="19"/>
              </w:rPr>
              <w:t>Reactive web application hosting operational KPIs and filters</w:t>
            </w:r>
          </w:p>
        </w:tc>
      </w:tr>
      <w:tr>
        <w:trPr>
          <w:cantSplit/>
        </w:trPr>
        <w:tc>
          <w:tcPr>
            <w:tcW w:type="dxa" w:w="2592"/>
            <w:vAlign w:val="center"/>
            <w:tcMar>
              <w:top w:w="100" w:type="dxa"/>
              <w:bottom w:w="100" w:type="dxa"/>
              <w:left w:w="140" w:type="dxa"/>
              <w:right w:w="140" w:type="dxa"/>
            </w:tcMar>
            <w:shd w:val="clear" w:color="auto" w:fill="F8FAFC"/>
          </w:tcPr>
          <w:p>
            <w:r>
              <w:rPr>
                <w:color w:val="1E293B"/>
                <w:sz w:val="19"/>
              </w:rPr>
              <w:t>Dynamic Charting</w:t>
            </w:r>
          </w:p>
        </w:tc>
        <w:tc>
          <w:tcPr>
            <w:tcW w:type="dxa" w:w="2880"/>
            <w:vAlign w:val="center"/>
            <w:tcMar>
              <w:top w:w="100" w:type="dxa"/>
              <w:bottom w:w="100" w:type="dxa"/>
              <w:left w:w="140" w:type="dxa"/>
              <w:right w:w="140" w:type="dxa"/>
            </w:tcMar>
            <w:shd w:val="clear" w:color="auto" w:fill="F8FAFC"/>
          </w:tcPr>
          <w:p>
            <w:r>
              <w:rPr>
                <w:color w:val="1E293B"/>
                <w:sz w:val="19"/>
              </w:rPr>
              <w:t>Plotly 6.0</w:t>
            </w:r>
          </w:p>
        </w:tc>
        <w:tc>
          <w:tcPr>
            <w:tcW w:type="dxa" w:w="4176"/>
            <w:vAlign w:val="center"/>
            <w:tcMar>
              <w:top w:w="100" w:type="dxa"/>
              <w:bottom w:w="100" w:type="dxa"/>
              <w:left w:w="140" w:type="dxa"/>
              <w:right w:w="140" w:type="dxa"/>
            </w:tcMar>
            <w:shd w:val="clear" w:color="auto" w:fill="F8FAFC"/>
          </w:tcPr>
          <w:p>
            <w:r>
              <w:rPr>
                <w:color w:val="1E293B"/>
                <w:sz w:val="19"/>
              </w:rPr>
              <w:t>Interactive hardware-accelerated visualizations in the dashboard</w:t>
            </w:r>
          </w:p>
        </w:tc>
      </w:tr>
      <w:tr>
        <w:trPr>
          <w:cantSplit/>
        </w:trPr>
        <w:tc>
          <w:tcPr>
            <w:tcW w:type="dxa" w:w="2592"/>
            <w:vAlign w:val="center"/>
            <w:tcMar>
              <w:top w:w="100" w:type="dxa"/>
              <w:bottom w:w="100" w:type="dxa"/>
              <w:left w:w="140" w:type="dxa"/>
              <w:right w:w="140" w:type="dxa"/>
            </w:tcMar>
            <w:shd w:val="clear" w:color="auto" w:fill="FFFFFF"/>
          </w:tcPr>
          <w:p>
            <w:r>
              <w:rPr>
                <w:color w:val="1E293B"/>
                <w:sz w:val="19"/>
              </w:rPr>
              <w:t>Documentation</w:t>
            </w:r>
          </w:p>
        </w:tc>
        <w:tc>
          <w:tcPr>
            <w:tcW w:type="dxa" w:w="2880"/>
            <w:vAlign w:val="center"/>
            <w:tcMar>
              <w:top w:w="100" w:type="dxa"/>
              <w:bottom w:w="100" w:type="dxa"/>
              <w:left w:w="140" w:type="dxa"/>
              <w:right w:w="140" w:type="dxa"/>
            </w:tcMar>
            <w:shd w:val="clear" w:color="auto" w:fill="FFFFFF"/>
          </w:tcPr>
          <w:p>
            <w:r>
              <w:rPr>
                <w:color w:val="1E293B"/>
                <w:sz w:val="19"/>
              </w:rPr>
              <w:t>python-docx</w:t>
            </w:r>
          </w:p>
        </w:tc>
        <w:tc>
          <w:tcPr>
            <w:tcW w:type="dxa" w:w="4176"/>
            <w:vAlign w:val="center"/>
            <w:tcMar>
              <w:top w:w="100" w:type="dxa"/>
              <w:bottom w:w="100" w:type="dxa"/>
              <w:left w:w="140" w:type="dxa"/>
              <w:right w:w="140" w:type="dxa"/>
            </w:tcMar>
            <w:shd w:val="clear" w:color="auto" w:fill="FFFFFF"/>
          </w:tcPr>
          <w:p>
            <w:r>
              <w:rPr>
                <w:color w:val="1E293B"/>
                <w:sz w:val="19"/>
              </w:rPr>
              <w:t>Programmatic generation of Microsoft Word academic project report</w:t>
            </w:r>
          </w:p>
        </w:tc>
      </w:tr>
    </w:tbl>
    <w:p>
      <w:pPr>
        <w:pStyle w:val="Heading1"/>
        <w:keepNext/>
        <w:spacing w:before="360" w:after="120"/>
      </w:pPr>
      <w:r>
        <w:rPr>
          <w:b/>
          <w:color w:val="0F172A"/>
          <w:sz w:val="36"/>
        </w:rPr>
        <w:t>8. Conclusion &amp; Future Scope</w:t>
      </w:r>
    </w:p>
    <w:p>
      <w:r>
        <w:t>Conclusion: This project delivers an end-to-end data analytics and diagnostics framework for quick-commerce food delivery logistics. By moving beyond surface-level exploratory statistics, the analysis uncovered the quantitative tipping points of operational breakdown: severe weather-traffic compounding, a 7 km distance breach threshold, and multi-order queuing friction. The proposed operational interventions—Dynamic ETA Buffers, 5 km Stacking Caps, and Micro-Delivery Fleet Zoning—provide a data-grounded pathway to compress overall SLA breach rates by 20% to 35% while safeguarding customer trust and fleet unit economics.</w:t>
      </w:r>
    </w:p>
    <w:p>
      <w:r>
        <w:t>Future Scope &amp; Extensions:</w:t>
        <w:br/>
        <w:t>1. Machine Learning ETA Forecasting: Train gradient-boosted decision tree models (LightGBM/XGBoost) incorporating real-time weather and traffic embeddings to predict delivery duration with minute-level precision.</w:t>
        <w:br/>
        <w:t>2. Dynamic Surge &amp; Driver Incentive Optimization: Implement reinforcement learning agents to adjust courier delivery bonuses in high-risk weather zones, ensuring optimal rider availability.</w:t>
        <w:br/>
        <w:t>3. Electric Vehicle (EV) Telemetry Integration: Ingest battery state-of-charge (SoC) metrics to prevent mid-route charging bottlenecks on long-distance electric scooter assignments.</w:t>
      </w:r>
    </w:p>
    <w:p>
      <w:pPr>
        <w:pStyle w:val="Heading1"/>
        <w:keepNext/>
        <w:spacing w:before="360" w:after="120"/>
      </w:pPr>
      <w:r>
        <w:rPr>
          <w:b/>
          <w:color w:val="0F172A"/>
          <w:sz w:val="36"/>
        </w:rPr>
        <w:t>9. References &amp; Acknowledgments</w:t>
      </w:r>
    </w:p>
    <w:p>
      <w:r>
        <w:t>1. AICTE | IBM SkillsBuild Data Analytics with AI Academic Internship Program (2026).</w:t>
        <w:br/>
        <w:t>2. BharatCares Foundation — Youth Empowerment and Technology Skilling Initiatives.</w:t>
        <w:br/>
        <w:t>3. Kaggle Food Delivery Dataset: Gaurav Malik (https://www.kaggle.com/datasets/gauravmalik26/food-delivery-dataset).</w:t>
        <w:br/>
        <w:t>4. Sinnott, R. W. (1984). 'Virtues of the Haversine.' Sky and Telescope, 68(2), 159.</w:t>
        <w:br/>
        <w:t>5. McKinney, W. (2010). 'Data Structures for Statistical Computing in Python.' Proceedings of the 9th Python in Science Conference.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