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735A5" w14:textId="77777777" w:rsidR="001C08C6" w:rsidRPr="001C08C6" w:rsidRDefault="001C08C6" w:rsidP="001C08C6">
      <w:pPr>
        <w:rPr>
          <w:sz w:val="22"/>
          <w:szCs w:val="22"/>
        </w:rPr>
      </w:pPr>
      <w:r w:rsidRPr="001C08C6">
        <w:rPr>
          <w:sz w:val="22"/>
          <w:szCs w:val="22"/>
        </w:rPr>
        <w:t> </w:t>
      </w:r>
    </w:p>
    <w:p w14:paraId="1321CC8B" w14:textId="77777777" w:rsidR="001C08C6" w:rsidRPr="001C08C6" w:rsidRDefault="001C08C6" w:rsidP="001C08C6">
      <w:pPr>
        <w:rPr>
          <w:sz w:val="22"/>
          <w:szCs w:val="22"/>
        </w:rPr>
      </w:pPr>
      <w:r w:rsidRPr="001C08C6">
        <w:rPr>
          <w:b/>
          <w:bCs/>
          <w:sz w:val="22"/>
          <w:szCs w:val="22"/>
        </w:rPr>
        <w:t>What ran successfully</w:t>
      </w:r>
    </w:p>
    <w:p w14:paraId="12B09C8F" w14:textId="77777777" w:rsidR="001C08C6" w:rsidRPr="001C08C6" w:rsidRDefault="001C08C6" w:rsidP="001C08C6">
      <w:pPr>
        <w:rPr>
          <w:sz w:val="22"/>
          <w:szCs w:val="22"/>
        </w:rPr>
      </w:pPr>
      <w:r w:rsidRPr="001C08C6">
        <w:rPr>
          <w:sz w:val="22"/>
          <w:szCs w:val="22"/>
        </w:rPr>
        <w:t>Everything through Section 9 (IQPE engine definition). All the quantum chemistry and partitioning sections completed cleanly. successfully ran a full quantum chemistry pipeline for a [2Fe-2S] ferredoxin model complex in a protein-like environment ionic backbone charges plus PCM solvent through to a 12-qubit Hamiltonian and iterative QPE engine. The key finding from the partitioning step is that 76.5% of Pauli terms are cross-node (much higher than expected), which quantifies the Bell pair communication cost that any distributed QPE implementation for this chemistry will face. The Fisher information optimizer responded correctly by concentrating ancilla on the less-busy node (88.5% QFI gain over uniform). Three bugs need patching before the benchmarking sections run: PCM not forwarded to CASSCF, two-body tensor index convention, and IQPE resolution too coarse.</w:t>
      </w:r>
    </w:p>
    <w:p w14:paraId="1C72C5EF" w14:textId="77777777" w:rsidR="001C08C6" w:rsidRPr="001C08C6" w:rsidRDefault="001C08C6" w:rsidP="001C08C6">
      <w:pPr>
        <w:rPr>
          <w:sz w:val="22"/>
          <w:szCs w:val="22"/>
        </w:rPr>
      </w:pPr>
      <w:r w:rsidRPr="001C08C6">
        <w:rPr>
          <w:sz w:val="22"/>
          <w:szCs w:val="22"/>
        </w:rPr>
        <w:t> </w:t>
      </w:r>
    </w:p>
    <w:p w14:paraId="7A202D33" w14:textId="77777777" w:rsidR="001C08C6" w:rsidRPr="001C08C6" w:rsidRDefault="001C08C6" w:rsidP="001C08C6">
      <w:pPr>
        <w:rPr>
          <w:sz w:val="22"/>
          <w:szCs w:val="22"/>
        </w:rPr>
      </w:pPr>
      <w:r w:rsidRPr="001C08C6">
        <w:rPr>
          <w:b/>
          <w:bCs/>
          <w:sz w:val="22"/>
          <w:szCs w:val="22"/>
        </w:rPr>
        <w:t>Results</w:t>
      </w:r>
    </w:p>
    <w:p w14:paraId="3F72F364" w14:textId="77777777" w:rsidR="001C08C6" w:rsidRPr="001C08C6" w:rsidRDefault="001C08C6" w:rsidP="001C08C6">
      <w:pPr>
        <w:rPr>
          <w:sz w:val="22"/>
          <w:szCs w:val="22"/>
        </w:rPr>
      </w:pPr>
      <w:r w:rsidRPr="001C08C6">
        <w:rPr>
          <w:b/>
          <w:bCs/>
          <w:sz w:val="22"/>
          <w:szCs w:val="22"/>
        </w:rPr>
        <w:t>Molecule construction</w:t>
      </w:r>
      <w:r w:rsidRPr="001C08C6">
        <w:rPr>
          <w:sz w:val="22"/>
          <w:szCs w:val="22"/>
        </w:rPr>
        <w:t xml:space="preserve"> — 24 atoms, Fe-Fe = 2.720 Å exactly on target, 130 AO basis functions, 166 electrons, dianion charge=-2 singlet. </w:t>
      </w:r>
    </w:p>
    <w:p w14:paraId="37F01287" w14:textId="77777777" w:rsidR="001C08C6" w:rsidRPr="001C08C6" w:rsidRDefault="001C08C6" w:rsidP="001C08C6">
      <w:pPr>
        <w:rPr>
          <w:sz w:val="22"/>
          <w:szCs w:val="22"/>
        </w:rPr>
      </w:pPr>
      <w:r w:rsidRPr="001C08C6">
        <w:rPr>
          <w:b/>
          <w:bCs/>
          <w:sz w:val="22"/>
          <w:szCs w:val="22"/>
        </w:rPr>
        <w:t>ROHF + PCM + QM/MM</w:t>
      </w:r>
      <w:r w:rsidRPr="001C08C6">
        <w:rPr>
          <w:sz w:val="22"/>
          <w:szCs w:val="22"/>
        </w:rPr>
        <w:t xml:space="preserve"> — converged to −2799.666 Ha. Both the ionic backbone point charges and IEF-PCM solvent (ε=4) loaded correctly. There's a PySCF warning that PCM is experimental but it ran fine.</w:t>
      </w:r>
    </w:p>
    <w:p w14:paraId="10039EA9" w14:textId="77777777" w:rsidR="001C08C6" w:rsidRPr="001C08C6" w:rsidRDefault="001C08C6" w:rsidP="001C08C6">
      <w:pPr>
        <w:rPr>
          <w:sz w:val="22"/>
          <w:szCs w:val="22"/>
        </w:rPr>
      </w:pPr>
      <w:r w:rsidRPr="001C08C6">
        <w:rPr>
          <w:b/>
          <w:bCs/>
          <w:sz w:val="22"/>
          <w:szCs w:val="22"/>
        </w:rPr>
        <w:t>CASSCF(6e,6o)</w:t>
      </w:r>
      <w:r w:rsidRPr="001C08C6">
        <w:rPr>
          <w:sz w:val="22"/>
          <w:szCs w:val="22"/>
        </w:rPr>
        <w:t xml:space="preserve"> — −2799.634 Ha. One issue flagged: the PCM solvent was </w:t>
      </w:r>
      <w:r w:rsidRPr="001C08C6">
        <w:rPr>
          <w:b/>
          <w:bCs/>
          <w:sz w:val="22"/>
          <w:szCs w:val="22"/>
        </w:rPr>
        <w:t>not carried through to CASSCF</w:t>
      </w:r>
      <w:r w:rsidRPr="001C08C6">
        <w:rPr>
          <w:sz w:val="22"/>
          <w:szCs w:val="22"/>
        </w:rPr>
        <w:t xml:space="preserve"> — PySCF printed a warning saying the PCM object wasn't forwarded. So the CASSCF integrals fed to QPE are in gas phase, not protein-embedded. The "correlation energy" reads +31.9 mHa positive (CASSCF higher than ROHF) precisely because of this — ROHF had PCM stabilisation, CASSCF didn't. This is fixable with one line: mc = solvent.ddCOSMO(mc).</w:t>
      </w:r>
    </w:p>
    <w:p w14:paraId="75EA7629" w14:textId="77777777" w:rsidR="001C08C6" w:rsidRPr="001C08C6" w:rsidRDefault="001C08C6" w:rsidP="001C08C6">
      <w:pPr>
        <w:rPr>
          <w:sz w:val="22"/>
          <w:szCs w:val="22"/>
        </w:rPr>
      </w:pPr>
      <w:r w:rsidRPr="001C08C6">
        <w:rPr>
          <w:b/>
          <w:bCs/>
          <w:sz w:val="22"/>
          <w:szCs w:val="22"/>
        </w:rPr>
        <w:t>Qubit Hamiltonian</w:t>
      </w:r>
      <w:r w:rsidRPr="001C08C6">
        <w:rPr>
          <w:sz w:val="22"/>
          <w:szCs w:val="22"/>
        </w:rPr>
        <w:t xml:space="preserve"> — 136 Pauli terms, 12 qubits, Hilbert space 4096. Looks correct dimensionally. However the FCI energy came out −2803.46 Ha vs CASSCF −2799.63 Ha — a 3830 mHa discrepancy. That gap should be near zero. This points to an index reordering bug in the chemist→physicist two-body tensor conversion. The numbers in the active space are right but the sign/ordering of the 2e integrals fed to OpenFermion needs fixing.</w:t>
      </w:r>
    </w:p>
    <w:p w14:paraId="3EC3E8A6" w14:textId="77777777" w:rsidR="001C08C6" w:rsidRPr="001C08C6" w:rsidRDefault="001C08C6" w:rsidP="001C08C6">
      <w:pPr>
        <w:rPr>
          <w:sz w:val="22"/>
          <w:szCs w:val="22"/>
        </w:rPr>
      </w:pPr>
      <w:r w:rsidRPr="001C08C6">
        <w:rPr>
          <w:b/>
          <w:bCs/>
          <w:sz w:val="22"/>
          <w:szCs w:val="22"/>
        </w:rPr>
        <w:t>Foster-Boys partition</w:t>
      </w:r>
      <w:r w:rsidRPr="001C08C6">
        <w:rPr>
          <w:sz w:val="22"/>
          <w:szCs w:val="22"/>
        </w:rPr>
        <w:t xml:space="preserve"> — the partition came out very imbalanced: </w:t>
      </w:r>
      <w:r w:rsidRPr="001C08C6">
        <w:rPr>
          <w:b/>
          <w:bCs/>
          <w:sz w:val="22"/>
          <w:szCs w:val="22"/>
        </w:rPr>
        <w:t>2 orbitals on Node A (Fe1), 4 orbitals on Node B (Fe2)</w:t>
      </w:r>
      <w:r w:rsidRPr="001C08C6">
        <w:rPr>
          <w:sz w:val="22"/>
          <w:szCs w:val="22"/>
        </w:rPr>
        <w:t>. Not because the chemistry is wrong — the centroids are physically reasonable (orbitals 0 and 1 sit near the bridging sulfides, orbitals 2–5 are on the Fe2 side). But it reflects that the bridging sulfides delocalize preferentially toward one Fe in this geometry. In a symmetric structure they'd split evenly.</w:t>
      </w:r>
    </w:p>
    <w:p w14:paraId="7CC0F58D" w14:textId="77777777" w:rsidR="001C08C6" w:rsidRPr="001C08C6" w:rsidRDefault="001C08C6" w:rsidP="001C08C6">
      <w:pPr>
        <w:rPr>
          <w:sz w:val="22"/>
          <w:szCs w:val="22"/>
        </w:rPr>
      </w:pPr>
      <w:r w:rsidRPr="001C08C6">
        <w:rPr>
          <w:b/>
          <w:bCs/>
          <w:sz w:val="22"/>
          <w:szCs w:val="22"/>
        </w:rPr>
        <w:t>Cross-node fraction</w:t>
      </w:r>
      <w:r w:rsidRPr="001C08C6">
        <w:rPr>
          <w:sz w:val="22"/>
          <w:szCs w:val="22"/>
        </w:rPr>
        <w:t xml:space="preserve"> — </w:t>
      </w:r>
      <w:r w:rsidRPr="001C08C6">
        <w:rPr>
          <w:b/>
          <w:bCs/>
          <w:sz w:val="22"/>
          <w:szCs w:val="22"/>
        </w:rPr>
        <w:t>76.5%</w:t>
      </w:r>
      <w:r w:rsidRPr="001C08C6">
        <w:rPr>
          <w:sz w:val="22"/>
          <w:szCs w:val="22"/>
        </w:rPr>
        <w:t xml:space="preserve"> (104 of 136 terms are cross-node). This is the most interesting result. I expected ~30%, got 76.5%. The physical reason: the bridging sulfides mediate strong Fe1↔Fe2 superexchange, and the Foster-Boys localisation can't cleanly separate the two centres because the Fe-S-Fe pathway is fundamentally delocalised. This means the distributed architecture has to handle a LOT of Bell pair communication not a failure, but it quantifies the actual cost.</w:t>
      </w:r>
    </w:p>
    <w:p w14:paraId="11992CD8" w14:textId="77777777" w:rsidR="001C08C6" w:rsidRPr="001C08C6" w:rsidRDefault="001C08C6" w:rsidP="001C08C6">
      <w:pPr>
        <w:rPr>
          <w:sz w:val="22"/>
          <w:szCs w:val="22"/>
        </w:rPr>
      </w:pPr>
      <w:r w:rsidRPr="001C08C6">
        <w:rPr>
          <w:b/>
          <w:bCs/>
          <w:sz w:val="22"/>
          <w:szCs w:val="22"/>
        </w:rPr>
        <w:lastRenderedPageBreak/>
        <w:t>Fisher information allocation</w:t>
      </w:r>
      <w:r w:rsidRPr="001C08C6">
        <w:rPr>
          <w:sz w:val="22"/>
          <w:szCs w:val="22"/>
        </w:rPr>
        <w:t xml:space="preserve"> — with the imbalanced partition (Node A: 29 local Paulis × 10 Trotter = T=290 gates; Node B: only 3 local Paulis × 10 = T=30 gates), the optimizer pushed nearly everything to Node B: </w:t>
      </w:r>
      <w:r w:rsidRPr="001C08C6">
        <w:rPr>
          <w:b/>
          <w:bCs/>
          <w:sz w:val="22"/>
          <w:szCs w:val="22"/>
        </w:rPr>
        <w:t>1 ancilla on Node A, 11 on Node B</w:t>
      </w:r>
      <w:r w:rsidRPr="001C08C6">
        <w:rPr>
          <w:sz w:val="22"/>
          <w:szCs w:val="22"/>
        </w:rPr>
        <w:t>. The QFI gain over uniform is 88.5%. This is the correct mathematical result given those gate counts, but it exposes that the partition needs rebalancing to get a physically useful 2-node split.</w:t>
      </w:r>
    </w:p>
    <w:p w14:paraId="3C5A0F72" w14:textId="77777777" w:rsidR="001C08C6" w:rsidRPr="001C08C6" w:rsidRDefault="001C08C6" w:rsidP="001C08C6">
      <w:pPr>
        <w:rPr>
          <w:sz w:val="22"/>
          <w:szCs w:val="22"/>
        </w:rPr>
      </w:pPr>
      <w:r w:rsidRPr="001C08C6">
        <w:rPr>
          <w:b/>
          <w:bCs/>
          <w:sz w:val="22"/>
          <w:szCs w:val="22"/>
        </w:rPr>
        <w:t>IQPE resolution</w:t>
      </w:r>
      <w:r w:rsidRPr="001C08C6">
        <w:rPr>
          <w:sz w:val="22"/>
          <w:szCs w:val="22"/>
        </w:rPr>
        <w:t xml:space="preserve"> — the 8-bit phase resolution over the 4.43 Ha energy window gives only </w:t>
      </w:r>
      <w:r w:rsidRPr="001C08C6">
        <w:rPr>
          <w:b/>
          <w:bCs/>
          <w:sz w:val="22"/>
          <w:szCs w:val="22"/>
        </w:rPr>
        <w:t>17.31 mHa</w:t>
      </w:r>
      <w:r w:rsidRPr="001C08C6">
        <w:rPr>
          <w:sz w:val="22"/>
          <w:szCs w:val="22"/>
        </w:rPr>
        <w:t>, far above the 1.6 mHa chemical accuracy threshold. The cell flagged this explicitly: Sufficient? : False. You need either ~12 bits (2^12 = 4096 phase bins over 4.43 Ha → 1.08 mHa) or a narrower energy window centred tighter on the ground state.</w:t>
      </w:r>
    </w:p>
    <w:p w14:paraId="69F3EB4C" w14:textId="77777777" w:rsidR="00913612" w:rsidRPr="001C08C6" w:rsidRDefault="00913612">
      <w:pPr>
        <w:rPr>
          <w:sz w:val="22"/>
          <w:szCs w:val="22"/>
        </w:rPr>
      </w:pPr>
    </w:p>
    <w:sectPr w:rsidR="00913612" w:rsidRPr="001C08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8C6"/>
    <w:rsid w:val="001B0464"/>
    <w:rsid w:val="001C08C6"/>
    <w:rsid w:val="00913612"/>
    <w:rsid w:val="009E6393"/>
    <w:rsid w:val="00F534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9D0E3"/>
  <w15:chartTrackingRefBased/>
  <w15:docId w15:val="{80EC45B7-F47F-474C-9CD7-7AA1C75DA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0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0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8C6"/>
    <w:rPr>
      <w:rFonts w:eastAsiaTheme="majorEastAsia" w:cstheme="majorBidi"/>
      <w:color w:val="272727" w:themeColor="text1" w:themeTint="D8"/>
    </w:rPr>
  </w:style>
  <w:style w:type="paragraph" w:styleId="Title">
    <w:name w:val="Title"/>
    <w:basedOn w:val="Normal"/>
    <w:next w:val="Normal"/>
    <w:link w:val="TitleChar"/>
    <w:uiPriority w:val="10"/>
    <w:qFormat/>
    <w:rsid w:val="001C0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8C6"/>
    <w:pPr>
      <w:spacing w:before="160"/>
      <w:jc w:val="center"/>
    </w:pPr>
    <w:rPr>
      <w:i/>
      <w:iCs/>
      <w:color w:val="404040" w:themeColor="text1" w:themeTint="BF"/>
    </w:rPr>
  </w:style>
  <w:style w:type="character" w:customStyle="1" w:styleId="QuoteChar">
    <w:name w:val="Quote Char"/>
    <w:basedOn w:val="DefaultParagraphFont"/>
    <w:link w:val="Quote"/>
    <w:uiPriority w:val="29"/>
    <w:rsid w:val="001C08C6"/>
    <w:rPr>
      <w:i/>
      <w:iCs/>
      <w:color w:val="404040" w:themeColor="text1" w:themeTint="BF"/>
    </w:rPr>
  </w:style>
  <w:style w:type="paragraph" w:styleId="ListParagraph">
    <w:name w:val="List Paragraph"/>
    <w:basedOn w:val="Normal"/>
    <w:uiPriority w:val="34"/>
    <w:qFormat/>
    <w:rsid w:val="001C08C6"/>
    <w:pPr>
      <w:ind w:left="720"/>
      <w:contextualSpacing/>
    </w:pPr>
  </w:style>
  <w:style w:type="character" w:styleId="IntenseEmphasis">
    <w:name w:val="Intense Emphasis"/>
    <w:basedOn w:val="DefaultParagraphFont"/>
    <w:uiPriority w:val="21"/>
    <w:qFormat/>
    <w:rsid w:val="001C08C6"/>
    <w:rPr>
      <w:i/>
      <w:iCs/>
      <w:color w:val="0F4761" w:themeColor="accent1" w:themeShade="BF"/>
    </w:rPr>
  </w:style>
  <w:style w:type="paragraph" w:styleId="IntenseQuote">
    <w:name w:val="Intense Quote"/>
    <w:basedOn w:val="Normal"/>
    <w:next w:val="Normal"/>
    <w:link w:val="IntenseQuoteChar"/>
    <w:uiPriority w:val="30"/>
    <w:qFormat/>
    <w:rsid w:val="001C0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8C6"/>
    <w:rPr>
      <w:i/>
      <w:iCs/>
      <w:color w:val="0F4761" w:themeColor="accent1" w:themeShade="BF"/>
    </w:rPr>
  </w:style>
  <w:style w:type="character" w:styleId="IntenseReference">
    <w:name w:val="Intense Reference"/>
    <w:basedOn w:val="DefaultParagraphFont"/>
    <w:uiPriority w:val="32"/>
    <w:qFormat/>
    <w:rsid w:val="001C08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584</Words>
  <Characters>3217</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Gantayat</dc:creator>
  <cp:keywords/>
  <dc:description/>
  <cp:lastModifiedBy>Nandini Gantayat</cp:lastModifiedBy>
  <cp:revision>1</cp:revision>
  <dcterms:created xsi:type="dcterms:W3CDTF">2026-05-16T18:50:00Z</dcterms:created>
  <dcterms:modified xsi:type="dcterms:W3CDTF">2026-05-16T18:51:00Z</dcterms:modified>
</cp:coreProperties>
</file>