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Arial" w:cs="Arial"/>
          <w:b/>
          <w:bCs/>
          <w:color w:val="1A1A2E"/>
          <w:sz w:val="40"/>
          <w:szCs w:val="40"/>
        </w:rPr>
        <w:t>Reliable Rejection Under Degradation</w:t>
      </w:r>
    </w:p>
    <w:p>
      <w:pPr>
        <w:pStyle w:val="Normal"/>
        <w:spacing w:before="0" w:after="200"/>
        <w:rPr/>
      </w:pPr>
      <w:r>
        <w:rPr>
          <w:rFonts w:eastAsia="Arial" w:cs="Arial"/>
          <w:color w:val="555555"/>
          <w:sz w:val="22"/>
          <w:szCs w:val="22"/>
        </w:rPr>
        <w:t>A Confidence Calibration Study of Verification and Classification Paradigms in Open-Set Face Recognition</w:t>
      </w:r>
    </w:p>
    <w:p>
      <w:pPr>
        <w:pStyle w:val="Normal"/>
        <w:pBdr>
          <w:bottom w:val="single" w:sz="8" w:space="1" w:color="1A1A2E"/>
        </w:pBdr>
        <w:spacing w:before="0" w:after="24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A1A2E" w:val="clear"/>
          </w:tcPr>
          <w:p>
            <w:pPr>
              <w:pStyle w:val="Normal"/>
              <w:widowControl w:val="false"/>
              <w:rPr/>
            </w:pPr>
            <w:r>
              <w:rPr>
                <w:rFonts w:eastAsia="Arial" w:cs="Arial"/>
                <w:b/>
                <w:bCs/>
                <w:color w:val="FFFFFF"/>
                <w:sz w:val="22"/>
                <w:szCs w:val="22"/>
              </w:rPr>
              <w:t>Benchmarking &amp; Analysis</w:t>
            </w:r>
          </w:p>
        </w:tc>
      </w:tr>
      <w:tr>
        <w:trPr/>
        <w:tc>
          <w:tcPr>
            <w:tcW w:w="9360" w:type="dxa"/>
            <w:tcBorders>
              <w:top w:val="single" w:sz="2" w:space="0" w:color="CCCCCC"/>
              <w:left w:val="single" w:sz="2" w:space="0" w:color="CCCCCC"/>
              <w:bottom w:val="single" w:sz="2" w:space="0" w:color="CCCCCC"/>
              <w:right w:val="single" w:sz="2" w:space="0" w:color="CCCCCC"/>
            </w:tcBorders>
            <w:shd w:fill="E8F0FE" w:val="clear"/>
          </w:tcPr>
          <w:p>
            <w:pPr>
              <w:pStyle w:val="Normal"/>
              <w:widowControl w:val="false"/>
              <w:jc w:val="both"/>
              <w:rPr/>
            </w:pPr>
            <w:r>
              <w:rPr>
                <w:rFonts w:eastAsia="Arial" w:cs="Arial"/>
                <w:color w:val="2D2D2D"/>
                <w:sz w:val="21"/>
                <w:szCs w:val="21"/>
              </w:rPr>
              <w:t>This is a controlled empirical analysis — no new model, loss function, or architecture is proposed. The work isolates the decision layer as the sole variable under degradation, something existing literature has not done. The contribution is measurement and insight, not invention.</w:t>
            </w:r>
          </w:p>
        </w:tc>
      </w:tr>
    </w:tbl>
    <w:p>
      <w:pPr>
        <w:pStyle w:val="Normal"/>
        <w:spacing w:before="0" w:after="200"/>
        <w:rPr/>
      </w:pPr>
      <w:r>
        <w:rPr/>
      </w:r>
    </w:p>
    <w:p>
      <w:pPr>
        <w:pStyle w:val="Normal"/>
        <w:pBdr>
          <w:bottom w:val="single" w:sz="6" w:space="4" w:color="1A1A2E"/>
        </w:pBdr>
        <w:spacing w:before="280" w:after="80"/>
        <w:rPr/>
      </w:pPr>
      <w:r>
        <w:rPr>
          <w:rFonts w:eastAsia="Arial" w:cs="Arial"/>
          <w:b/>
          <w:bCs/>
          <w:color w:val="1A1A2E"/>
          <w:sz w:val="28"/>
          <w:szCs w:val="28"/>
        </w:rPr>
        <w:t>Problem</w:t>
      </w:r>
    </w:p>
    <w:p>
      <w:pPr>
        <w:pStyle w:val="Normal"/>
        <w:spacing w:before="0" w:after="80"/>
        <w:jc w:val="both"/>
        <w:rPr/>
      </w:pPr>
      <w:r>
        <w:rPr>
          <w:rFonts w:eastAsia="Arial" w:cs="Arial"/>
          <w:sz w:val="21"/>
          <w:szCs w:val="21"/>
        </w:rPr>
        <w:t xml:space="preserve">In real-world face recognition systems, probe images are often degraded — blurry, compressed, or low resolution. The system must also handle </w:t>
      </w:r>
      <w:r>
        <w:rPr>
          <w:rFonts w:eastAsia="Arial" w:cs="Arial"/>
          <w:b/>
          <w:bCs/>
          <w:sz w:val="21"/>
          <w:szCs w:val="21"/>
        </w:rPr>
        <w:t>unknown people (open-set)</w:t>
      </w:r>
      <w:r>
        <w:rPr>
          <w:rFonts w:eastAsia="Arial" w:cs="Arial"/>
          <w:sz w:val="21"/>
          <w:szCs w:val="21"/>
        </w:rPr>
        <w:t xml:space="preserve"> — people not enrolled in the database.</w:t>
      </w:r>
    </w:p>
    <w:p>
      <w:pPr>
        <w:pStyle w:val="Normal"/>
        <w:spacing w:before="0" w:after="80"/>
        <w:rPr/>
      </w:pPr>
      <w:r>
        <w:rPr/>
      </w:r>
    </w:p>
    <w:p>
      <w:pPr>
        <w:pStyle w:val="Normal"/>
        <w:spacing w:before="0" w:after="80"/>
        <w:jc w:val="both"/>
        <w:rPr/>
      </w:pPr>
      <w:r>
        <w:rPr>
          <w:rFonts w:eastAsia="Arial" w:cs="Arial"/>
          <w:b/>
          <w:bCs/>
          <w:sz w:val="21"/>
          <w:szCs w:val="21"/>
        </w:rPr>
        <w:t>Two paradigms, same ArcFace backbone:</w:t>
      </w:r>
    </w:p>
    <w:p>
      <w:pPr>
        <w:pStyle w:val="ListParagraph"/>
        <w:numPr>
          <w:ilvl w:val="0"/>
          <w:numId w:val="6"/>
        </w:numPr>
        <w:spacing w:before="0" w:after="60"/>
        <w:rPr/>
      </w:pPr>
      <w:r>
        <w:rPr>
          <w:rFonts w:eastAsia="Arial" w:cs="Arial"/>
          <w:b/>
          <w:bCs/>
          <w:sz w:val="21"/>
          <w:szCs w:val="21"/>
        </w:rPr>
        <w:t>Verification</w:t>
      </w:r>
      <w:r>
        <w:rPr>
          <w:rFonts w:eastAsia="Arial" w:cs="Arial"/>
          <w:sz w:val="21"/>
          <w:szCs w:val="21"/>
        </w:rPr>
        <w:t xml:space="preserve"> — cosine similarity score between probe and gallery embedding</w:t>
      </w:r>
    </w:p>
    <w:p>
      <w:pPr>
        <w:pStyle w:val="ListParagraph"/>
        <w:numPr>
          <w:ilvl w:val="0"/>
          <w:numId w:val="7"/>
        </w:numPr>
        <w:spacing w:before="0" w:after="60"/>
        <w:rPr/>
      </w:pPr>
      <w:r>
        <w:rPr>
          <w:rFonts w:eastAsia="Arial" w:cs="Arial"/>
          <w:b/>
          <w:bCs/>
          <w:sz w:val="21"/>
          <w:szCs w:val="21"/>
        </w:rPr>
        <w:t>Classifier</w:t>
      </w:r>
      <w:r>
        <w:rPr>
          <w:rFonts w:eastAsia="Arial" w:cs="Arial"/>
          <w:sz w:val="21"/>
          <w:szCs w:val="21"/>
        </w:rPr>
        <w:t xml:space="preserve"> — trained on embeddings, outputs a confidence score per class</w:t>
      </w:r>
    </w:p>
    <w:p>
      <w:pPr>
        <w:pStyle w:val="Normal"/>
        <w:spacing w:before="0" w:after="80"/>
        <w:rPr/>
      </w:pPr>
      <w:r>
        <w:rPr/>
      </w:r>
    </w:p>
    <w:p>
      <w:pPr>
        <w:pStyle w:val="Normal"/>
        <w:spacing w:before="0" w:after="80"/>
        <w:jc w:val="both"/>
        <w:rPr/>
      </w:pPr>
      <w:r>
        <w:rPr>
          <w:rFonts w:eastAsia="Arial" w:cs="Arial"/>
          <w:sz w:val="21"/>
          <w:szCs w:val="21"/>
        </w:rPr>
        <w:t>Both can reject inputs by thresholding their score. The core question is:</w:t>
      </w:r>
    </w:p>
    <w:p>
      <w:pPr>
        <w:pStyle w:val="Normal"/>
        <w:spacing w:before="0" w:after="8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4A6FA5"/>
              <w:left w:val="single" w:sz="24" w:space="0" w:color="4A6FA5"/>
              <w:bottom w:val="single" w:sz="4" w:space="0" w:color="4A6FA5"/>
            </w:tcBorders>
            <w:shd w:fill="F0F4FF" w:val="clear"/>
          </w:tcPr>
          <w:p>
            <w:pPr>
              <w:pStyle w:val="Normal"/>
              <w:widowControl w:val="false"/>
              <w:jc w:val="both"/>
              <w:rPr/>
            </w:pPr>
            <w:r>
              <w:rPr>
                <w:rFonts w:eastAsia="Arial" w:cs="Arial"/>
                <w:i/>
                <w:iCs/>
                <w:color w:val="1A1A2E"/>
                <w:sz w:val="22"/>
                <w:szCs w:val="22"/>
              </w:rPr>
              <w:t>When the probe image is degraded and the person is unknown — whose confidence score is still trustworthy as a rejection signal?</w:t>
            </w:r>
          </w:p>
        </w:tc>
      </w:tr>
    </w:tbl>
    <w:p>
      <w:pPr>
        <w:pStyle w:val="Normal"/>
        <w:spacing w:before="0" w:after="200"/>
        <w:rPr/>
      </w:pPr>
      <w:r>
        <w:rPr/>
      </w:r>
    </w:p>
    <w:p>
      <w:pPr>
        <w:pStyle w:val="Normal"/>
        <w:pBdr>
          <w:bottom w:val="single" w:sz="6" w:space="4" w:color="1A1A2E"/>
        </w:pBdr>
        <w:spacing w:before="280" w:after="80"/>
        <w:rPr/>
      </w:pPr>
      <w:r>
        <w:rPr>
          <w:rFonts w:eastAsia="Arial" w:cs="Arial"/>
          <w:b/>
          <w:bCs/>
          <w:color w:val="1A1A2E"/>
          <w:sz w:val="28"/>
          <w:szCs w:val="28"/>
        </w:rPr>
        <w:t>Core Hypothesis</w:t>
      </w:r>
    </w:p>
    <w:p>
      <w:pPr>
        <w:pStyle w:val="Normal"/>
        <w:spacing w:before="0" w:after="80"/>
        <w:jc w:val="both"/>
        <w:rPr/>
      </w:pPr>
      <w:r>
        <w:rPr>
          <w:rFonts w:eastAsia="Arial" w:cs="Arial"/>
          <w:sz w:val="21"/>
          <w:szCs w:val="21"/>
        </w:rPr>
        <w:t xml:space="preserve">Cosine similarity degrades </w:t>
      </w:r>
      <w:r>
        <w:rPr>
          <w:rFonts w:eastAsia="Arial" w:cs="Arial"/>
          <w:b/>
          <w:bCs/>
          <w:sz w:val="21"/>
          <w:szCs w:val="21"/>
        </w:rPr>
        <w:t>predictably</w:t>
      </w:r>
      <w:r>
        <w:rPr>
          <w:rFonts w:eastAsia="Arial" w:cs="Arial"/>
          <w:sz w:val="21"/>
          <w:szCs w:val="21"/>
        </w:rPr>
        <w:t xml:space="preserve"> — as image quality worsens, the similarity score drops. You can trust it as a rejection signal.</w:t>
      </w:r>
    </w:p>
    <w:p>
      <w:pPr>
        <w:pStyle w:val="Normal"/>
        <w:spacing w:before="0" w:after="60"/>
        <w:rPr/>
      </w:pPr>
      <w:r>
        <w:rPr/>
      </w:r>
    </w:p>
    <w:p>
      <w:pPr>
        <w:pStyle w:val="Normal"/>
        <w:spacing w:before="0" w:after="80"/>
        <w:jc w:val="both"/>
        <w:rPr/>
      </w:pPr>
      <w:r>
        <w:rPr>
          <w:rFonts w:eastAsia="Arial" w:cs="Arial"/>
          <w:sz w:val="21"/>
          <w:szCs w:val="21"/>
        </w:rPr>
        <w:t xml:space="preserve">Classifier confidence degrades </w:t>
      </w:r>
      <w:r>
        <w:rPr>
          <w:rFonts w:eastAsia="Arial" w:cs="Arial"/>
          <w:b/>
          <w:bCs/>
          <w:sz w:val="21"/>
          <w:szCs w:val="21"/>
        </w:rPr>
        <w:t>erratically</w:t>
      </w:r>
      <w:r>
        <w:rPr>
          <w:rFonts w:eastAsia="Arial" w:cs="Arial"/>
          <w:sz w:val="21"/>
          <w:szCs w:val="21"/>
        </w:rPr>
        <w:t xml:space="preserve"> — a degraded embedding may drift toward a wrong class boundary, yielding high confidence for an incorrect or unknown identity.</w:t>
      </w:r>
    </w:p>
    <w:p>
      <w:pPr>
        <w:pStyle w:val="Normal"/>
        <w:spacing w:before="0" w:after="200"/>
        <w:rPr/>
      </w:pPr>
      <w:r>
        <w:rPr/>
      </w:r>
    </w:p>
    <w:p>
      <w:pPr>
        <w:pStyle w:val="Normal"/>
        <w:pBdr>
          <w:bottom w:val="single" w:sz="6" w:space="4" w:color="1A1A2E"/>
        </w:pBdr>
        <w:spacing w:before="280" w:after="80"/>
        <w:rPr/>
      </w:pPr>
      <w:r>
        <w:rPr>
          <w:rFonts w:eastAsia="Arial" w:cs="Arial"/>
          <w:b/>
          <w:bCs/>
          <w:color w:val="1A1A2E"/>
          <w:sz w:val="28"/>
          <w:szCs w:val="28"/>
        </w:rPr>
        <w:t>Novelty: What Existing Work Does vs. What This Study Does</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A1A2E" w:val="clear"/>
            <w:vAlign w:val="center"/>
          </w:tcPr>
          <w:p>
            <w:pPr>
              <w:pStyle w:val="Normal"/>
              <w:widowControl w:val="false"/>
              <w:jc w:val="left"/>
              <w:rPr/>
            </w:pPr>
            <w:r>
              <w:rPr>
                <w:rFonts w:eastAsia="Arial" w:cs="Arial"/>
                <w:b/>
                <w:bCs/>
                <w:color w:val="FFFFFF"/>
                <w:sz w:val="19"/>
                <w:szCs w:val="19"/>
              </w:rPr>
              <w:t>Typical Paper</w:t>
            </w:r>
          </w:p>
        </w:tc>
        <w:tc>
          <w:tcPr>
            <w:tcW w:w="4679" w:type="dxa"/>
            <w:tcBorders>
              <w:top w:val="single" w:sz="2" w:space="0" w:color="CCCCCC"/>
              <w:left w:val="single" w:sz="2" w:space="0" w:color="CCCCCC"/>
              <w:bottom w:val="single" w:sz="2" w:space="0" w:color="CCCCCC"/>
              <w:right w:val="single" w:sz="2" w:space="0" w:color="CCCCCC"/>
            </w:tcBorders>
            <w:shd w:fill="1A1A2E" w:val="clear"/>
            <w:vAlign w:val="center"/>
          </w:tcPr>
          <w:p>
            <w:pPr>
              <w:pStyle w:val="Normal"/>
              <w:widowControl w:val="false"/>
              <w:jc w:val="left"/>
              <w:rPr/>
            </w:pPr>
            <w:r>
              <w:rPr>
                <w:rFonts w:eastAsia="Arial" w:cs="Arial"/>
                <w:b/>
                <w:bCs/>
                <w:color w:val="FFFFFF"/>
                <w:sz w:val="19"/>
                <w:szCs w:val="19"/>
              </w:rPr>
              <w:t>This Paper</w:t>
            </w:r>
          </w:p>
        </w:tc>
      </w:tr>
      <w:tr>
        <w:trPr/>
        <w:tc>
          <w:tcPr>
            <w:tcW w:w="4680"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Proposes a new model to reduce FAR</w:t>
            </w:r>
          </w:p>
        </w:tc>
        <w:tc>
          <w:tcPr>
            <w:tcW w:w="4679"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Shows which existing paradigm's confidence is more reliable — no new model</w:t>
            </w:r>
          </w:p>
        </w:tc>
      </w:tr>
      <w:tr>
        <w:trPr/>
        <w:tc>
          <w:tcPr>
            <w:tcW w:w="468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Fonts w:eastAsia="Arial" w:cs="Arial"/>
                <w:b w:val="false"/>
                <w:bCs w:val="false"/>
                <w:color w:val="000000"/>
                <w:sz w:val="19"/>
                <w:szCs w:val="19"/>
              </w:rPr>
              <w:t>Tests full system as a black box</w:t>
            </w:r>
          </w:p>
        </w:tc>
        <w:tc>
          <w:tcPr>
            <w:tcW w:w="467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Fonts w:eastAsia="Arial" w:cs="Arial"/>
                <w:b w:val="false"/>
                <w:bCs w:val="false"/>
                <w:color w:val="000000"/>
                <w:sz w:val="19"/>
                <w:szCs w:val="19"/>
              </w:rPr>
              <w:t>Isolates decision layer as sole variable — same backbone, same embeddings</w:t>
            </w:r>
          </w:p>
        </w:tc>
      </w:tr>
      <w:tr>
        <w:trPr/>
        <w:tc>
          <w:tcPr>
            <w:tcW w:w="4680"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Conflates backbone vs. decision layer degradation</w:t>
            </w:r>
          </w:p>
        </w:tc>
        <w:tc>
          <w:tcPr>
            <w:tcW w:w="4679"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Controls for backbone — cleanly separates decision strategy effect</w:t>
            </w:r>
          </w:p>
        </w:tc>
      </w:tr>
    </w:tbl>
    <w:p>
      <w:pPr>
        <w:pStyle w:val="Normal"/>
        <w:spacing w:before="0" w:after="200"/>
        <w:rPr/>
      </w:pPr>
      <w:r>
        <w:rPr/>
      </w:r>
    </w:p>
    <w:p>
      <w:pPr>
        <w:pStyle w:val="Normal"/>
        <w:pBdr>
          <w:bottom w:val="single" w:sz="6" w:space="4" w:color="1A1A2E"/>
        </w:pBdr>
        <w:spacing w:before="280" w:after="80"/>
        <w:rPr/>
      </w:pPr>
      <w:r>
        <w:rPr>
          <w:rFonts w:eastAsia="Arial" w:cs="Arial"/>
          <w:b/>
          <w:bCs/>
          <w:color w:val="1A1A2E"/>
          <w:sz w:val="28"/>
          <w:szCs w:val="28"/>
        </w:rPr>
        <w:t>Methodology</w:t>
      </w:r>
    </w:p>
    <w:p>
      <w:pPr>
        <w:pStyle w:val="Normal"/>
        <w:spacing w:before="0" w:after="80"/>
        <w:jc w:val="both"/>
        <w:rPr/>
      </w:pPr>
      <w:r>
        <w:rPr>
          <w:rFonts w:eastAsia="Arial" w:cs="Arial"/>
          <w:b/>
          <w:bCs/>
          <w:sz w:val="21"/>
          <w:szCs w:val="21"/>
        </w:rPr>
        <w:t>Same backbone, frozen. Only the decision layer differs.</w:t>
      </w:r>
    </w:p>
    <w:p>
      <w:pPr>
        <w:pStyle w:val="Normal"/>
        <w:spacing w:before="0" w:after="80"/>
        <w:rPr/>
      </w:pPr>
      <w:r>
        <w:rPr/>
      </w:r>
    </w:p>
    <w:p>
      <w:pPr>
        <w:pStyle w:val="ListParagraph"/>
        <w:numPr>
          <w:ilvl w:val="0"/>
          <w:numId w:val="8"/>
        </w:numPr>
        <w:spacing w:before="0" w:after="60"/>
        <w:rPr/>
      </w:pPr>
      <w:r>
        <w:rPr>
          <w:rFonts w:eastAsia="Arial" w:cs="Arial"/>
          <w:sz w:val="21"/>
          <w:szCs w:val="21"/>
        </w:rPr>
        <w:t>Build both systems on the same ArcFace embeddings</w:t>
      </w:r>
    </w:p>
    <w:p>
      <w:pPr>
        <w:pStyle w:val="ListParagraph"/>
        <w:numPr>
          <w:ilvl w:val="0"/>
          <w:numId w:val="9"/>
        </w:numPr>
        <w:spacing w:before="0" w:after="60"/>
        <w:rPr/>
      </w:pPr>
      <w:r>
        <w:rPr>
          <w:rFonts w:eastAsia="Arial" w:cs="Arial"/>
          <w:sz w:val="21"/>
          <w:szCs w:val="21"/>
        </w:rPr>
        <w:t>Degrade only probe images — blur, JPEG compression, resolution downscale. Enrollment stays clean.</w:t>
      </w:r>
    </w:p>
    <w:p>
      <w:pPr>
        <w:pStyle w:val="ListParagraph"/>
        <w:numPr>
          <w:ilvl w:val="0"/>
          <w:numId w:val="10"/>
        </w:numPr>
        <w:spacing w:before="0" w:after="60"/>
        <w:rPr/>
      </w:pPr>
      <w:r>
        <w:rPr>
          <w:rFonts w:eastAsia="Arial" w:cs="Arial"/>
          <w:sz w:val="21"/>
          <w:szCs w:val="21"/>
        </w:rPr>
        <w:t>Run 4 experiments (see table below)</w:t>
      </w:r>
    </w:p>
    <w:p>
      <w:pPr>
        <w:pStyle w:val="ListParagraph"/>
        <w:numPr>
          <w:ilvl w:val="0"/>
          <w:numId w:val="11"/>
        </w:numPr>
        <w:spacing w:before="0" w:after="60"/>
        <w:rPr/>
      </w:pPr>
      <w:r>
        <w:rPr>
          <w:rFonts w:eastAsia="Arial" w:cs="Arial"/>
          <w:sz w:val="21"/>
          <w:szCs w:val="21"/>
        </w:rPr>
        <w:t>Monotonicity test — as degradation increases, does confidence score decrease steadily?</w:t>
      </w:r>
    </w:p>
    <w:p>
      <w:pPr>
        <w:pStyle w:val="Normal"/>
        <w:spacing w:before="0" w:after="120"/>
        <w:rPr/>
      </w:pPr>
      <w:r>
        <w:rPr/>
      </w:r>
    </w:p>
    <w:tbl>
      <w:tblPr>
        <w:tblW w:w="9360" w:type="dxa"/>
        <w:jc w:val="left"/>
        <w:tblInd w:w="0" w:type="dxa"/>
        <w:tblLayout w:type="fixed"/>
        <w:tblCellMar>
          <w:top w:w="80" w:type="dxa"/>
          <w:left w:w="120" w:type="dxa"/>
          <w:bottom w:w="80" w:type="dxa"/>
          <w:right w:w="120" w:type="dxa"/>
        </w:tblCellMar>
      </w:tblPr>
      <w:tblGrid>
        <w:gridCol w:w="2880"/>
        <w:gridCol w:w="4318"/>
        <w:gridCol w:w="2162"/>
      </w:tblGrid>
      <w:tr>
        <w:trPr/>
        <w:tc>
          <w:tcPr>
            <w:tcW w:w="2880" w:type="dxa"/>
            <w:tcBorders>
              <w:top w:val="single" w:sz="2" w:space="0" w:color="CCCCCC"/>
              <w:left w:val="single" w:sz="2" w:space="0" w:color="CCCCCC"/>
              <w:bottom w:val="single" w:sz="2" w:space="0" w:color="CCCCCC"/>
              <w:right w:val="single" w:sz="2" w:space="0" w:color="CCCCCC"/>
            </w:tcBorders>
            <w:shd w:fill="1A1A2E" w:val="clear"/>
            <w:vAlign w:val="center"/>
          </w:tcPr>
          <w:p>
            <w:pPr>
              <w:pStyle w:val="Normal"/>
              <w:widowControl w:val="false"/>
              <w:jc w:val="left"/>
              <w:rPr/>
            </w:pPr>
            <w:r>
              <w:rPr>
                <w:rFonts w:eastAsia="Arial" w:cs="Arial"/>
                <w:b/>
                <w:bCs/>
                <w:color w:val="FFFFFF"/>
                <w:sz w:val="19"/>
                <w:szCs w:val="19"/>
              </w:rPr>
              <w:t>Experiment</w:t>
            </w:r>
          </w:p>
        </w:tc>
        <w:tc>
          <w:tcPr>
            <w:tcW w:w="4318" w:type="dxa"/>
            <w:tcBorders>
              <w:top w:val="single" w:sz="2" w:space="0" w:color="CCCCCC"/>
              <w:left w:val="single" w:sz="2" w:space="0" w:color="CCCCCC"/>
              <w:bottom w:val="single" w:sz="2" w:space="0" w:color="CCCCCC"/>
              <w:right w:val="single" w:sz="2" w:space="0" w:color="CCCCCC"/>
            </w:tcBorders>
            <w:shd w:fill="1A1A2E" w:val="clear"/>
            <w:vAlign w:val="center"/>
          </w:tcPr>
          <w:p>
            <w:pPr>
              <w:pStyle w:val="Normal"/>
              <w:widowControl w:val="false"/>
              <w:jc w:val="left"/>
              <w:rPr/>
            </w:pPr>
            <w:r>
              <w:rPr>
                <w:rFonts w:eastAsia="Arial" w:cs="Arial"/>
                <w:b/>
                <w:bCs/>
                <w:color w:val="FFFFFF"/>
                <w:sz w:val="19"/>
                <w:szCs w:val="19"/>
              </w:rPr>
              <w:t>What It Tests</w:t>
            </w:r>
          </w:p>
        </w:tc>
        <w:tc>
          <w:tcPr>
            <w:tcW w:w="2162" w:type="dxa"/>
            <w:tcBorders>
              <w:top w:val="single" w:sz="2" w:space="0" w:color="CCCCCC"/>
              <w:left w:val="single" w:sz="2" w:space="0" w:color="CCCCCC"/>
              <w:bottom w:val="single" w:sz="2" w:space="0" w:color="CCCCCC"/>
              <w:right w:val="single" w:sz="2" w:space="0" w:color="CCCCCC"/>
            </w:tcBorders>
            <w:shd w:fill="1A1A2E" w:val="clear"/>
            <w:vAlign w:val="center"/>
          </w:tcPr>
          <w:p>
            <w:pPr>
              <w:pStyle w:val="Normal"/>
              <w:widowControl w:val="false"/>
              <w:jc w:val="center"/>
              <w:rPr/>
            </w:pPr>
            <w:r>
              <w:rPr>
                <w:rFonts w:eastAsia="Arial" w:cs="Arial"/>
                <w:b/>
                <w:bCs/>
                <w:color w:val="FFFFFF"/>
                <w:sz w:val="19"/>
                <w:szCs w:val="19"/>
              </w:rPr>
              <w:t>Role</w:t>
            </w:r>
          </w:p>
        </w:tc>
      </w:tr>
      <w:tr>
        <w:trPr/>
        <w:tc>
          <w:tcPr>
            <w:tcW w:w="2880"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Closed-set accuracy</w:t>
            </w:r>
          </w:p>
        </w:tc>
        <w:tc>
          <w:tcPr>
            <w:tcW w:w="4318"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Accuracy on known faces across degradation levels</w:t>
            </w:r>
          </w:p>
        </w:tc>
        <w:tc>
          <w:tcPr>
            <w:tcW w:w="2162"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center"/>
              <w:rPr/>
            </w:pPr>
            <w:r>
              <w:rPr>
                <w:rFonts w:eastAsia="Arial" w:cs="Arial"/>
                <w:b w:val="false"/>
                <w:bCs w:val="false"/>
                <w:color w:val="000000"/>
                <w:sz w:val="19"/>
                <w:szCs w:val="19"/>
              </w:rPr>
              <w:t>Baseline</w:t>
            </w:r>
          </w:p>
        </w:tc>
      </w:tr>
      <w:tr>
        <w:trPr/>
        <w:tc>
          <w:tcPr>
            <w:tcW w:w="288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Fonts w:eastAsia="Arial" w:cs="Arial"/>
                <w:b w:val="false"/>
                <w:bCs w:val="false"/>
                <w:color w:val="000000"/>
                <w:sz w:val="19"/>
                <w:szCs w:val="19"/>
              </w:rPr>
              <w:t>Calibration on known faces</w:t>
            </w:r>
          </w:p>
        </w:tc>
        <w:tc>
          <w:tcPr>
            <w:tcW w:w="4318"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Fonts w:eastAsia="Arial" w:cs="Arial"/>
                <w:b w:val="false"/>
                <w:bCs w:val="false"/>
                <w:color w:val="000000"/>
                <w:sz w:val="19"/>
                <w:szCs w:val="19"/>
              </w:rPr>
              <w:t>Does confidence track accuracy as quality drops?</w:t>
            </w:r>
          </w:p>
        </w:tc>
        <w:tc>
          <w:tcPr>
            <w:tcW w:w="2162"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center"/>
              <w:rPr/>
            </w:pPr>
            <w:r>
              <w:rPr>
                <w:rFonts w:eastAsia="Arial" w:cs="Arial"/>
                <w:b w:val="false"/>
                <w:bCs w:val="false"/>
                <w:color w:val="000000"/>
                <w:sz w:val="19"/>
                <w:szCs w:val="19"/>
              </w:rPr>
              <w:t>Supporting</w:t>
            </w:r>
          </w:p>
        </w:tc>
      </w:tr>
      <w:tr>
        <w:trPr/>
        <w:tc>
          <w:tcPr>
            <w:tcW w:w="2880" w:type="dxa"/>
            <w:tcBorders>
              <w:top w:val="single" w:sz="2" w:space="0" w:color="CCCCCC"/>
              <w:left w:val="single" w:sz="2" w:space="0" w:color="CCCCCC"/>
              <w:bottom w:val="single" w:sz="2" w:space="0" w:color="CCCCCC"/>
              <w:right w:val="single" w:sz="2" w:space="0" w:color="CCCCCC"/>
            </w:tcBorders>
            <w:shd w:fill="E8F0FE" w:val="clear"/>
            <w:vAlign w:val="center"/>
          </w:tcPr>
          <w:p>
            <w:pPr>
              <w:pStyle w:val="Normal"/>
              <w:widowControl w:val="false"/>
              <w:jc w:val="left"/>
              <w:rPr/>
            </w:pPr>
            <w:r>
              <w:rPr>
                <w:rFonts w:eastAsia="Arial" w:cs="Arial"/>
                <w:b/>
                <w:bCs/>
                <w:color w:val="000000"/>
                <w:sz w:val="19"/>
                <w:szCs w:val="19"/>
              </w:rPr>
              <w:t>Open-set FAR under degradation</w:t>
            </w:r>
          </w:p>
        </w:tc>
        <w:tc>
          <w:tcPr>
            <w:tcW w:w="4318" w:type="dxa"/>
            <w:tcBorders>
              <w:top w:val="single" w:sz="2" w:space="0" w:color="CCCCCC"/>
              <w:left w:val="single" w:sz="2" w:space="0" w:color="CCCCCC"/>
              <w:bottom w:val="single" w:sz="2" w:space="0" w:color="CCCCCC"/>
              <w:right w:val="single" w:sz="2" w:space="0" w:color="CCCCCC"/>
            </w:tcBorders>
            <w:shd w:fill="E8F0FE" w:val="clear"/>
            <w:vAlign w:val="center"/>
          </w:tcPr>
          <w:p>
            <w:pPr>
              <w:pStyle w:val="Normal"/>
              <w:widowControl w:val="false"/>
              <w:jc w:val="left"/>
              <w:rPr/>
            </w:pPr>
            <w:r>
              <w:rPr>
                <w:rFonts w:eastAsia="Arial" w:cs="Arial"/>
                <w:b w:val="false"/>
                <w:bCs w:val="false"/>
                <w:color w:val="000000"/>
                <w:sz w:val="19"/>
                <w:szCs w:val="19"/>
              </w:rPr>
              <w:t>False acceptance of unknown people at each degradation level</w:t>
            </w:r>
          </w:p>
        </w:tc>
        <w:tc>
          <w:tcPr>
            <w:tcW w:w="2162" w:type="dxa"/>
            <w:tcBorders>
              <w:top w:val="single" w:sz="2" w:space="0" w:color="CCCCCC"/>
              <w:left w:val="single" w:sz="2" w:space="0" w:color="CCCCCC"/>
              <w:bottom w:val="single" w:sz="2" w:space="0" w:color="CCCCCC"/>
              <w:right w:val="single" w:sz="2" w:space="0" w:color="CCCCCC"/>
            </w:tcBorders>
            <w:shd w:fill="E8F0FE" w:val="clear"/>
            <w:vAlign w:val="center"/>
          </w:tcPr>
          <w:p>
            <w:pPr>
              <w:pStyle w:val="Normal"/>
              <w:widowControl w:val="false"/>
              <w:jc w:val="center"/>
              <w:rPr/>
            </w:pPr>
            <w:r>
              <w:rPr>
                <w:rFonts w:eastAsia="Arial" w:cs="Arial"/>
                <w:b/>
                <w:bCs/>
                <w:color w:val="1A1A2E"/>
                <w:sz w:val="19"/>
                <w:szCs w:val="19"/>
              </w:rPr>
              <w:t>CORE</w:t>
            </w:r>
          </w:p>
        </w:tc>
      </w:tr>
      <w:tr>
        <w:trPr/>
        <w:tc>
          <w:tcPr>
            <w:tcW w:w="288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Fonts w:eastAsia="Arial" w:cs="Arial"/>
                <w:b w:val="false"/>
                <w:bCs w:val="false"/>
                <w:color w:val="000000"/>
                <w:sz w:val="19"/>
                <w:szCs w:val="19"/>
              </w:rPr>
              <w:t>Confidence distributions</w:t>
            </w:r>
          </w:p>
        </w:tc>
        <w:tc>
          <w:tcPr>
            <w:tcW w:w="4318"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Fonts w:eastAsia="Arial" w:cs="Arial"/>
                <w:b w:val="false"/>
                <w:bCs w:val="false"/>
                <w:color w:val="000000"/>
                <w:sz w:val="19"/>
                <w:szCs w:val="19"/>
              </w:rPr>
              <w:t>Visual proof of score behavior for known vs unknown</w:t>
            </w:r>
          </w:p>
        </w:tc>
        <w:tc>
          <w:tcPr>
            <w:tcW w:w="2162"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center"/>
              <w:rPr/>
            </w:pPr>
            <w:r>
              <w:rPr>
                <w:rFonts w:eastAsia="Arial" w:cs="Arial"/>
                <w:b w:val="false"/>
                <w:bCs w:val="false"/>
                <w:color w:val="000000"/>
                <w:sz w:val="19"/>
                <w:szCs w:val="19"/>
              </w:rPr>
              <w:t>Supporting</w:t>
            </w:r>
          </w:p>
        </w:tc>
      </w:tr>
    </w:tbl>
    <w:p>
      <w:pPr>
        <w:pStyle w:val="Normal"/>
        <w:spacing w:before="0" w:after="200"/>
        <w:rPr/>
      </w:pPr>
      <w:r>
        <w:rPr/>
      </w:r>
    </w:p>
    <w:p>
      <w:pPr>
        <w:pStyle w:val="Normal"/>
        <w:pBdr>
          <w:bottom w:val="single" w:sz="6" w:space="4" w:color="1A1A2E"/>
        </w:pBdr>
        <w:spacing w:before="280" w:after="80"/>
        <w:rPr/>
      </w:pPr>
      <w:r>
        <w:rPr>
          <w:rFonts w:eastAsia="Arial" w:cs="Arial"/>
          <w:b/>
          <w:bCs/>
          <w:color w:val="1A1A2E"/>
          <w:sz w:val="28"/>
          <w:szCs w:val="28"/>
        </w:rPr>
        <w:t>Central Claim</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4A6FA5"/>
              <w:left w:val="single" w:sz="24" w:space="0" w:color="4A6FA5"/>
              <w:bottom w:val="single" w:sz="4" w:space="0" w:color="4A6FA5"/>
            </w:tcBorders>
            <w:shd w:fill="F0F4FF" w:val="clear"/>
          </w:tcPr>
          <w:p>
            <w:pPr>
              <w:pStyle w:val="Normal"/>
              <w:widowControl w:val="false"/>
              <w:jc w:val="both"/>
              <w:rPr/>
            </w:pPr>
            <w:r>
              <w:rPr>
                <w:rFonts w:eastAsia="Arial" w:cs="Arial"/>
                <w:i/>
                <w:iCs/>
                <w:color w:val="1A1A2E"/>
                <w:sz w:val="22"/>
                <w:szCs w:val="22"/>
              </w:rPr>
              <w:t>Cosine similarity is a more reliable rejection signal than classifier confidence under degraded open-set conditions — despite both systems using identical features.</w:t>
            </w:r>
          </w:p>
        </w:tc>
      </w:tr>
    </w:tbl>
    <w:p>
      <w:pPr>
        <w:pStyle w:val="Normal"/>
        <w:spacing w:before="0" w:after="120"/>
        <w:rPr/>
      </w:pPr>
      <w:r>
        <w:rPr/>
      </w:r>
    </w:p>
    <w:p>
      <w:pPr>
        <w:pStyle w:val="Normal"/>
        <w:spacing w:before="0" w:after="80"/>
        <w:jc w:val="both"/>
        <w:rPr/>
      </w:pPr>
      <w:r>
        <w:rPr>
          <w:rFonts w:eastAsia="Arial" w:cs="Arial"/>
          <w:sz w:val="21"/>
          <w:szCs w:val="21"/>
        </w:rPr>
        <w:t>The monotonicity test is the single most important result: if cosine similarity decreases steadily with degradation for unknown identities but classifier confidence does not, the title claim is proven.</w:t>
      </w:r>
    </w:p>
    <w:p>
      <w:pPr>
        <w:pStyle w:val="Normal"/>
        <w:spacing w:before="0" w:after="200"/>
        <w:rPr/>
      </w:pPr>
      <w:r>
        <w:rPr/>
      </w:r>
    </w:p>
    <w:p>
      <w:pPr>
        <w:pStyle w:val="Normal"/>
        <w:pBdr>
          <w:bottom w:val="single" w:sz="8" w:space="1" w:color="1A1A2E"/>
        </w:pBdr>
        <w:spacing w:before="0" w:after="200"/>
        <w:rPr/>
      </w:pPr>
      <w:r>
        <w:rPr/>
      </w:r>
    </w:p>
    <w:p>
      <w:pPr>
        <w:pStyle w:val="Normal"/>
        <w:pBdr>
          <w:bottom w:val="single" w:sz="6" w:space="4" w:color="1A1A2E"/>
        </w:pBdr>
        <w:spacing w:before="280" w:after="80"/>
        <w:rPr/>
      </w:pPr>
      <w:r>
        <w:rPr>
          <w:rFonts w:eastAsia="Arial" w:cs="Arial"/>
          <w:b/>
          <w:bCs/>
          <w:color w:val="1A1A2E"/>
          <w:sz w:val="28"/>
          <w:szCs w:val="28"/>
        </w:rPr>
        <w:t>Appendix: Open-Set FAR Under Degradation — Explained</w:t>
      </w:r>
    </w:p>
    <w:p>
      <w:pPr>
        <w:pStyle w:val="Normal"/>
        <w:spacing w:before="0" w:after="80"/>
        <w:jc w:val="both"/>
        <w:rPr/>
      </w:pPr>
      <w:r>
        <w:rPr>
          <w:rFonts w:eastAsia="Arial" w:cs="Arial"/>
          <w:sz w:val="21"/>
          <w:szCs w:val="21"/>
        </w:rPr>
        <w:t xml:space="preserve">Open-set FAR under degradation refers to the </w:t>
      </w:r>
      <w:r>
        <w:rPr>
          <w:rFonts w:eastAsia="Arial" w:cs="Arial"/>
          <w:b/>
          <w:bCs/>
          <w:sz w:val="21"/>
          <w:szCs w:val="21"/>
        </w:rPr>
        <w:t>False Accept Rate (FAR)</w:t>
      </w:r>
      <w:r>
        <w:rPr>
          <w:rFonts w:eastAsia="Arial" w:cs="Arial"/>
          <w:sz w:val="21"/>
          <w:szCs w:val="21"/>
        </w:rPr>
        <w:t xml:space="preserve"> when the system is tested in an open-set scenario using degraded face images. It combines three concepts:</w:t>
      </w:r>
    </w:p>
    <w:p>
      <w:pPr>
        <w:pStyle w:val="Normal"/>
        <w:spacing w:before="0" w:after="80"/>
        <w:rPr/>
      </w:pPr>
      <w:r>
        <w:rPr/>
      </w:r>
    </w:p>
    <w:p>
      <w:pPr>
        <w:pStyle w:val="ListParagraph"/>
        <w:numPr>
          <w:ilvl w:val="0"/>
          <w:numId w:val="12"/>
        </w:numPr>
        <w:spacing w:before="0" w:after="60"/>
        <w:rPr/>
      </w:pPr>
      <w:r>
        <w:rPr>
          <w:rFonts w:eastAsia="Arial" w:cs="Arial"/>
          <w:b/>
          <w:bCs/>
          <w:sz w:val="21"/>
          <w:szCs w:val="21"/>
        </w:rPr>
        <w:t>Open-set face recognition:</w:t>
      </w:r>
      <w:r>
        <w:rPr>
          <w:rFonts w:eastAsia="Arial" w:cs="Arial"/>
          <w:sz w:val="21"/>
          <w:szCs w:val="21"/>
        </w:rPr>
        <w:t xml:space="preserve"> The probe image may belong to a person not enrolled in the gallery. The system must either identify a known person or reject an unknown one.</w:t>
      </w:r>
    </w:p>
    <w:p>
      <w:pPr>
        <w:pStyle w:val="ListParagraph"/>
        <w:numPr>
          <w:ilvl w:val="0"/>
          <w:numId w:val="13"/>
        </w:numPr>
        <w:spacing w:before="0" w:after="60"/>
        <w:rPr/>
      </w:pPr>
      <w:r>
        <w:rPr>
          <w:rFonts w:eastAsia="Arial" w:cs="Arial"/>
          <w:b/>
          <w:bCs/>
          <w:sz w:val="21"/>
          <w:szCs w:val="21"/>
        </w:rPr>
        <w:t>FAR (False Accept Rate):</w:t>
      </w:r>
      <w:r>
        <w:rPr>
          <w:rFonts w:eastAsia="Arial" w:cs="Arial"/>
          <w:sz w:val="21"/>
          <w:szCs w:val="21"/>
        </w:rPr>
        <w:t xml:space="preserve"> The percentage of impostor/unknown faces that are incorrectly accepted as a known enrolled identity.</w:t>
      </w:r>
    </w:p>
    <w:p>
      <w:pPr>
        <w:pStyle w:val="ListParagraph"/>
        <w:numPr>
          <w:ilvl w:val="0"/>
          <w:numId w:val="14"/>
        </w:numPr>
        <w:spacing w:before="0" w:after="60"/>
        <w:rPr/>
      </w:pPr>
      <w:r>
        <w:rPr>
          <w:rFonts w:eastAsia="Arial" w:cs="Arial"/>
          <w:b/>
          <w:bCs/>
          <w:sz w:val="21"/>
          <w:szCs w:val="21"/>
        </w:rPr>
        <w:t>Under degradation:</w:t>
      </w:r>
      <w:r>
        <w:rPr>
          <w:rFonts w:eastAsia="Arial" w:cs="Arial"/>
          <w:sz w:val="21"/>
          <w:szCs w:val="21"/>
        </w:rPr>
        <w:t xml:space="preserve"> Probe images are affected by low resolution, blur, noise, compression artifacts, poor illumination, or occlusion.</w:t>
      </w:r>
    </w:p>
    <w:p>
      <w:pPr>
        <w:pStyle w:val="Normal"/>
        <w:spacing w:before="0" w:after="160"/>
        <w:rPr/>
      </w:pPr>
      <w:r>
        <w:rPr/>
      </w:r>
    </w:p>
    <w:p>
      <w:pPr>
        <w:pStyle w:val="Normal"/>
        <w:spacing w:before="0" w:after="80"/>
        <w:jc w:val="both"/>
        <w:rPr/>
      </w:pPr>
      <w:r>
        <w:rPr>
          <w:rFonts w:eastAsia="Arial" w:cs="Arial"/>
          <w:b/>
          <w:bCs/>
          <w:sz w:val="21"/>
          <w:szCs w:val="21"/>
        </w:rPr>
        <w:t>Example</w:t>
      </w:r>
    </w:p>
    <w:p>
      <w:pPr>
        <w:pStyle w:val="Normal"/>
        <w:spacing w:before="0" w:after="60"/>
        <w:rPr/>
      </w:pPr>
      <w:r>
        <w:rPr/>
      </w:r>
    </w:p>
    <w:tbl>
      <w:tblPr>
        <w:tblW w:w="9360" w:type="dxa"/>
        <w:jc w:val="left"/>
        <w:tblInd w:w="0" w:type="dxa"/>
        <w:tblLayout w:type="fixed"/>
        <w:tblCellMar>
          <w:top w:w="80" w:type="dxa"/>
          <w:left w:w="120" w:type="dxa"/>
          <w:bottom w:w="80" w:type="dxa"/>
          <w:right w:w="120" w:type="dxa"/>
        </w:tblCellMar>
      </w:tblPr>
      <w:tblGrid>
        <w:gridCol w:w="5761"/>
        <w:gridCol w:w="3598"/>
      </w:tblGrid>
      <w:tr>
        <w:trPr/>
        <w:tc>
          <w:tcPr>
            <w:tcW w:w="5761" w:type="dxa"/>
            <w:tcBorders>
              <w:top w:val="single" w:sz="2" w:space="0" w:color="CCCCCC"/>
              <w:left w:val="single" w:sz="2" w:space="0" w:color="CCCCCC"/>
              <w:bottom w:val="single" w:sz="2" w:space="0" w:color="CCCCCC"/>
              <w:right w:val="single" w:sz="2" w:space="0" w:color="CCCCCC"/>
            </w:tcBorders>
            <w:shd w:fill="1A1A2E" w:val="clear"/>
            <w:vAlign w:val="center"/>
          </w:tcPr>
          <w:p>
            <w:pPr>
              <w:pStyle w:val="Normal"/>
              <w:widowControl w:val="false"/>
              <w:jc w:val="left"/>
              <w:rPr/>
            </w:pPr>
            <w:r>
              <w:rPr>
                <w:rFonts w:eastAsia="Arial" w:cs="Arial"/>
                <w:b/>
                <w:bCs/>
                <w:color w:val="FFFFFF"/>
                <w:sz w:val="19"/>
                <w:szCs w:val="19"/>
              </w:rPr>
              <w:t>Parameter</w:t>
            </w:r>
          </w:p>
        </w:tc>
        <w:tc>
          <w:tcPr>
            <w:tcW w:w="3598" w:type="dxa"/>
            <w:tcBorders>
              <w:top w:val="single" w:sz="2" w:space="0" w:color="CCCCCC"/>
              <w:left w:val="single" w:sz="2" w:space="0" w:color="CCCCCC"/>
              <w:bottom w:val="single" w:sz="2" w:space="0" w:color="CCCCCC"/>
              <w:right w:val="single" w:sz="2" w:space="0" w:color="CCCCCC"/>
            </w:tcBorders>
            <w:shd w:fill="1A1A2E" w:val="clear"/>
            <w:vAlign w:val="center"/>
          </w:tcPr>
          <w:p>
            <w:pPr>
              <w:pStyle w:val="Normal"/>
              <w:widowControl w:val="false"/>
              <w:jc w:val="left"/>
              <w:rPr/>
            </w:pPr>
            <w:r>
              <w:rPr>
                <w:rFonts w:eastAsia="Arial" w:cs="Arial"/>
                <w:b/>
                <w:bCs/>
                <w:color w:val="FFFFFF"/>
                <w:sz w:val="19"/>
                <w:szCs w:val="19"/>
              </w:rPr>
              <w:t>Value</w:t>
            </w:r>
          </w:p>
        </w:tc>
      </w:tr>
      <w:tr>
        <w:trPr/>
        <w:tc>
          <w:tcPr>
            <w:tcW w:w="5761"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Enrolled identities in gallery</w:t>
            </w:r>
          </w:p>
        </w:tc>
        <w:tc>
          <w:tcPr>
            <w:tcW w:w="3598"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1,000</w:t>
            </w:r>
          </w:p>
        </w:tc>
      </w:tr>
      <w:tr>
        <w:trPr/>
        <w:tc>
          <w:tcPr>
            <w:tcW w:w="57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Fonts w:eastAsia="Arial" w:cs="Arial"/>
                <w:b w:val="false"/>
                <w:bCs w:val="false"/>
                <w:color w:val="000000"/>
                <w:sz w:val="19"/>
                <w:szCs w:val="19"/>
              </w:rPr>
              <w:t>Test images of unknown people</w:t>
            </w:r>
          </w:p>
        </w:tc>
        <w:tc>
          <w:tcPr>
            <w:tcW w:w="3598"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Fonts w:eastAsia="Arial" w:cs="Arial"/>
                <w:b w:val="false"/>
                <w:bCs w:val="false"/>
                <w:color w:val="000000"/>
                <w:sz w:val="19"/>
                <w:szCs w:val="19"/>
              </w:rPr>
              <w:t>10,000</w:t>
            </w:r>
          </w:p>
        </w:tc>
      </w:tr>
      <w:tr>
        <w:trPr/>
        <w:tc>
          <w:tcPr>
            <w:tcW w:w="5761"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Unknown faces incorrectly accepted</w:t>
            </w:r>
          </w:p>
        </w:tc>
        <w:tc>
          <w:tcPr>
            <w:tcW w:w="3598" w:type="dxa"/>
            <w:tcBorders>
              <w:top w:val="single" w:sz="2" w:space="0" w:color="CCCCCC"/>
              <w:left w:val="single" w:sz="2" w:space="0" w:color="CCCCCC"/>
              <w:bottom w:val="single" w:sz="2" w:space="0" w:color="CCCCCC"/>
              <w:right w:val="single" w:sz="2" w:space="0" w:color="CCCCCC"/>
            </w:tcBorders>
            <w:shd w:fill="F7F9FC" w:val="clear"/>
            <w:vAlign w:val="center"/>
          </w:tcPr>
          <w:p>
            <w:pPr>
              <w:pStyle w:val="Normal"/>
              <w:widowControl w:val="false"/>
              <w:jc w:val="left"/>
              <w:rPr/>
            </w:pPr>
            <w:r>
              <w:rPr>
                <w:rFonts w:eastAsia="Arial" w:cs="Arial"/>
                <w:b w:val="false"/>
                <w:bCs w:val="false"/>
                <w:color w:val="000000"/>
                <w:sz w:val="19"/>
                <w:szCs w:val="19"/>
              </w:rPr>
              <w:t>150</w:t>
            </w:r>
          </w:p>
        </w:tc>
      </w:tr>
      <w:tr>
        <w:trPr/>
        <w:tc>
          <w:tcPr>
            <w:tcW w:w="5761" w:type="dxa"/>
            <w:tcBorders>
              <w:top w:val="single" w:sz="2" w:space="0" w:color="CCCCCC"/>
              <w:left w:val="single" w:sz="2" w:space="0" w:color="CCCCCC"/>
              <w:bottom w:val="single" w:sz="2" w:space="0" w:color="CCCCCC"/>
              <w:right w:val="single" w:sz="2" w:space="0" w:color="CCCCCC"/>
            </w:tcBorders>
            <w:shd w:fill="E8F0FE" w:val="clear"/>
            <w:vAlign w:val="center"/>
          </w:tcPr>
          <w:p>
            <w:pPr>
              <w:pStyle w:val="Normal"/>
              <w:widowControl w:val="false"/>
              <w:jc w:val="left"/>
              <w:rPr/>
            </w:pPr>
            <w:r>
              <w:rPr>
                <w:rFonts w:eastAsia="Arial" w:cs="Arial"/>
                <w:b/>
                <w:bCs/>
                <w:color w:val="000000"/>
                <w:sz w:val="19"/>
                <w:szCs w:val="19"/>
              </w:rPr>
              <w:t>Open-set FAR</w:t>
            </w:r>
          </w:p>
        </w:tc>
        <w:tc>
          <w:tcPr>
            <w:tcW w:w="3598" w:type="dxa"/>
            <w:tcBorders>
              <w:top w:val="single" w:sz="2" w:space="0" w:color="CCCCCC"/>
              <w:left w:val="single" w:sz="2" w:space="0" w:color="CCCCCC"/>
              <w:bottom w:val="single" w:sz="2" w:space="0" w:color="CCCCCC"/>
              <w:right w:val="single" w:sz="2" w:space="0" w:color="CCCCCC"/>
            </w:tcBorders>
            <w:shd w:fill="E8F0FE" w:val="clear"/>
            <w:vAlign w:val="center"/>
          </w:tcPr>
          <w:p>
            <w:pPr>
              <w:pStyle w:val="Normal"/>
              <w:widowControl w:val="false"/>
              <w:jc w:val="left"/>
              <w:rPr/>
            </w:pPr>
            <w:r>
              <w:rPr>
                <w:rFonts w:eastAsia="Arial" w:cs="Arial"/>
                <w:b/>
                <w:bCs/>
                <w:color w:val="000000"/>
                <w:sz w:val="19"/>
                <w:szCs w:val="19"/>
              </w:rPr>
              <w:t>150 / 10,000 = 1.5%</w:t>
            </w:r>
          </w:p>
        </w:tc>
      </w:tr>
    </w:tbl>
    <w:p>
      <w:pPr>
        <w:pStyle w:val="Normal"/>
        <w:spacing w:before="0" w:after="160"/>
        <w:rPr/>
      </w:pPr>
      <w:r>
        <w:rPr/>
      </w:r>
    </w:p>
    <w:p>
      <w:pPr>
        <w:pStyle w:val="Normal"/>
        <w:spacing w:before="0" w:after="80"/>
        <w:jc w:val="both"/>
        <w:rPr/>
      </w:pPr>
      <w:r>
        <w:rPr>
          <w:rFonts w:eastAsia="Arial" w:cs="Arial"/>
          <w:b/>
          <w:bCs/>
          <w:sz w:val="21"/>
          <w:szCs w:val="21"/>
        </w:rPr>
        <w:t>Why It Matters</w:t>
      </w:r>
    </w:p>
    <w:p>
      <w:pPr>
        <w:pStyle w:val="Normal"/>
        <w:spacing w:before="0" w:after="60"/>
        <w:rPr/>
      </w:pPr>
      <w:r>
        <w:rPr/>
      </w:r>
    </w:p>
    <w:p>
      <w:pPr>
        <w:pStyle w:val="Normal"/>
        <w:spacing w:before="0" w:after="80"/>
        <w:jc w:val="both"/>
        <w:rPr/>
      </w:pPr>
      <w:r>
        <w:rPr>
          <w:rFonts w:eastAsia="Arial" w:cs="Arial"/>
          <w:sz w:val="21"/>
          <w:szCs w:val="21"/>
        </w:rPr>
        <w:t xml:space="preserve">A face recognition model may perform well on clean images but show a much higher FAR when images are degraded. Open-set FAR under degradation measures the </w:t>
      </w:r>
      <w:r>
        <w:rPr>
          <w:rFonts w:eastAsia="Arial" w:cs="Arial"/>
          <w:b/>
          <w:bCs/>
          <w:sz w:val="21"/>
          <w:szCs w:val="21"/>
        </w:rPr>
        <w:t>robustness of a system against false matches</w:t>
      </w:r>
      <w:r>
        <w:rPr>
          <w:rFonts w:eastAsia="Arial" w:cs="Arial"/>
          <w:sz w:val="21"/>
          <w:szCs w:val="21"/>
        </w:rPr>
        <w:t xml:space="preserve"> when handling low-quality or manipulated images of unknown individuals. In this research, we specifically study whether the choice of decision strategy — cosine verification vs. classifier — affects how FAR degrades as image quality drops.</w:t>
      </w:r>
    </w:p>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4A6FA5"/>
              <w:left w:val="single" w:sz="24" w:space="0" w:color="4A6FA5"/>
              <w:bottom w:val="single" w:sz="4" w:space="0" w:color="4A6FA5"/>
            </w:tcBorders>
            <w:shd w:fill="F0F4FF" w:val="clear"/>
          </w:tcPr>
          <w:p>
            <w:pPr>
              <w:pStyle w:val="Normal"/>
              <w:widowControl w:val="false"/>
              <w:jc w:val="both"/>
              <w:rPr/>
            </w:pPr>
            <w:r>
              <w:rPr>
                <w:rFonts w:eastAsia="Arial" w:cs="Arial"/>
                <w:i/>
                <w:iCs/>
                <w:color w:val="1A1A2E"/>
                <w:sz w:val="22"/>
                <w:szCs w:val="22"/>
              </w:rPr>
              <w:t>"The proposed method reduces open-set FAR under severe degradation" — this statement, common in papers, directly measures whether unknown people are correctly rejected even when probe image quality is poor.</w:t>
            </w:r>
          </w:p>
        </w:tc>
      </w:tr>
    </w:tbl>
    <w:p>
      <w:pPr>
        <w:pStyle w:val="Normal"/>
        <w:spacing w:before="0" w:after="200"/>
        <w:rPr/>
      </w:pPr>
      <w:r>
        <w:rPr/>
      </w:r>
    </w:p>
    <w:sectPr>
      <w:type w:val="nextPage"/>
      <w:pgSz w:w="12240" w:h="15840"/>
      <w:pgMar w:left="1440" w:right="1440" w:gutter="0" w:header="0" w:top="1440" w:footer="0" w:bottom="144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4"/>
    <w:lvlOverride w:ilvl="0">
      <w:startOverride w:val="1"/>
    </w:lvlOverride>
  </w:num>
  <w:num w:numId="9">
    <w:abstractNumId w:val="4"/>
  </w:num>
  <w:num w:numId="10">
    <w:abstractNumId w:val="4"/>
  </w:num>
  <w:num w:numId="11">
    <w:abstractNumId w:val="4"/>
  </w:num>
  <w:num w:numId="12">
    <w:abstractNumId w:val="3"/>
  </w:num>
  <w:num w:numId="13">
    <w:abstractNumId w:val="3"/>
  </w:num>
  <w:num w:numId="14">
    <w:abstractNumId w:val="3"/>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1"/>
      <w:szCs w:val="21"/>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1"/>
      <w:szCs w:val="21"/>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1"/>
      <w:szCs w:val="21"/>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637</Words>
  <Characters>3742</Characters>
  <CharactersWithSpaces>4322</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2026-06-09T09:17:21Z</dcterms:created>
  <dc:creator>Un-named</dc:creator>
  <dc:description/>
  <dc:language>en-IN</dc:language>
  <cp:lastModifiedBy>Un-named</cp:lastModifiedBy>
  <dcterms:modified xsi:type="dcterms:W3CDTF">2026-06-09T09:17:21Z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