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9C6C" w14:textId="77777777" w:rsidR="000A0C35" w:rsidRDefault="00A32764">
      <w:pPr>
        <w:jc w:val="center"/>
        <w:rPr>
          <w:b/>
          <w:sz w:val="32"/>
        </w:rPr>
      </w:pPr>
      <w:r>
        <w:rPr>
          <w:b/>
          <w:sz w:val="32"/>
        </w:rPr>
        <w:t>ADR IDENTIFICATION BASICS</w:t>
      </w:r>
    </w:p>
    <w:p w14:paraId="3DA8BB51" w14:textId="77777777" w:rsidR="00274388" w:rsidRDefault="00274388">
      <w:pPr>
        <w:jc w:val="center"/>
      </w:pPr>
    </w:p>
    <w:p w14:paraId="66A1D537" w14:textId="77777777" w:rsidR="000A0C35" w:rsidRDefault="00A32764">
      <w:pPr>
        <w:spacing w:before="100" w:after="40"/>
      </w:pPr>
      <w:r>
        <w:rPr>
          <w:b/>
          <w:sz w:val="24"/>
        </w:rPr>
        <w:t>1. Introduction</w:t>
      </w:r>
    </w:p>
    <w:p w14:paraId="697D9417" w14:textId="77777777" w:rsidR="000A0C35" w:rsidRDefault="00A32764">
      <w:pPr>
        <w:spacing w:after="60" w:line="240" w:lineRule="auto"/>
      </w:pPr>
      <w:r>
        <w:t>An Adverse Drug Reaction (ADR) is a harmful, unintended and undesirable response to a medicinal product occurring at normally recommended doses for prevention, diagnosis, treatment or modification of physiological functions. ADR identification is a major component of pharmacovigilance and patient safety. Early recognition helps healthcare professionals prevent complications, provide appropriate treatment and improve the safe use of medicines.</w:t>
      </w:r>
    </w:p>
    <w:p w14:paraId="1C4E7F85" w14:textId="77777777" w:rsidR="0061346B" w:rsidRDefault="0061346B">
      <w:pPr>
        <w:spacing w:after="60" w:line="240" w:lineRule="auto"/>
      </w:pPr>
    </w:p>
    <w:p w14:paraId="11A732E4" w14:textId="77777777" w:rsidR="000A0C35" w:rsidRDefault="00A32764">
      <w:pPr>
        <w:spacing w:before="100" w:after="40"/>
      </w:pPr>
      <w:r>
        <w:rPr>
          <w:b/>
          <w:sz w:val="24"/>
        </w:rPr>
        <w:t>2. Importance of ADR Identification</w:t>
      </w:r>
    </w:p>
    <w:p w14:paraId="565803F5" w14:textId="77777777" w:rsidR="000A0C35" w:rsidRDefault="00A32764">
      <w:pPr>
        <w:pStyle w:val="ListBullet"/>
        <w:spacing w:after="20" w:line="240" w:lineRule="auto"/>
      </w:pPr>
      <w:r>
        <w:t>Protects patients from preventable medication-related harm.</w:t>
      </w:r>
    </w:p>
    <w:p w14:paraId="099CB183" w14:textId="77777777" w:rsidR="000A0C35" w:rsidRDefault="00A32764">
      <w:pPr>
        <w:pStyle w:val="ListBullet"/>
        <w:spacing w:after="20" w:line="240" w:lineRule="auto"/>
      </w:pPr>
      <w:r>
        <w:t>Helps healthcare professionals recognize serious and unexpected reactions early.</w:t>
      </w:r>
    </w:p>
    <w:p w14:paraId="5B52AA75" w14:textId="77777777" w:rsidR="000A0C35" w:rsidRDefault="00A32764">
      <w:pPr>
        <w:pStyle w:val="ListBullet"/>
        <w:spacing w:after="20" w:line="240" w:lineRule="auto"/>
      </w:pPr>
      <w:r>
        <w:t>Supports detection of new safety signals associated with medicines.</w:t>
      </w:r>
    </w:p>
    <w:p w14:paraId="0D62295E" w14:textId="77777777" w:rsidR="000A0C35" w:rsidRDefault="00A32764">
      <w:pPr>
        <w:pStyle w:val="ListBullet"/>
        <w:spacing w:after="20" w:line="240" w:lineRule="auto"/>
      </w:pPr>
      <w:r>
        <w:t>Helps in making appropriate decisions about continuing, changing or stopping therapy.</w:t>
      </w:r>
    </w:p>
    <w:p w14:paraId="09D9ACFB" w14:textId="77777777" w:rsidR="000A0C35" w:rsidRDefault="00A32764">
      <w:pPr>
        <w:pStyle w:val="ListBullet"/>
        <w:spacing w:after="20" w:line="240" w:lineRule="auto"/>
      </w:pPr>
      <w:r>
        <w:t>Improves prescribing, dispensing, monitoring and patient counselling practices.</w:t>
      </w:r>
    </w:p>
    <w:p w14:paraId="7ECDC4A3" w14:textId="77777777" w:rsidR="000A0C35" w:rsidRDefault="00A32764">
      <w:pPr>
        <w:pStyle w:val="ListBullet"/>
        <w:spacing w:after="20" w:line="240" w:lineRule="auto"/>
      </w:pPr>
      <w:r>
        <w:t>Contributes to national and international pharmacovigilance activities.</w:t>
      </w:r>
    </w:p>
    <w:p w14:paraId="3EF9B2C5" w14:textId="77777777" w:rsidR="0061346B" w:rsidRDefault="0061346B" w:rsidP="009C6407">
      <w:pPr>
        <w:pStyle w:val="ListBullet"/>
        <w:numPr>
          <w:ilvl w:val="0"/>
          <w:numId w:val="0"/>
        </w:numPr>
        <w:spacing w:after="20" w:line="240" w:lineRule="auto"/>
        <w:ind w:left="360"/>
      </w:pPr>
    </w:p>
    <w:p w14:paraId="36FDAEE8" w14:textId="77777777" w:rsidR="000A0C35" w:rsidRDefault="00A32764">
      <w:pPr>
        <w:spacing w:before="100" w:after="40"/>
      </w:pPr>
      <w:r>
        <w:rPr>
          <w:b/>
          <w:sz w:val="24"/>
        </w:rPr>
        <w:t>3. Basic Steps in ADR Identification</w:t>
      </w:r>
    </w:p>
    <w:p w14:paraId="3D2BC057" w14:textId="77777777" w:rsidR="000A0C35" w:rsidRDefault="00A32764">
      <w:pPr>
        <w:spacing w:before="100" w:after="40"/>
      </w:pPr>
      <w:r>
        <w:rPr>
          <w:b/>
          <w:sz w:val="24"/>
        </w:rPr>
        <w:t>Step 1: Recognize the Suspected Reaction</w:t>
      </w:r>
    </w:p>
    <w:p w14:paraId="527E9D13" w14:textId="77777777" w:rsidR="000A0C35" w:rsidRDefault="00A32764">
      <w:pPr>
        <w:spacing w:after="60" w:line="240" w:lineRule="auto"/>
      </w:pPr>
      <w:r>
        <w:t>Look for any new or unexpected symptom, clinical sign or abnormal laboratory result that develops during or after drug therapy. Common clues include rash, itching, nausea, vomiting, diarrhea, dizziness, headache, breathing difficulty, facial swelling, bleeding, hypoglycemia and abnormal liver or kidney function tests.</w:t>
      </w:r>
    </w:p>
    <w:p w14:paraId="5E5CC914" w14:textId="77777777" w:rsidR="000A0C35" w:rsidRDefault="00A32764">
      <w:pPr>
        <w:spacing w:before="100" w:after="40"/>
      </w:pPr>
      <w:r>
        <w:rPr>
          <w:b/>
          <w:sz w:val="24"/>
        </w:rPr>
        <w:t>Step 2: Obtain a Complete Medication History</w:t>
      </w:r>
    </w:p>
    <w:p w14:paraId="289AE2AD" w14:textId="77777777" w:rsidR="000A0C35" w:rsidRDefault="00A32764">
      <w:pPr>
        <w:spacing w:after="60" w:line="240" w:lineRule="auto"/>
      </w:pPr>
      <w:r>
        <w:t>Record the generic/brand name, dose, dosage form, route, frequency, start date and duration of treatment. Ask about all prescription medicines, over-the-counter products, herbal preparations and supplements. Previous drug allergies or ADRs should also be documented.</w:t>
      </w:r>
    </w:p>
    <w:p w14:paraId="58F6DB97" w14:textId="77777777" w:rsidR="000A0C35" w:rsidRDefault="00A32764">
      <w:pPr>
        <w:spacing w:before="100" w:after="40"/>
      </w:pPr>
      <w:r>
        <w:rPr>
          <w:b/>
          <w:sz w:val="24"/>
        </w:rPr>
        <w:t>Step 3: Establish the Time Relationship</w:t>
      </w:r>
    </w:p>
    <w:p w14:paraId="11531A68" w14:textId="77777777" w:rsidR="000A0C35" w:rsidRDefault="00A32764">
      <w:pPr>
        <w:spacing w:after="60" w:line="240" w:lineRule="auto"/>
      </w:pPr>
      <w:r>
        <w:t>Determine when the suspected medicine was started and when the reaction appeared. A biologically plausible time relationship strengthens suspicion of an ADR. Also note whether the reaction followed a dose increase, occurred after prolonged exposure, or changed after the suspected drug was stopped.</w:t>
      </w:r>
    </w:p>
    <w:p w14:paraId="3C28C67F" w14:textId="77777777" w:rsidR="000A0C35" w:rsidRDefault="00A32764">
      <w:pPr>
        <w:spacing w:before="100" w:after="40"/>
      </w:pPr>
      <w:r>
        <w:rPr>
          <w:b/>
          <w:sz w:val="24"/>
        </w:rPr>
        <w:t>Step 4: Assess Alternative Causes</w:t>
      </w:r>
    </w:p>
    <w:p w14:paraId="0353D141" w14:textId="77777777" w:rsidR="000A0C35" w:rsidRDefault="00A32764">
      <w:pPr>
        <w:spacing w:after="60" w:line="240" w:lineRule="auto"/>
      </w:pPr>
      <w:r>
        <w:t>Not every medical problem occurring during drug therapy is an ADR. Consider the underlying disease, infections, other medicines, drug-drug or food-drug interactions, alcohol use, and renal or hepatic impairment. The more convincing the alternative explanation, the less likely the medicine is to be the cause.</w:t>
      </w:r>
    </w:p>
    <w:p w14:paraId="33578A31" w14:textId="77777777" w:rsidR="0048581A" w:rsidRDefault="0048581A">
      <w:pPr>
        <w:spacing w:after="60" w:line="240" w:lineRule="auto"/>
      </w:pPr>
    </w:p>
    <w:p w14:paraId="418F594B" w14:textId="77777777" w:rsidR="000A0C35" w:rsidRDefault="00A32764">
      <w:pPr>
        <w:spacing w:before="100" w:after="40"/>
      </w:pPr>
      <w:r>
        <w:rPr>
          <w:b/>
          <w:sz w:val="24"/>
        </w:rPr>
        <w:t>4. Dechallenge and Rechallenge</w:t>
      </w:r>
    </w:p>
    <w:p w14:paraId="3361724F" w14:textId="77777777" w:rsidR="000A0C35" w:rsidRDefault="00A32764">
      <w:pPr>
        <w:spacing w:before="100" w:after="40"/>
      </w:pPr>
      <w:r>
        <w:rPr>
          <w:b/>
          <w:sz w:val="24"/>
        </w:rPr>
        <w:t>Dechallenge</w:t>
      </w:r>
    </w:p>
    <w:p w14:paraId="3C6B05EF" w14:textId="77777777" w:rsidR="000A0C35" w:rsidRDefault="00A32764">
      <w:pPr>
        <w:spacing w:after="60" w:line="240" w:lineRule="auto"/>
      </w:pPr>
      <w:r>
        <w:t>Dechallenge means observing the patient after the suspected medicine is withdrawn or its dose is reduced. Improvement after withdrawal can support a possible drug-related cause, although it does not prove causality because the illness may improve naturally or due to another treatment.</w:t>
      </w:r>
    </w:p>
    <w:p w14:paraId="70CF755E" w14:textId="77777777" w:rsidR="000A0C35" w:rsidRDefault="00A32764">
      <w:pPr>
        <w:spacing w:before="100" w:after="40"/>
      </w:pPr>
      <w:r>
        <w:rPr>
          <w:b/>
          <w:sz w:val="24"/>
        </w:rPr>
        <w:t>Rechallenge</w:t>
      </w:r>
    </w:p>
    <w:p w14:paraId="61D6854B" w14:textId="77777777" w:rsidR="000A0C35" w:rsidRDefault="00A32764">
      <w:pPr>
        <w:spacing w:after="60" w:line="240" w:lineRule="auto"/>
      </w:pPr>
      <w:r>
        <w:t>Rechallenge means the reaction occurs again after the suspected medicine is given again. A positive rechallenge can provide strong evidence of an association. However, intentional rechallenge should generally be avoided after serious or life-threatening reactions because it may endanger the patient.</w:t>
      </w:r>
    </w:p>
    <w:p w14:paraId="580264E1" w14:textId="77777777" w:rsidR="0048581A" w:rsidRDefault="0048581A">
      <w:pPr>
        <w:spacing w:after="60" w:line="240" w:lineRule="auto"/>
      </w:pPr>
    </w:p>
    <w:p w14:paraId="3AECA6C8" w14:textId="77777777" w:rsidR="004F0EAA" w:rsidRDefault="004F0EAA">
      <w:pPr>
        <w:spacing w:before="100" w:after="40"/>
        <w:rPr>
          <w:b/>
          <w:sz w:val="24"/>
        </w:rPr>
      </w:pPr>
    </w:p>
    <w:p w14:paraId="7DC46888" w14:textId="3DFA005C" w:rsidR="000A0C35" w:rsidRDefault="00A32764">
      <w:pPr>
        <w:spacing w:before="100" w:after="40"/>
      </w:pPr>
      <w:r>
        <w:rPr>
          <w:b/>
          <w:sz w:val="24"/>
        </w:rPr>
        <w:t>5. Patient-Specific Risk Factors</w:t>
      </w:r>
    </w:p>
    <w:p w14:paraId="72EB24E3" w14:textId="77777777" w:rsidR="000A0C35" w:rsidRDefault="00A32764">
      <w:pPr>
        <w:pStyle w:val="ListBullet"/>
        <w:spacing w:after="20" w:line="240" w:lineRule="auto"/>
      </w:pPr>
      <w:r>
        <w:t>Extremes of age, particularly children and older adults.</w:t>
      </w:r>
    </w:p>
    <w:p w14:paraId="41F2FF7E" w14:textId="77777777" w:rsidR="000A0C35" w:rsidRDefault="00A32764">
      <w:pPr>
        <w:pStyle w:val="ListBullet"/>
        <w:spacing w:after="20" w:line="240" w:lineRule="auto"/>
      </w:pPr>
      <w:r>
        <w:t>Renal or hepatic impairment affecting drug elimination or metabolism.</w:t>
      </w:r>
    </w:p>
    <w:p w14:paraId="22405553" w14:textId="77777777" w:rsidR="000A0C35" w:rsidRDefault="00A32764">
      <w:pPr>
        <w:pStyle w:val="ListBullet"/>
        <w:spacing w:after="20" w:line="240" w:lineRule="auto"/>
      </w:pPr>
      <w:r>
        <w:t>Polypharmacy and multiple comorbidities.</w:t>
      </w:r>
    </w:p>
    <w:p w14:paraId="19160EBF" w14:textId="77777777" w:rsidR="000A0C35" w:rsidRDefault="00A32764">
      <w:pPr>
        <w:pStyle w:val="ListBullet"/>
        <w:spacing w:after="20" w:line="240" w:lineRule="auto"/>
      </w:pPr>
      <w:r>
        <w:t>Previous history of drug allergy or ADR.</w:t>
      </w:r>
    </w:p>
    <w:p w14:paraId="7E4074B3" w14:textId="77777777" w:rsidR="000A0C35" w:rsidRDefault="00A32764">
      <w:pPr>
        <w:pStyle w:val="ListBullet"/>
        <w:spacing w:after="20" w:line="240" w:lineRule="auto"/>
      </w:pPr>
      <w:r>
        <w:t>Pregnancy and other special patient populations.</w:t>
      </w:r>
    </w:p>
    <w:p w14:paraId="09C9E387" w14:textId="77777777" w:rsidR="000A0C35" w:rsidRDefault="00A32764">
      <w:pPr>
        <w:pStyle w:val="ListBullet"/>
        <w:spacing w:after="20" w:line="240" w:lineRule="auto"/>
      </w:pPr>
      <w:r>
        <w:t>High doses, prolonged therapy or inappropriate drug use.</w:t>
      </w:r>
    </w:p>
    <w:p w14:paraId="212A661F" w14:textId="77777777" w:rsidR="000A0C35" w:rsidRDefault="00A32764">
      <w:pPr>
        <w:pStyle w:val="ListBullet"/>
        <w:spacing w:after="20" w:line="240" w:lineRule="auto"/>
      </w:pPr>
      <w:r>
        <w:t>Relevant genetic or individual susceptibility factors.</w:t>
      </w:r>
    </w:p>
    <w:p w14:paraId="729C6FF3" w14:textId="77777777" w:rsidR="000A0C35" w:rsidRDefault="00A32764">
      <w:r>
        <w:br w:type="page"/>
      </w:r>
    </w:p>
    <w:p w14:paraId="767FC26C" w14:textId="77777777" w:rsidR="000A0C35" w:rsidRDefault="00A32764">
      <w:pPr>
        <w:spacing w:before="100" w:after="40"/>
      </w:pPr>
      <w:r>
        <w:rPr>
          <w:b/>
          <w:sz w:val="24"/>
        </w:rPr>
        <w:lastRenderedPageBreak/>
        <w:t>6. Clinical and Laboratory Monitoring</w:t>
      </w:r>
    </w:p>
    <w:p w14:paraId="1E52A0E6" w14:textId="77777777" w:rsidR="000A0C35" w:rsidRDefault="00A32764">
      <w:pPr>
        <w:spacing w:after="60" w:line="240" w:lineRule="auto"/>
      </w:pPr>
      <w:r>
        <w:t>ADR identification may require both clinical observation and laboratory monitoring. The parameters selected depend on the suspected medicine and the patient's condition.</w:t>
      </w:r>
    </w:p>
    <w:p w14:paraId="62F34E2D" w14:textId="77777777" w:rsidR="000A0C35" w:rsidRDefault="00A32764">
      <w:pPr>
        <w:spacing w:before="100" w:after="40"/>
      </w:pPr>
      <w:r>
        <w:rPr>
          <w:b/>
          <w:sz w:val="24"/>
        </w:rPr>
        <w:t>Clinical Monitoring</w:t>
      </w:r>
    </w:p>
    <w:p w14:paraId="2B0AFE26" w14:textId="77777777" w:rsidR="000A0C35" w:rsidRDefault="00A32764">
      <w:pPr>
        <w:pStyle w:val="ListBullet"/>
        <w:spacing w:after="20" w:line="240" w:lineRule="auto"/>
      </w:pPr>
      <w:r>
        <w:t>Vital signs such as blood pressure, pulse, respiratory rate and temperature.</w:t>
      </w:r>
    </w:p>
    <w:p w14:paraId="5FC4BD90" w14:textId="77777777" w:rsidR="000A0C35" w:rsidRDefault="00A32764">
      <w:pPr>
        <w:pStyle w:val="ListBullet"/>
        <w:spacing w:after="20" w:line="240" w:lineRule="auto"/>
      </w:pPr>
      <w:r>
        <w:t>Skin reactions including rash, itching, urticaria and swelling.</w:t>
      </w:r>
    </w:p>
    <w:p w14:paraId="19A91B46" w14:textId="77777777" w:rsidR="000A0C35" w:rsidRDefault="00A32764">
      <w:pPr>
        <w:pStyle w:val="ListBullet"/>
        <w:spacing w:after="20" w:line="240" w:lineRule="auto"/>
      </w:pPr>
      <w:r>
        <w:t>Gastrointestinal symptoms such as nausea, vomiting and diarrhea.</w:t>
      </w:r>
    </w:p>
    <w:p w14:paraId="07881DBB" w14:textId="77777777" w:rsidR="000A0C35" w:rsidRDefault="00A32764">
      <w:pPr>
        <w:pStyle w:val="ListBullet"/>
        <w:spacing w:after="20" w:line="240" w:lineRule="auto"/>
      </w:pPr>
      <w:r>
        <w:t>Neurological changes such as dizziness, confusion, sedation or seizures.</w:t>
      </w:r>
    </w:p>
    <w:p w14:paraId="0BE9457C" w14:textId="77777777" w:rsidR="000A0C35" w:rsidRDefault="00A32764">
      <w:pPr>
        <w:pStyle w:val="ListBullet"/>
        <w:spacing w:after="20" w:line="240" w:lineRule="auto"/>
      </w:pPr>
      <w:r>
        <w:t>Respiratory symptoms such as wheezing or difficulty breathing.</w:t>
      </w:r>
    </w:p>
    <w:p w14:paraId="0F1B6284" w14:textId="77777777" w:rsidR="000A0C35" w:rsidRDefault="00A32764">
      <w:pPr>
        <w:pStyle w:val="ListBullet"/>
        <w:spacing w:after="20" w:line="240" w:lineRule="auto"/>
      </w:pPr>
      <w:r>
        <w:t>Signs of bleeding, edema or changes in consciousness.</w:t>
      </w:r>
    </w:p>
    <w:p w14:paraId="289F2BD6" w14:textId="77777777" w:rsidR="000A0C35" w:rsidRDefault="00A32764">
      <w:pPr>
        <w:spacing w:before="100" w:after="40"/>
      </w:pPr>
      <w:r>
        <w:rPr>
          <w:b/>
          <w:sz w:val="24"/>
        </w:rPr>
        <w:t>Laboratory Monitoring</w:t>
      </w:r>
    </w:p>
    <w:p w14:paraId="7D6167F6" w14:textId="77777777" w:rsidR="000A0C35" w:rsidRDefault="00A32764">
      <w:pPr>
        <w:pStyle w:val="ListBullet"/>
        <w:spacing w:after="20" w:line="240" w:lineRule="auto"/>
      </w:pPr>
      <w:r>
        <w:t>Complete blood count (CBC) when blood-related toxicity is suspected.</w:t>
      </w:r>
    </w:p>
    <w:p w14:paraId="1CDE438D" w14:textId="77777777" w:rsidR="000A0C35" w:rsidRDefault="00A32764">
      <w:pPr>
        <w:pStyle w:val="ListBullet"/>
        <w:spacing w:after="20" w:line="240" w:lineRule="auto"/>
      </w:pPr>
      <w:r>
        <w:t>Liver function tests (LFTs) for medicines with potential hepatic toxicity.</w:t>
      </w:r>
    </w:p>
    <w:p w14:paraId="15D24361" w14:textId="77777777" w:rsidR="000A0C35" w:rsidRDefault="00A32764">
      <w:pPr>
        <w:pStyle w:val="ListBullet"/>
        <w:spacing w:after="20" w:line="240" w:lineRule="auto"/>
      </w:pPr>
      <w:r>
        <w:t>Renal function tests such as serum creatinine and estimated kidney function.</w:t>
      </w:r>
    </w:p>
    <w:p w14:paraId="3E6F9AD5" w14:textId="77777777" w:rsidR="000A0C35" w:rsidRDefault="00A32764">
      <w:pPr>
        <w:pStyle w:val="ListBullet"/>
        <w:spacing w:after="20" w:line="240" w:lineRule="auto"/>
      </w:pPr>
      <w:r>
        <w:t>Blood glucose for medicines associated with hypoglycemia or hyperglycemia.</w:t>
      </w:r>
    </w:p>
    <w:p w14:paraId="5A93B8DD" w14:textId="77777777" w:rsidR="000A0C35" w:rsidRDefault="00A32764">
      <w:pPr>
        <w:pStyle w:val="ListBullet"/>
        <w:spacing w:after="20" w:line="240" w:lineRule="auto"/>
      </w:pPr>
      <w:r>
        <w:t>Electrolytes and other tests appropriate to the suspected medicine.</w:t>
      </w:r>
    </w:p>
    <w:p w14:paraId="7027EE2B" w14:textId="77777777" w:rsidR="000A0C35" w:rsidRDefault="00A32764">
      <w:pPr>
        <w:pStyle w:val="ListBullet"/>
        <w:spacing w:after="20" w:line="240" w:lineRule="auto"/>
      </w:pPr>
      <w:r>
        <w:t>Therapeutic drug monitoring when measurement of drug concentration is clinically appropriate.</w:t>
      </w:r>
    </w:p>
    <w:p w14:paraId="46E8D970" w14:textId="77777777" w:rsidR="000A0C35" w:rsidRDefault="00A32764">
      <w:pPr>
        <w:spacing w:before="100" w:after="40"/>
      </w:pPr>
      <w:r>
        <w:rPr>
          <w:b/>
          <w:sz w:val="24"/>
        </w:rPr>
        <w:t>7. Common Clues for Suspecting an ADR</w:t>
      </w:r>
    </w:p>
    <w:p w14:paraId="6DEA743A" w14:textId="77777777" w:rsidR="000A0C35" w:rsidRDefault="00A32764">
      <w:pPr>
        <w:pStyle w:val="ListBullet"/>
        <w:spacing w:after="20" w:line="240" w:lineRule="auto"/>
      </w:pPr>
      <w:r>
        <w:t>A new symptom appears after starting a medicine.</w:t>
      </w:r>
    </w:p>
    <w:p w14:paraId="5679CD67" w14:textId="77777777" w:rsidR="000A0C35" w:rsidRDefault="00A32764">
      <w:pPr>
        <w:pStyle w:val="ListBullet"/>
        <w:spacing w:after="20" w:line="240" w:lineRule="auto"/>
      </w:pPr>
      <w:r>
        <w:t>The reaction is a known or biologically plausible effect of the medicine.</w:t>
      </w:r>
    </w:p>
    <w:p w14:paraId="19C9DDAF" w14:textId="77777777" w:rsidR="000A0C35" w:rsidRDefault="00A32764">
      <w:pPr>
        <w:pStyle w:val="ListBullet"/>
        <w:spacing w:after="20" w:line="240" w:lineRule="auto"/>
      </w:pPr>
      <w:r>
        <w:t>The onset occurs within a reasonable time after drug exposure.</w:t>
      </w:r>
    </w:p>
    <w:p w14:paraId="704A4050" w14:textId="77777777" w:rsidR="000A0C35" w:rsidRDefault="00A32764">
      <w:pPr>
        <w:pStyle w:val="ListBullet"/>
        <w:spacing w:after="20" w:line="240" w:lineRule="auto"/>
      </w:pPr>
      <w:r>
        <w:t>The reaction improves after withdrawal or dose reduction.</w:t>
      </w:r>
    </w:p>
    <w:p w14:paraId="6B9230AD" w14:textId="77777777" w:rsidR="000A0C35" w:rsidRDefault="00A32764">
      <w:pPr>
        <w:pStyle w:val="ListBullet"/>
        <w:spacing w:after="20" w:line="240" w:lineRule="auto"/>
      </w:pPr>
      <w:r>
        <w:t>A reaction recurs after re-exposure, when such re-exposure occurs.</w:t>
      </w:r>
    </w:p>
    <w:p w14:paraId="6262412D" w14:textId="77777777" w:rsidR="000A0C35" w:rsidRDefault="00A32764">
      <w:pPr>
        <w:pStyle w:val="ListBullet"/>
        <w:spacing w:after="20" w:line="240" w:lineRule="auto"/>
      </w:pPr>
      <w:r>
        <w:t>No more convincing alternative cause is identified.</w:t>
      </w:r>
    </w:p>
    <w:p w14:paraId="6E6B3D93" w14:textId="77777777" w:rsidR="000A0C35" w:rsidRDefault="00A32764">
      <w:pPr>
        <w:pStyle w:val="ListBullet"/>
        <w:spacing w:after="20" w:line="240" w:lineRule="auto"/>
      </w:pPr>
      <w:r>
        <w:t>The reaction is associated with a recent dose increase or interaction.</w:t>
      </w:r>
    </w:p>
    <w:p w14:paraId="232635A0" w14:textId="77777777" w:rsidR="000A0C35" w:rsidRDefault="00A32764">
      <w:pPr>
        <w:spacing w:before="100" w:after="40"/>
      </w:pPr>
      <w:r>
        <w:rPr>
          <w:b/>
          <w:sz w:val="24"/>
        </w:rPr>
        <w:t>8. Documentation and Reporting</w:t>
      </w:r>
    </w:p>
    <w:p w14:paraId="0BE41352" w14:textId="77777777" w:rsidR="000A0C35" w:rsidRDefault="00A32764">
      <w:pPr>
        <w:spacing w:after="60" w:line="240" w:lineRule="auto"/>
      </w:pPr>
      <w:r>
        <w:t>When an ADR is suspected, it should be documented and reported according to the hospital and national pharmacovigilance procedures. Important information includes patient details, suspected medicine, dose and route, date of onset, description of the reaction, relevant laboratory findings, other medicines, medical history, action taken and outcome. A suspected ADR does not always need to be proven before reporting; valid suspicion is important for safety surveillance.</w:t>
      </w:r>
    </w:p>
    <w:p w14:paraId="47C5DC3F" w14:textId="77777777" w:rsidR="000A0C35" w:rsidRDefault="00A32764">
      <w:pPr>
        <w:spacing w:before="100" w:after="40"/>
      </w:pPr>
      <w:r>
        <w:rPr>
          <w:b/>
          <w:sz w:val="24"/>
        </w:rPr>
        <w:t>9. Role of Healthcare Professionals</w:t>
      </w:r>
    </w:p>
    <w:p w14:paraId="0C9F4437" w14:textId="77777777" w:rsidR="000A0C35" w:rsidRDefault="00A32764">
      <w:pPr>
        <w:spacing w:before="100" w:after="40"/>
      </w:pPr>
      <w:r>
        <w:rPr>
          <w:b/>
          <w:sz w:val="24"/>
        </w:rPr>
        <w:t>Pharmacists</w:t>
      </w:r>
    </w:p>
    <w:p w14:paraId="5508B7F6" w14:textId="77777777" w:rsidR="000A0C35" w:rsidRDefault="00A32764">
      <w:pPr>
        <w:pStyle w:val="ListBullet"/>
        <w:spacing w:after="20" w:line="240" w:lineRule="auto"/>
      </w:pPr>
      <w:r>
        <w:t>Review medication histories and identify potential drug-related problems.</w:t>
      </w:r>
    </w:p>
    <w:p w14:paraId="4A864B3B" w14:textId="77777777" w:rsidR="000A0C35" w:rsidRDefault="00A32764">
      <w:pPr>
        <w:pStyle w:val="ListBullet"/>
        <w:spacing w:after="20" w:line="240" w:lineRule="auto"/>
      </w:pPr>
      <w:r>
        <w:t>Assess possible drug interactions and risk factors.</w:t>
      </w:r>
    </w:p>
    <w:p w14:paraId="1D0101BC" w14:textId="77777777" w:rsidR="000A0C35" w:rsidRDefault="00A32764">
      <w:pPr>
        <w:pStyle w:val="ListBullet"/>
        <w:spacing w:after="20" w:line="240" w:lineRule="auto"/>
      </w:pPr>
      <w:r>
        <w:t>Counsel patients about important adverse effects and when to seek help.</w:t>
      </w:r>
    </w:p>
    <w:p w14:paraId="4AAC40F8" w14:textId="77777777" w:rsidR="000A0C35" w:rsidRDefault="00A32764">
      <w:pPr>
        <w:pStyle w:val="ListBullet"/>
        <w:spacing w:after="20" w:line="240" w:lineRule="auto"/>
      </w:pPr>
      <w:r>
        <w:t>Document and report suspected ADRs.</w:t>
      </w:r>
    </w:p>
    <w:p w14:paraId="4D45425C" w14:textId="77777777" w:rsidR="000A0C35" w:rsidRDefault="00A32764">
      <w:pPr>
        <w:spacing w:before="100" w:after="40"/>
      </w:pPr>
      <w:r>
        <w:rPr>
          <w:b/>
          <w:sz w:val="24"/>
        </w:rPr>
        <w:t>Physicians</w:t>
      </w:r>
    </w:p>
    <w:p w14:paraId="750F9C36" w14:textId="77777777" w:rsidR="000A0C35" w:rsidRDefault="00A32764">
      <w:pPr>
        <w:pStyle w:val="ListBullet"/>
        <w:spacing w:after="20" w:line="240" w:lineRule="auto"/>
      </w:pPr>
      <w:r>
        <w:t>Assess the clinical condition and possible causes of the reaction.</w:t>
      </w:r>
    </w:p>
    <w:p w14:paraId="72E8A6D2" w14:textId="77777777" w:rsidR="000A0C35" w:rsidRDefault="00A32764">
      <w:pPr>
        <w:pStyle w:val="ListBullet"/>
        <w:spacing w:after="20" w:line="240" w:lineRule="auto"/>
      </w:pPr>
      <w:r>
        <w:t>Decide on appropriate treatment and modification of drug therapy.</w:t>
      </w:r>
    </w:p>
    <w:p w14:paraId="6254B302" w14:textId="77777777" w:rsidR="000A0C35" w:rsidRDefault="00A32764">
      <w:pPr>
        <w:pStyle w:val="ListBullet"/>
        <w:spacing w:after="20" w:line="240" w:lineRule="auto"/>
      </w:pPr>
      <w:r>
        <w:t>Monitor the patient and document the clinical outcome.</w:t>
      </w:r>
    </w:p>
    <w:p w14:paraId="66644325" w14:textId="77777777" w:rsidR="000A0C35" w:rsidRDefault="00A32764">
      <w:pPr>
        <w:spacing w:before="100" w:after="40"/>
      </w:pPr>
      <w:r>
        <w:rPr>
          <w:b/>
          <w:sz w:val="24"/>
        </w:rPr>
        <w:t>Nurses</w:t>
      </w:r>
    </w:p>
    <w:p w14:paraId="2F70C01A" w14:textId="77777777" w:rsidR="000A0C35" w:rsidRDefault="00A32764">
      <w:pPr>
        <w:pStyle w:val="ListBullet"/>
        <w:spacing w:after="20" w:line="240" w:lineRule="auto"/>
      </w:pPr>
      <w:r>
        <w:t>Monitor patients for early signs and symptoms.</w:t>
      </w:r>
    </w:p>
    <w:p w14:paraId="1386813C" w14:textId="77777777" w:rsidR="000A0C35" w:rsidRDefault="00A32764">
      <w:pPr>
        <w:pStyle w:val="ListBullet"/>
        <w:spacing w:after="20" w:line="240" w:lineRule="auto"/>
      </w:pPr>
      <w:r>
        <w:t>Record vital signs and relevant observations.</w:t>
      </w:r>
    </w:p>
    <w:p w14:paraId="2A18A1D5" w14:textId="77777777" w:rsidR="000A0C35" w:rsidRDefault="00A32764">
      <w:pPr>
        <w:pStyle w:val="ListBullet"/>
        <w:spacing w:after="20" w:line="240" w:lineRule="auto"/>
      </w:pPr>
      <w:r>
        <w:t>Promptly communicate suspected reactions to the healthcare team.</w:t>
      </w:r>
    </w:p>
    <w:p w14:paraId="0E05235A" w14:textId="77777777" w:rsidR="000A0C35" w:rsidRDefault="00A32764">
      <w:pPr>
        <w:spacing w:before="100" w:after="40"/>
      </w:pPr>
      <w:r>
        <w:rPr>
          <w:b/>
          <w:sz w:val="24"/>
        </w:rPr>
        <w:t>10. Simple ADR Identification Flow</w:t>
      </w:r>
    </w:p>
    <w:p w14:paraId="7629E54B" w14:textId="77777777" w:rsidR="000A0C35" w:rsidRDefault="00A32764">
      <w:pPr>
        <w:spacing w:after="60" w:line="240" w:lineRule="auto"/>
      </w:pPr>
      <w:r>
        <w:lastRenderedPageBreak/>
        <w:t>Patient receives medicine → New symptom/sign or abnormal laboratory result → Review medication history → Assess time relationship → Consider alternative causes → Check risk factors and interactions → Assess dechallenge/rechallenge information when appropriate → Manage and document → Report the suspected ADR.</w:t>
      </w:r>
    </w:p>
    <w:p w14:paraId="404E77E4" w14:textId="77777777" w:rsidR="000A0C35" w:rsidRDefault="00A32764">
      <w:pPr>
        <w:spacing w:before="100" w:after="40"/>
      </w:pPr>
      <w:r>
        <w:rPr>
          <w:b/>
          <w:sz w:val="24"/>
        </w:rPr>
        <w:t>11. Conclusion</w:t>
      </w:r>
    </w:p>
    <w:p w14:paraId="1D5A333B" w14:textId="77777777" w:rsidR="000A0C35" w:rsidRDefault="00A32764">
      <w:pPr>
        <w:spacing w:after="60" w:line="240" w:lineRule="auto"/>
      </w:pPr>
      <w:r>
        <w:t>ADR identification is a systematic process that supports safe and rational medicine use. Recognizing a suspected reaction, reviewing the patient's medication history, assessing the timing of the event, considering alternative causes, monitoring appropriate clinical and laboratory parameters, and documenting and reporting the event are essential steps. Effective ADR identification and reporting help prevent further harm, improve patient care and strengthen pharmacovigilance systems.</w:t>
      </w:r>
    </w:p>
    <w:sectPr w:rsidR="000A0C35"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964E" w14:textId="77777777" w:rsidR="00A32764" w:rsidRDefault="00A32764">
      <w:pPr>
        <w:spacing w:after="0" w:line="240" w:lineRule="auto"/>
      </w:pPr>
      <w:r>
        <w:separator/>
      </w:r>
    </w:p>
  </w:endnote>
  <w:endnote w:type="continuationSeparator" w:id="0">
    <w:p w14:paraId="14BB1488" w14:textId="77777777" w:rsidR="00A32764" w:rsidRDefault="00A32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A123" w14:textId="77777777" w:rsidR="000A0C35" w:rsidRDefault="00A32764">
    <w:pPr>
      <w:pStyle w:val="Footer"/>
      <w:jc w:val="center"/>
    </w:pPr>
    <w:proofErr w:type="spellStart"/>
    <w:r>
      <w:rPr>
        <w:sz w:val="16"/>
      </w:rPr>
      <w:t>Pharm.D</w:t>
    </w:r>
    <w:proofErr w:type="spellEnd"/>
    <w:r>
      <w:rPr>
        <w:sz w:val="16"/>
      </w:rPr>
      <w:t xml:space="preserve"> Academic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1F49" w14:textId="77777777" w:rsidR="00A32764" w:rsidRDefault="00A32764">
      <w:pPr>
        <w:spacing w:after="0" w:line="240" w:lineRule="auto"/>
      </w:pPr>
      <w:r>
        <w:separator/>
      </w:r>
    </w:p>
  </w:footnote>
  <w:footnote w:type="continuationSeparator" w:id="0">
    <w:p w14:paraId="6D346F0C" w14:textId="77777777" w:rsidR="00A32764" w:rsidRDefault="00A32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01F4" w14:textId="77777777" w:rsidR="000A0C35" w:rsidRDefault="00A32764">
    <w:pPr>
      <w:pStyle w:val="Header"/>
      <w:jc w:val="center"/>
    </w:pPr>
    <w:r>
      <w:rPr>
        <w:sz w:val="16"/>
      </w:rPr>
      <w:t>ADR Identification Basics | Pharmacovigilance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269165">
    <w:abstractNumId w:val="8"/>
  </w:num>
  <w:num w:numId="2" w16cid:durableId="796290380">
    <w:abstractNumId w:val="6"/>
  </w:num>
  <w:num w:numId="3" w16cid:durableId="968631119">
    <w:abstractNumId w:val="5"/>
  </w:num>
  <w:num w:numId="4" w16cid:durableId="531695012">
    <w:abstractNumId w:val="4"/>
  </w:num>
  <w:num w:numId="5" w16cid:durableId="1508323697">
    <w:abstractNumId w:val="7"/>
  </w:num>
  <w:num w:numId="6" w16cid:durableId="1440487146">
    <w:abstractNumId w:val="3"/>
  </w:num>
  <w:num w:numId="7" w16cid:durableId="163907868">
    <w:abstractNumId w:val="2"/>
  </w:num>
  <w:num w:numId="8" w16cid:durableId="1151750115">
    <w:abstractNumId w:val="1"/>
  </w:num>
  <w:num w:numId="9" w16cid:durableId="162040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35"/>
    <w:rsid w:val="000A26FB"/>
    <w:rsid w:val="0015074B"/>
    <w:rsid w:val="00274388"/>
    <w:rsid w:val="0029639D"/>
    <w:rsid w:val="00326F90"/>
    <w:rsid w:val="0048581A"/>
    <w:rsid w:val="004F0EAA"/>
    <w:rsid w:val="0061346B"/>
    <w:rsid w:val="009C6407"/>
    <w:rsid w:val="00A327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DEBC2"/>
  <w14:defaultImageDpi w14:val="300"/>
  <w15:docId w15:val="{13A33E8D-9A57-CA4C-99DC-937215E1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nandini nandu</cp:lastModifiedBy>
  <cp:revision>2</cp:revision>
  <dcterms:created xsi:type="dcterms:W3CDTF">2026-08-14T12:29:00Z</dcterms:created>
  <dcterms:modified xsi:type="dcterms:W3CDTF">2026-08-14T12:29:00Z</dcterms:modified>
  <cp:category/>
</cp:coreProperties>
</file>