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C82D" w14:textId="77777777" w:rsidR="002C23A3"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7E16ECF9" wp14:editId="508E0FA8">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1E5A364C" w14:textId="77777777" w:rsidR="002C23A3" w:rsidRDefault="002C23A3">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C23A3" w14:paraId="190738B3" w14:textId="77777777" w:rsidTr="00BC0D40">
        <w:trPr>
          <w:jc w:val="center"/>
        </w:trPr>
        <w:tc>
          <w:tcPr>
            <w:tcW w:w="4508" w:type="dxa"/>
          </w:tcPr>
          <w:p w14:paraId="6AE6F92D" w14:textId="77777777" w:rsidR="002C23A3" w:rsidRDefault="00000000">
            <w:pPr>
              <w:rPr>
                <w:rFonts w:ascii="Arial" w:eastAsia="Arial" w:hAnsi="Arial" w:cs="Arial"/>
              </w:rPr>
            </w:pPr>
            <w:r>
              <w:rPr>
                <w:rFonts w:ascii="Arial" w:eastAsia="Arial" w:hAnsi="Arial" w:cs="Arial"/>
              </w:rPr>
              <w:t>Team ID</w:t>
            </w:r>
          </w:p>
        </w:tc>
        <w:tc>
          <w:tcPr>
            <w:tcW w:w="4843" w:type="dxa"/>
          </w:tcPr>
          <w:p w14:paraId="39F221CB" w14:textId="6B946759" w:rsidR="002C23A3" w:rsidRDefault="00BC0D40">
            <w:pPr>
              <w:rPr>
                <w:rFonts w:ascii="Arial" w:eastAsia="Arial" w:hAnsi="Arial" w:cs="Arial"/>
              </w:rPr>
            </w:pPr>
            <w:r>
              <w:rPr>
                <w:rFonts w:ascii="Arial" w:eastAsia="Arial" w:hAnsi="Arial" w:cs="Arial"/>
              </w:rPr>
              <w:t>MCA</w:t>
            </w:r>
          </w:p>
        </w:tc>
      </w:tr>
      <w:tr w:rsidR="002C23A3" w14:paraId="359F5DC4" w14:textId="77777777" w:rsidTr="00BC0D40">
        <w:trPr>
          <w:jc w:val="center"/>
        </w:trPr>
        <w:tc>
          <w:tcPr>
            <w:tcW w:w="4508" w:type="dxa"/>
          </w:tcPr>
          <w:p w14:paraId="4516D73C" w14:textId="77777777" w:rsidR="002C23A3" w:rsidRDefault="00000000">
            <w:pPr>
              <w:rPr>
                <w:rFonts w:ascii="Arial" w:eastAsia="Arial" w:hAnsi="Arial" w:cs="Arial"/>
              </w:rPr>
            </w:pPr>
            <w:r>
              <w:rPr>
                <w:rFonts w:ascii="Arial" w:eastAsia="Arial" w:hAnsi="Arial" w:cs="Arial"/>
              </w:rPr>
              <w:t>Project Name</w:t>
            </w:r>
          </w:p>
        </w:tc>
        <w:tc>
          <w:tcPr>
            <w:tcW w:w="4843" w:type="dxa"/>
          </w:tcPr>
          <w:p w14:paraId="184BF915" w14:textId="732249F8" w:rsidR="002C23A3" w:rsidRDefault="00BC0D40">
            <w:pPr>
              <w:rPr>
                <w:rFonts w:ascii="Arial" w:eastAsia="Arial" w:hAnsi="Arial" w:cs="Arial"/>
              </w:rPr>
            </w:pPr>
            <w:r>
              <w:rPr>
                <w:rFonts w:ascii="Times New Roman" w:eastAsia="Times New Roman" w:hAnsi="Times New Roman" w:cs="Times New Roman"/>
                <w:color w:val="000000"/>
                <w:sz w:val="24"/>
                <w:szCs w:val="24"/>
              </w:rPr>
              <w:t xml:space="preserve">Online Learning Engagement and </w:t>
            </w:r>
            <w:proofErr w:type="gramStart"/>
            <w:r>
              <w:rPr>
                <w:rFonts w:ascii="Times New Roman" w:eastAsia="Times New Roman" w:hAnsi="Times New Roman" w:cs="Times New Roman"/>
                <w:color w:val="000000"/>
                <w:sz w:val="24"/>
                <w:szCs w:val="24"/>
              </w:rPr>
              <w:t>Student  Performance</w:t>
            </w:r>
            <w:proofErr w:type="gramEnd"/>
            <w:r>
              <w:rPr>
                <w:rFonts w:ascii="Times New Roman" w:eastAsia="Times New Roman" w:hAnsi="Times New Roman" w:cs="Times New Roman"/>
                <w:color w:val="000000"/>
                <w:sz w:val="24"/>
                <w:szCs w:val="24"/>
              </w:rPr>
              <w:t xml:space="preserve"> Analysis</w:t>
            </w:r>
          </w:p>
        </w:tc>
      </w:tr>
      <w:tr w:rsidR="002C23A3" w14:paraId="2CDD5482" w14:textId="77777777" w:rsidTr="00BC0D40">
        <w:trPr>
          <w:jc w:val="center"/>
        </w:trPr>
        <w:tc>
          <w:tcPr>
            <w:tcW w:w="4508" w:type="dxa"/>
          </w:tcPr>
          <w:p w14:paraId="3DDCF874" w14:textId="77777777" w:rsidR="002C23A3" w:rsidRDefault="00000000">
            <w:pPr>
              <w:rPr>
                <w:rFonts w:ascii="Arial" w:eastAsia="Arial" w:hAnsi="Arial" w:cs="Arial"/>
              </w:rPr>
            </w:pPr>
            <w:r>
              <w:rPr>
                <w:rFonts w:ascii="Arial" w:eastAsia="Arial" w:hAnsi="Arial" w:cs="Arial"/>
              </w:rPr>
              <w:t>Maximum Marks</w:t>
            </w:r>
          </w:p>
        </w:tc>
        <w:tc>
          <w:tcPr>
            <w:tcW w:w="4843" w:type="dxa"/>
          </w:tcPr>
          <w:p w14:paraId="61344238" w14:textId="77777777" w:rsidR="002C23A3" w:rsidRDefault="00000000">
            <w:pPr>
              <w:rPr>
                <w:rFonts w:ascii="Arial" w:eastAsia="Arial" w:hAnsi="Arial" w:cs="Arial"/>
              </w:rPr>
            </w:pPr>
            <w:r>
              <w:rPr>
                <w:rFonts w:ascii="Arial" w:eastAsia="Arial" w:hAnsi="Arial" w:cs="Arial"/>
              </w:rPr>
              <w:t>5 Marks</w:t>
            </w:r>
          </w:p>
        </w:tc>
      </w:tr>
    </w:tbl>
    <w:p w14:paraId="41FFC3DC" w14:textId="77777777" w:rsidR="002C23A3" w:rsidRDefault="002C23A3">
      <w:pPr>
        <w:rPr>
          <w:rFonts w:ascii="Cambria" w:eastAsia="Cambria" w:hAnsi="Cambria" w:cs="Cambria"/>
          <w:color w:val="000000"/>
          <w:sz w:val="24"/>
          <w:szCs w:val="24"/>
          <w:highlight w:val="white"/>
        </w:rPr>
      </w:pPr>
    </w:p>
    <w:p w14:paraId="1168178D" w14:textId="77777777" w:rsidR="002C23A3" w:rsidRDefault="00000000">
      <w:pPr>
        <w:shd w:val="clear" w:color="auto" w:fill="FFFFFF"/>
        <w:jc w:val="center"/>
        <w:rPr>
          <w:sz w:val="20"/>
          <w:szCs w:val="20"/>
          <w:highlight w:val="white"/>
        </w:rPr>
      </w:pPr>
      <w:r>
        <w:rPr>
          <w:sz w:val="20"/>
          <w:szCs w:val="20"/>
        </w:rPr>
        <w:t xml:space="preserve">                    </w:t>
      </w:r>
    </w:p>
    <w:p w14:paraId="53EE313D" w14:textId="77777777" w:rsidR="00BC0D40" w:rsidRPr="00BC0D40" w:rsidRDefault="00BC0D40" w:rsidP="00BC0D40">
      <w:pPr>
        <w:pBdr>
          <w:top w:val="nil"/>
          <w:left w:val="nil"/>
          <w:bottom w:val="nil"/>
          <w:right w:val="nil"/>
          <w:between w:val="nil"/>
        </w:pBdr>
        <w:spacing w:after="200" w:line="240" w:lineRule="auto"/>
        <w:ind w:left="1440"/>
        <w:rPr>
          <w:rFonts w:ascii="Arial" w:eastAsia="Arial" w:hAnsi="Arial" w:cs="Arial"/>
          <w:color w:val="000000"/>
          <w:sz w:val="20"/>
          <w:szCs w:val="20"/>
        </w:rPr>
      </w:pPr>
      <w:r w:rsidRPr="00BC0D40">
        <w:rPr>
          <w:rFonts w:ascii="Arial" w:eastAsia="Arial" w:hAnsi="Arial" w:cs="Arial"/>
          <w:color w:val="000000"/>
          <w:sz w:val="20"/>
          <w:szCs w:val="20"/>
        </w:rPr>
        <w:t xml:space="preserve">Online learning platforms generate large volumes of data related to student participation, learning activities, study time, course completion, assessments, and academic performance. However, raw data is often difficult to interpret and does not provide an immediate understanding of student learning </w:t>
      </w:r>
      <w:proofErr w:type="spellStart"/>
      <w:r w:rsidRPr="00BC0D40">
        <w:rPr>
          <w:rFonts w:ascii="Arial" w:eastAsia="Arial" w:hAnsi="Arial" w:cs="Arial"/>
          <w:color w:val="000000"/>
          <w:sz w:val="20"/>
          <w:szCs w:val="20"/>
        </w:rPr>
        <w:t>behavior</w:t>
      </w:r>
      <w:proofErr w:type="spellEnd"/>
      <w:r w:rsidRPr="00BC0D40">
        <w:rPr>
          <w:rFonts w:ascii="Arial" w:eastAsia="Arial" w:hAnsi="Arial" w:cs="Arial"/>
          <w:color w:val="000000"/>
          <w:sz w:val="20"/>
          <w:szCs w:val="20"/>
        </w:rPr>
        <w:t xml:space="preserve"> and performance.</w:t>
      </w:r>
    </w:p>
    <w:p w14:paraId="73E3E213" w14:textId="3D31EA93" w:rsidR="00BC0D40" w:rsidRPr="00BC0D40" w:rsidRDefault="00BC0D40" w:rsidP="00BC0D40">
      <w:pPr>
        <w:pBdr>
          <w:top w:val="nil"/>
          <w:left w:val="nil"/>
          <w:bottom w:val="nil"/>
          <w:right w:val="nil"/>
          <w:between w:val="nil"/>
        </w:pBdr>
        <w:spacing w:after="200" w:line="240" w:lineRule="auto"/>
        <w:ind w:left="1440"/>
        <w:rPr>
          <w:rFonts w:ascii="Arial" w:eastAsia="Arial" w:hAnsi="Arial" w:cs="Arial"/>
          <w:color w:val="000000"/>
          <w:sz w:val="20"/>
          <w:szCs w:val="20"/>
        </w:rPr>
      </w:pPr>
      <w:r w:rsidRPr="00BC0D40">
        <w:rPr>
          <w:rFonts w:ascii="Arial" w:eastAsia="Arial" w:hAnsi="Arial" w:cs="Arial"/>
          <w:color w:val="000000"/>
          <w:sz w:val="20"/>
          <w:szCs w:val="20"/>
        </w:rPr>
        <w:t xml:space="preserve">The </w:t>
      </w:r>
      <w:r w:rsidRPr="00BC0D40">
        <w:rPr>
          <w:rFonts w:ascii="Arial" w:eastAsia="Arial" w:hAnsi="Arial" w:cs="Arial"/>
          <w:b/>
          <w:bCs/>
          <w:color w:val="000000"/>
          <w:sz w:val="20"/>
          <w:szCs w:val="20"/>
        </w:rPr>
        <w:t>Online Learning Engagement and Student Performance Analysis</w:t>
      </w:r>
      <w:r w:rsidRPr="00BC0D40">
        <w:rPr>
          <w:rFonts w:ascii="Arial" w:eastAsia="Arial" w:hAnsi="Arial" w:cs="Arial"/>
          <w:color w:val="000000"/>
          <w:sz w:val="20"/>
          <w:szCs w:val="20"/>
        </w:rPr>
        <w:t xml:space="preserve"> project aims to develop a comprehensive </w:t>
      </w:r>
      <w:r w:rsidRPr="00BC0D40">
        <w:rPr>
          <w:rFonts w:ascii="Arial" w:eastAsia="Arial" w:hAnsi="Arial" w:cs="Arial"/>
          <w:b/>
          <w:bCs/>
          <w:color w:val="000000"/>
          <w:sz w:val="20"/>
          <w:szCs w:val="20"/>
        </w:rPr>
        <w:t>Power BI report</w:t>
      </w:r>
      <w:r w:rsidRPr="00BC0D40">
        <w:rPr>
          <w:rFonts w:ascii="Arial" w:eastAsia="Arial" w:hAnsi="Arial" w:cs="Arial"/>
          <w:color w:val="000000"/>
          <w:sz w:val="20"/>
          <w:szCs w:val="20"/>
        </w:rPr>
        <w:t xml:space="preserve"> that organizes and visualizes student engagement and academic performance data in a structured and understandable manner. The report will use interactive charts, graphs, KPI cards, tables, filters, and slicers to present important information and support detailed a</w:t>
      </w:r>
      <w:r w:rsidR="00D56AC8">
        <w:rPr>
          <w:rFonts w:ascii="Arial" w:eastAsia="Arial" w:hAnsi="Arial" w:cs="Arial"/>
          <w:noProof/>
          <w:color w:val="000000"/>
          <w:sz w:val="20"/>
          <w:szCs w:val="20"/>
        </w:rPr>
        <w:drawing>
          <wp:inline distT="0" distB="0" distL="0" distR="0" wp14:anchorId="7FA257F9" wp14:editId="39562CFE">
            <wp:extent cx="5305337" cy="2942053"/>
            <wp:effectExtent l="0" t="0" r="0" b="0"/>
            <wp:docPr id="12015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26277" name="Picture 12015262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3902" cy="2991166"/>
                    </a:xfrm>
                    <a:prstGeom prst="rect">
                      <a:avLst/>
                    </a:prstGeom>
                  </pic:spPr>
                </pic:pic>
              </a:graphicData>
            </a:graphic>
          </wp:inline>
        </w:drawing>
      </w:r>
      <w:r w:rsidRPr="00BC0D40">
        <w:rPr>
          <w:rFonts w:ascii="Arial" w:eastAsia="Arial" w:hAnsi="Arial" w:cs="Arial"/>
          <w:color w:val="000000"/>
          <w:sz w:val="20"/>
          <w:szCs w:val="20"/>
        </w:rPr>
        <w:t>n</w:t>
      </w:r>
    </w:p>
    <w:p w14:paraId="615C4739" w14:textId="53D92D3B" w:rsidR="002C23A3" w:rsidRDefault="002C23A3">
      <w:pPr>
        <w:pBdr>
          <w:top w:val="nil"/>
          <w:left w:val="nil"/>
          <w:bottom w:val="nil"/>
          <w:right w:val="nil"/>
          <w:between w:val="nil"/>
        </w:pBdr>
        <w:spacing w:after="200" w:line="240" w:lineRule="auto"/>
        <w:ind w:left="1440"/>
        <w:rPr>
          <w:rFonts w:ascii="Arial" w:eastAsia="Arial" w:hAnsi="Arial" w:cs="Arial"/>
          <w:color w:val="000000"/>
          <w:sz w:val="20"/>
          <w:szCs w:val="20"/>
        </w:rPr>
      </w:pPr>
    </w:p>
    <w:p w14:paraId="37882DAC" w14:textId="0C7D0E9B" w:rsidR="00D56AC8" w:rsidRPr="00D56AC8" w:rsidRDefault="00D56AC8" w:rsidP="00D56AC8">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D56AC8">
        <w:rPr>
          <w:rFonts w:ascii="Times New Roman" w:eastAsia="Times New Roman" w:hAnsi="Times New Roman" w:cs="Times New Roman"/>
          <w:b/>
          <w:bCs/>
          <w:sz w:val="24"/>
          <w:szCs w:val="24"/>
        </w:rPr>
        <w:t>Key Analysis Areas</w:t>
      </w:r>
    </w:p>
    <w:p w14:paraId="7E4CEF6E" w14:textId="77777777" w:rsidR="00D56AC8" w:rsidRPr="00D56AC8" w:rsidRDefault="00D56AC8" w:rsidP="00D56AC8">
      <w:pPr>
        <w:numPr>
          <w:ilvl w:val="0"/>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b/>
          <w:bCs/>
          <w:sz w:val="24"/>
          <w:szCs w:val="24"/>
        </w:rPr>
        <w:t>Performance Trends</w:t>
      </w:r>
    </w:p>
    <w:p w14:paraId="688A47E5" w14:textId="77777777" w:rsidR="00D56AC8" w:rsidRPr="00D56AC8" w:rsidRDefault="00D56AC8" w:rsidP="00D56AC8">
      <w:pPr>
        <w:numPr>
          <w:ilvl w:val="1"/>
          <w:numId w:val="7"/>
        </w:numPr>
        <w:spacing w:before="280" w:after="280" w:line="240" w:lineRule="auto"/>
        <w:rPr>
          <w:rFonts w:ascii="Times New Roman" w:eastAsia="Times New Roman" w:hAnsi="Times New Roman" w:cs="Times New Roman"/>
          <w:sz w:val="24"/>
          <w:szCs w:val="24"/>
        </w:rPr>
      </w:pPr>
      <w:proofErr w:type="spellStart"/>
      <w:r w:rsidRPr="00D56AC8">
        <w:rPr>
          <w:rFonts w:ascii="Times New Roman" w:eastAsia="Times New Roman" w:hAnsi="Times New Roman" w:cs="Times New Roman"/>
          <w:sz w:val="24"/>
          <w:szCs w:val="24"/>
        </w:rPr>
        <w:t>Analyze</w:t>
      </w:r>
      <w:proofErr w:type="spellEnd"/>
      <w:r w:rsidRPr="00D56AC8">
        <w:rPr>
          <w:rFonts w:ascii="Times New Roman" w:eastAsia="Times New Roman" w:hAnsi="Times New Roman" w:cs="Times New Roman"/>
          <w:sz w:val="24"/>
          <w:szCs w:val="24"/>
        </w:rPr>
        <w:t xml:space="preserve"> changes in student scores and academic performance across different time periods to identify performance patterns and trends.</w:t>
      </w:r>
    </w:p>
    <w:p w14:paraId="1BF4FCA0" w14:textId="77777777" w:rsidR="00D56AC8" w:rsidRPr="00D56AC8" w:rsidRDefault="00D56AC8" w:rsidP="00D56AC8">
      <w:pPr>
        <w:numPr>
          <w:ilvl w:val="0"/>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b/>
          <w:bCs/>
          <w:sz w:val="24"/>
          <w:szCs w:val="24"/>
        </w:rPr>
        <w:t>Engagement Analysis</w:t>
      </w:r>
    </w:p>
    <w:p w14:paraId="208C5733" w14:textId="77777777" w:rsidR="00D56AC8" w:rsidRPr="00D56AC8" w:rsidRDefault="00D56AC8" w:rsidP="00D56AC8">
      <w:pPr>
        <w:numPr>
          <w:ilvl w:val="1"/>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Examine student participation, study time, activity levels, and interaction with online learning resources to understand engagement patterns.</w:t>
      </w:r>
    </w:p>
    <w:p w14:paraId="42FA0789" w14:textId="77777777" w:rsidR="00D56AC8" w:rsidRPr="00D56AC8" w:rsidRDefault="00D56AC8" w:rsidP="00D56AC8">
      <w:pPr>
        <w:numPr>
          <w:ilvl w:val="0"/>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b/>
          <w:bCs/>
          <w:sz w:val="24"/>
          <w:szCs w:val="24"/>
        </w:rPr>
        <w:t>Performance Comparison</w:t>
      </w:r>
    </w:p>
    <w:p w14:paraId="0CFFDB9A" w14:textId="77777777" w:rsidR="00D56AC8" w:rsidRPr="00D56AC8" w:rsidRDefault="00D56AC8" w:rsidP="00D56AC8">
      <w:pPr>
        <w:numPr>
          <w:ilvl w:val="1"/>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Compare student performance across different courses, student groups, engagement levels, or other relevant categories to identify variations in academic outcomes.</w:t>
      </w:r>
    </w:p>
    <w:p w14:paraId="4E986BB3" w14:textId="77777777" w:rsidR="00D56AC8" w:rsidRPr="00D56AC8" w:rsidRDefault="00D56AC8" w:rsidP="00D56AC8">
      <w:pPr>
        <w:numPr>
          <w:ilvl w:val="0"/>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b/>
          <w:bCs/>
          <w:sz w:val="24"/>
          <w:szCs w:val="24"/>
        </w:rPr>
        <w:t>Course Completion Analysis</w:t>
      </w:r>
    </w:p>
    <w:p w14:paraId="48689A2D" w14:textId="77777777" w:rsidR="00D56AC8" w:rsidRPr="00D56AC8" w:rsidRDefault="00D56AC8" w:rsidP="00D56AC8">
      <w:pPr>
        <w:numPr>
          <w:ilvl w:val="1"/>
          <w:numId w:val="7"/>
        </w:numPr>
        <w:spacing w:before="280" w:after="280" w:line="240" w:lineRule="auto"/>
        <w:rPr>
          <w:rFonts w:ascii="Times New Roman" w:eastAsia="Times New Roman" w:hAnsi="Times New Roman" w:cs="Times New Roman"/>
          <w:sz w:val="24"/>
          <w:szCs w:val="24"/>
        </w:rPr>
      </w:pPr>
      <w:proofErr w:type="spellStart"/>
      <w:r w:rsidRPr="00D56AC8">
        <w:rPr>
          <w:rFonts w:ascii="Times New Roman" w:eastAsia="Times New Roman" w:hAnsi="Times New Roman" w:cs="Times New Roman"/>
          <w:sz w:val="24"/>
          <w:szCs w:val="24"/>
        </w:rPr>
        <w:t>Analyze</w:t>
      </w:r>
      <w:proofErr w:type="spellEnd"/>
      <w:r w:rsidRPr="00D56AC8">
        <w:rPr>
          <w:rFonts w:ascii="Times New Roman" w:eastAsia="Times New Roman" w:hAnsi="Times New Roman" w:cs="Times New Roman"/>
          <w:sz w:val="24"/>
          <w:szCs w:val="24"/>
        </w:rPr>
        <w:t xml:space="preserve"> course completion and dropout rates to identify patterns among students who successfully complete or discontinue their courses.</w:t>
      </w:r>
    </w:p>
    <w:p w14:paraId="6FEF9C9E" w14:textId="77777777" w:rsidR="00D56AC8" w:rsidRPr="00D56AC8" w:rsidRDefault="00D56AC8" w:rsidP="00D56AC8">
      <w:pPr>
        <w:numPr>
          <w:ilvl w:val="0"/>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b/>
          <w:bCs/>
          <w:sz w:val="24"/>
          <w:szCs w:val="24"/>
        </w:rPr>
        <w:t>KPI Analysis</w:t>
      </w:r>
    </w:p>
    <w:p w14:paraId="5658454B" w14:textId="77777777" w:rsidR="00D56AC8" w:rsidRPr="00D56AC8" w:rsidRDefault="00D56AC8" w:rsidP="00D56AC8">
      <w:pPr>
        <w:numPr>
          <w:ilvl w:val="1"/>
          <w:numId w:val="7"/>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Monitor important Key Performance Indicators (KPIs), such as total students, average score, completion rate, engagement level, and dropout rate, to provide a summarized view of the overall learning environment.</w:t>
      </w:r>
    </w:p>
    <w:p w14:paraId="13673DAB" w14:textId="77777777" w:rsidR="00D56AC8" w:rsidRPr="00D56AC8" w:rsidRDefault="00D56AC8" w:rsidP="00D56AC8">
      <w:pPr>
        <w:spacing w:before="280" w:after="280" w:line="240" w:lineRule="auto"/>
        <w:rPr>
          <w:rFonts w:ascii="Times New Roman" w:eastAsia="Times New Roman" w:hAnsi="Times New Roman" w:cs="Times New Roman"/>
          <w:b/>
          <w:bCs/>
          <w:sz w:val="24"/>
          <w:szCs w:val="24"/>
        </w:rPr>
      </w:pPr>
      <w:r w:rsidRPr="00D56AC8">
        <w:rPr>
          <w:rFonts w:ascii="Times New Roman" w:eastAsia="Times New Roman" w:hAnsi="Times New Roman" w:cs="Times New Roman"/>
          <w:b/>
          <w:bCs/>
          <w:sz w:val="24"/>
          <w:szCs w:val="24"/>
        </w:rPr>
        <w:t>Expected Outcomes</w:t>
      </w:r>
    </w:p>
    <w:p w14:paraId="7AB5806A"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 xml:space="preserve">Identify important </w:t>
      </w:r>
      <w:r w:rsidRPr="00D56AC8">
        <w:rPr>
          <w:rFonts w:ascii="Times New Roman" w:eastAsia="Times New Roman" w:hAnsi="Times New Roman" w:cs="Times New Roman"/>
          <w:b/>
          <w:bCs/>
          <w:sz w:val="24"/>
          <w:szCs w:val="24"/>
        </w:rPr>
        <w:t>trends and patterns in student performance</w:t>
      </w:r>
      <w:r w:rsidRPr="00D56AC8">
        <w:rPr>
          <w:rFonts w:ascii="Times New Roman" w:eastAsia="Times New Roman" w:hAnsi="Times New Roman" w:cs="Times New Roman"/>
          <w:sz w:val="24"/>
          <w:szCs w:val="24"/>
        </w:rPr>
        <w:t>.</w:t>
      </w:r>
    </w:p>
    <w:p w14:paraId="200C64A9"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 xml:space="preserve">Understand the relationship between </w:t>
      </w:r>
      <w:r w:rsidRPr="00D56AC8">
        <w:rPr>
          <w:rFonts w:ascii="Times New Roman" w:eastAsia="Times New Roman" w:hAnsi="Times New Roman" w:cs="Times New Roman"/>
          <w:b/>
          <w:bCs/>
          <w:sz w:val="24"/>
          <w:szCs w:val="24"/>
        </w:rPr>
        <w:t>online learning engagement and academic performance</w:t>
      </w:r>
      <w:r w:rsidRPr="00D56AC8">
        <w:rPr>
          <w:rFonts w:ascii="Times New Roman" w:eastAsia="Times New Roman" w:hAnsi="Times New Roman" w:cs="Times New Roman"/>
          <w:sz w:val="24"/>
          <w:szCs w:val="24"/>
        </w:rPr>
        <w:t>.</w:t>
      </w:r>
    </w:p>
    <w:p w14:paraId="167E6E81"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 xml:space="preserve">Identify student groups with </w:t>
      </w:r>
      <w:r w:rsidRPr="00D56AC8">
        <w:rPr>
          <w:rFonts w:ascii="Times New Roman" w:eastAsia="Times New Roman" w:hAnsi="Times New Roman" w:cs="Times New Roman"/>
          <w:b/>
          <w:bCs/>
          <w:sz w:val="24"/>
          <w:szCs w:val="24"/>
        </w:rPr>
        <w:t>different levels of engagement and performance</w:t>
      </w:r>
      <w:r w:rsidRPr="00D56AC8">
        <w:rPr>
          <w:rFonts w:ascii="Times New Roman" w:eastAsia="Times New Roman" w:hAnsi="Times New Roman" w:cs="Times New Roman"/>
          <w:sz w:val="24"/>
          <w:szCs w:val="24"/>
        </w:rPr>
        <w:t>.</w:t>
      </w:r>
    </w:p>
    <w:p w14:paraId="0B620CCE"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proofErr w:type="spellStart"/>
      <w:r w:rsidRPr="00D56AC8">
        <w:rPr>
          <w:rFonts w:ascii="Times New Roman" w:eastAsia="Times New Roman" w:hAnsi="Times New Roman" w:cs="Times New Roman"/>
          <w:sz w:val="24"/>
          <w:szCs w:val="24"/>
        </w:rPr>
        <w:t>Analyze</w:t>
      </w:r>
      <w:proofErr w:type="spellEnd"/>
      <w:r w:rsidRPr="00D56AC8">
        <w:rPr>
          <w:rFonts w:ascii="Times New Roman" w:eastAsia="Times New Roman" w:hAnsi="Times New Roman" w:cs="Times New Roman"/>
          <w:sz w:val="24"/>
          <w:szCs w:val="24"/>
        </w:rPr>
        <w:t xml:space="preserve"> </w:t>
      </w:r>
      <w:r w:rsidRPr="00D56AC8">
        <w:rPr>
          <w:rFonts w:ascii="Times New Roman" w:eastAsia="Times New Roman" w:hAnsi="Times New Roman" w:cs="Times New Roman"/>
          <w:b/>
          <w:bCs/>
          <w:sz w:val="24"/>
          <w:szCs w:val="24"/>
        </w:rPr>
        <w:t>course completion and dropout patterns</w:t>
      </w:r>
      <w:r w:rsidRPr="00D56AC8">
        <w:rPr>
          <w:rFonts w:ascii="Times New Roman" w:eastAsia="Times New Roman" w:hAnsi="Times New Roman" w:cs="Times New Roman"/>
          <w:sz w:val="24"/>
          <w:szCs w:val="24"/>
        </w:rPr>
        <w:t>.</w:t>
      </w:r>
    </w:p>
    <w:p w14:paraId="4B91E851"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Provide interactive visualizations for easier exploration of student data.</w:t>
      </w:r>
    </w:p>
    <w:p w14:paraId="378A4F15"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 xml:space="preserve">Present meaningful insights through a </w:t>
      </w:r>
      <w:r w:rsidRPr="00D56AC8">
        <w:rPr>
          <w:rFonts w:ascii="Times New Roman" w:eastAsia="Times New Roman" w:hAnsi="Times New Roman" w:cs="Times New Roman"/>
          <w:b/>
          <w:bCs/>
          <w:sz w:val="24"/>
          <w:szCs w:val="24"/>
        </w:rPr>
        <w:t>Power BI report and dashboard</w:t>
      </w:r>
      <w:r w:rsidRPr="00D56AC8">
        <w:rPr>
          <w:rFonts w:ascii="Times New Roman" w:eastAsia="Times New Roman" w:hAnsi="Times New Roman" w:cs="Times New Roman"/>
          <w:sz w:val="24"/>
          <w:szCs w:val="24"/>
        </w:rPr>
        <w:t>.</w:t>
      </w:r>
    </w:p>
    <w:p w14:paraId="5008A26F" w14:textId="77777777" w:rsidR="00D56AC8" w:rsidRPr="00D56AC8" w:rsidRDefault="00D56AC8" w:rsidP="00D56AC8">
      <w:pPr>
        <w:numPr>
          <w:ilvl w:val="0"/>
          <w:numId w:val="8"/>
        </w:numPr>
        <w:spacing w:before="280" w:after="280" w:line="240" w:lineRule="auto"/>
        <w:rPr>
          <w:rFonts w:ascii="Times New Roman" w:eastAsia="Times New Roman" w:hAnsi="Times New Roman" w:cs="Times New Roman"/>
          <w:sz w:val="24"/>
          <w:szCs w:val="24"/>
        </w:rPr>
      </w:pPr>
      <w:r w:rsidRPr="00D56AC8">
        <w:rPr>
          <w:rFonts w:ascii="Times New Roman" w:eastAsia="Times New Roman" w:hAnsi="Times New Roman" w:cs="Times New Roman"/>
          <w:sz w:val="24"/>
          <w:szCs w:val="24"/>
        </w:rPr>
        <w:t xml:space="preserve">Support </w:t>
      </w:r>
      <w:r w:rsidRPr="00D56AC8">
        <w:rPr>
          <w:rFonts w:ascii="Times New Roman" w:eastAsia="Times New Roman" w:hAnsi="Times New Roman" w:cs="Times New Roman"/>
          <w:b/>
          <w:bCs/>
          <w:sz w:val="24"/>
          <w:szCs w:val="24"/>
        </w:rPr>
        <w:t>data-driven decision-making</w:t>
      </w:r>
      <w:r w:rsidRPr="00D56AC8">
        <w:rPr>
          <w:rFonts w:ascii="Times New Roman" w:eastAsia="Times New Roman" w:hAnsi="Times New Roman" w:cs="Times New Roman"/>
          <w:sz w:val="24"/>
          <w:szCs w:val="24"/>
        </w:rPr>
        <w:t xml:space="preserve"> for improving online learning outcomes.</w:t>
      </w:r>
    </w:p>
    <w:p w14:paraId="63C7DAA4" w14:textId="77777777" w:rsidR="002C23A3" w:rsidRDefault="002C23A3" w:rsidP="00D56AC8">
      <w:pPr>
        <w:spacing w:before="280" w:after="280" w:line="240" w:lineRule="auto"/>
        <w:rPr>
          <w:rFonts w:ascii="Times New Roman" w:eastAsia="Times New Roman" w:hAnsi="Times New Roman" w:cs="Times New Roman"/>
          <w:sz w:val="24"/>
          <w:szCs w:val="24"/>
        </w:rPr>
      </w:pPr>
    </w:p>
    <w:p w14:paraId="051BB7C6" w14:textId="77777777" w:rsidR="002C23A3" w:rsidRDefault="002C23A3">
      <w:pPr>
        <w:spacing w:before="280" w:after="280" w:line="240" w:lineRule="auto"/>
        <w:rPr>
          <w:rFonts w:ascii="Times New Roman" w:eastAsia="Times New Roman" w:hAnsi="Times New Roman" w:cs="Times New Roman"/>
          <w:sz w:val="24"/>
          <w:szCs w:val="24"/>
        </w:rPr>
      </w:pPr>
    </w:p>
    <w:p w14:paraId="1365D384" w14:textId="77777777" w:rsidR="002C23A3" w:rsidRDefault="002C23A3">
      <w:pPr>
        <w:pBdr>
          <w:top w:val="nil"/>
          <w:left w:val="nil"/>
          <w:bottom w:val="nil"/>
          <w:right w:val="nil"/>
          <w:between w:val="nil"/>
        </w:pBdr>
        <w:spacing w:after="200" w:line="240" w:lineRule="auto"/>
        <w:ind w:left="720"/>
        <w:rPr>
          <w:rFonts w:ascii="Arial" w:eastAsia="Arial" w:hAnsi="Arial" w:cs="Arial"/>
          <w:color w:val="000000"/>
          <w:sz w:val="20"/>
          <w:szCs w:val="20"/>
        </w:rPr>
      </w:pPr>
    </w:p>
    <w:p w14:paraId="4470255A" w14:textId="77777777" w:rsidR="002C23A3" w:rsidRDefault="002C23A3">
      <w:pPr>
        <w:pBdr>
          <w:top w:val="nil"/>
          <w:left w:val="nil"/>
          <w:bottom w:val="nil"/>
          <w:right w:val="nil"/>
          <w:between w:val="nil"/>
        </w:pBdr>
        <w:spacing w:after="200" w:line="240" w:lineRule="auto"/>
        <w:rPr>
          <w:rFonts w:ascii="Arial" w:eastAsia="Arial" w:hAnsi="Arial" w:cs="Arial"/>
          <w:color w:val="000000"/>
          <w:sz w:val="20"/>
          <w:szCs w:val="20"/>
        </w:rPr>
      </w:pPr>
    </w:p>
    <w:p w14:paraId="1D55C297" w14:textId="77777777" w:rsidR="002C23A3" w:rsidRDefault="00000000">
      <w:r>
        <w:t xml:space="preserve"> </w:t>
      </w:r>
    </w:p>
    <w:sectPr w:rsidR="002C23A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1F83232-41B7-4E16-8348-D08D658C93A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AFCF292-9915-4414-AF2A-5EC0F1CB444B}"/>
    <w:embedBold r:id="rId3" w:fontKey="{318562D2-E6CA-456A-867F-E1A9174D123A}"/>
  </w:font>
  <w:font w:name="Georgia">
    <w:panose1 w:val="02040502050405020303"/>
    <w:charset w:val="00"/>
    <w:family w:val="roman"/>
    <w:pitch w:val="variable"/>
    <w:sig w:usb0="00000287" w:usb1="00000000" w:usb2="00000000" w:usb3="00000000" w:csb0="0000009F" w:csb1="00000000"/>
    <w:embedItalic r:id="rId4" w:fontKey="{80757645-F82F-4AD5-AF20-2668A4C0C92B}"/>
  </w:font>
  <w:font w:name="Cambria">
    <w:panose1 w:val="02040503050406030204"/>
    <w:charset w:val="00"/>
    <w:family w:val="roman"/>
    <w:pitch w:val="variable"/>
    <w:sig w:usb0="E00006FF" w:usb1="420024FF" w:usb2="02000000" w:usb3="00000000" w:csb0="0000019F" w:csb1="00000000"/>
    <w:embedRegular r:id="rId5" w:fontKey="{7DF42981-A536-4054-84C1-871B40B226AE}"/>
    <w:embedBold r:id="rId6" w:fontKey="{3519314F-F92E-46BB-A449-5854955CF33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D6122443-4118-4EEF-8C8E-4A4BC15A0A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26883"/>
    <w:multiLevelType w:val="multilevel"/>
    <w:tmpl w:val="814850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3613C92"/>
    <w:multiLevelType w:val="multilevel"/>
    <w:tmpl w:val="FA845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DE36C82"/>
    <w:multiLevelType w:val="multilevel"/>
    <w:tmpl w:val="EC5C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862EF"/>
    <w:multiLevelType w:val="multilevel"/>
    <w:tmpl w:val="65063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6A71BD7"/>
    <w:multiLevelType w:val="multilevel"/>
    <w:tmpl w:val="8F88C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8BD117B"/>
    <w:multiLevelType w:val="multilevel"/>
    <w:tmpl w:val="82B87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C956AB0"/>
    <w:multiLevelType w:val="multilevel"/>
    <w:tmpl w:val="4E36E5C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C73E9E"/>
    <w:multiLevelType w:val="multilevel"/>
    <w:tmpl w:val="05A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4797">
    <w:abstractNumId w:val="1"/>
  </w:num>
  <w:num w:numId="2" w16cid:durableId="1991014285">
    <w:abstractNumId w:val="3"/>
  </w:num>
  <w:num w:numId="3" w16cid:durableId="2011054942">
    <w:abstractNumId w:val="4"/>
  </w:num>
  <w:num w:numId="4" w16cid:durableId="490606045">
    <w:abstractNumId w:val="0"/>
  </w:num>
  <w:num w:numId="5" w16cid:durableId="41515911">
    <w:abstractNumId w:val="5"/>
  </w:num>
  <w:num w:numId="6" w16cid:durableId="1451246917">
    <w:abstractNumId w:val="6"/>
  </w:num>
  <w:num w:numId="7" w16cid:durableId="1695879538">
    <w:abstractNumId w:val="2"/>
  </w:num>
  <w:num w:numId="8" w16cid:durableId="394620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3A3"/>
    <w:rsid w:val="001313CB"/>
    <w:rsid w:val="002C23A3"/>
    <w:rsid w:val="00BC0D40"/>
    <w:rsid w:val="00D56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249A"/>
  <w15:docId w15:val="{AB3F56A1-7BD2-45B0-8850-A0711B64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Nandini Nandu</cp:lastModifiedBy>
  <cp:revision>2</cp:revision>
  <dcterms:created xsi:type="dcterms:W3CDTF">2026-09-22T09:01:00Z</dcterms:created>
  <dcterms:modified xsi:type="dcterms:W3CDTF">2026-09-22T09:01:00Z</dcterms:modified>
</cp:coreProperties>
</file>