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D5BE" w14:textId="77777777" w:rsidR="003448EB" w:rsidRPr="00EA3505" w:rsidRDefault="00C7610E">
      <w:pPr>
        <w:rPr>
          <w:rFonts w:ascii="Book Antiqua" w:hAnsi="Book Antiqua" w:cs="Helvetica"/>
          <w:b/>
          <w:bCs/>
          <w:color w:val="202124"/>
          <w:sz w:val="32"/>
          <w:szCs w:val="32"/>
          <w:shd w:val="clear" w:color="auto" w:fill="FFFFFF"/>
        </w:rPr>
      </w:pPr>
      <w:r w:rsidRPr="00EA3505">
        <w:rPr>
          <w:rFonts w:ascii="Book Antiqua" w:hAnsi="Book Antiqua" w:cs="Helvetica"/>
          <w:b/>
          <w:bCs/>
          <w:color w:val="202124"/>
          <w:sz w:val="32"/>
          <w:szCs w:val="32"/>
          <w:shd w:val="clear" w:color="auto" w:fill="FFFFFF"/>
        </w:rPr>
        <w:t xml:space="preserve">Kalvium Data Analyst task and application </w:t>
      </w:r>
    </w:p>
    <w:p w14:paraId="62A199A3" w14:textId="77777777" w:rsidR="00C7610E" w:rsidRPr="00C7610E" w:rsidRDefault="00C7610E">
      <w:pPr>
        <w:rPr>
          <w:rFonts w:ascii="Book Antiqua" w:hAnsi="Book Antiqua" w:cs="Helvetica"/>
          <w:color w:val="202124"/>
          <w:sz w:val="32"/>
          <w:szCs w:val="32"/>
          <w:shd w:val="clear" w:color="auto" w:fill="FFFFFF"/>
        </w:rPr>
      </w:pPr>
      <w:r w:rsidRPr="00C7610E">
        <w:rPr>
          <w:rFonts w:ascii="Book Antiqua" w:hAnsi="Book Antiqua" w:cs="Helvetica"/>
          <w:color w:val="202124"/>
          <w:sz w:val="32"/>
          <w:szCs w:val="32"/>
          <w:shd w:val="clear" w:color="auto" w:fill="FFFFFF"/>
        </w:rPr>
        <w:t>Task 1:</w:t>
      </w:r>
    </w:p>
    <w:p w14:paraId="6C8FE438" w14:textId="6B8146A4" w:rsidR="00C7610E" w:rsidRDefault="00C7610E">
      <w:pP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</w:pPr>
      <w:r w:rsidRPr="00C7610E">
        <w:rPr>
          <w:rFonts w:ascii="Book Antiqua" w:hAnsi="Book Antiqua" w:cs="Helvetica"/>
          <w:color w:val="202124"/>
          <w:sz w:val="32"/>
          <w:szCs w:val="32"/>
          <w:shd w:val="clear" w:color="auto" w:fill="FFFFFF"/>
        </w:rPr>
        <w:t>Topic:</w:t>
      </w:r>
      <w:r w:rsidRPr="00C7610E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 xml:space="preserve"> </w:t>
      </w:r>
      <w:r w:rsidR="00EA3505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 xml:space="preserve">A </w:t>
      </w:r>
      <w:r w:rsidRPr="00C7610E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report of 10 key insight that can derive from the</w:t>
      </w:r>
      <w:r w:rsidR="00EA3505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 xml:space="preserve"> </w:t>
      </w:r>
      <w:r w:rsidRPr="00C7610E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data</w:t>
      </w:r>
    </w:p>
    <w:p w14:paraId="673328A9" w14:textId="29B52BE3" w:rsidR="00EE01CA" w:rsidRDefault="00EE01CA">
      <w:pP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</w:pPr>
      <w:proofErr w:type="gramStart"/>
      <w: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M</w:t>
      </w:r>
      <w:r w:rsidR="00EA3505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arri .Nandita</w:t>
      </w:r>
      <w:proofErr w:type="gramEnd"/>
    </w:p>
    <w:p w14:paraId="30ABC006" w14:textId="72B50862" w:rsidR="00EE01CA" w:rsidRDefault="00EE01CA" w:rsidP="00C7610E">
      <w:pP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</w:pPr>
      <w: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AP21110010</w:t>
      </w:r>
      <w:r w:rsidR="00EA3505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829</w:t>
      </w:r>
    </w:p>
    <w:p w14:paraId="47F27DD8" w14:textId="12AC129B" w:rsidR="00EE01CA" w:rsidRDefault="00EE01CA" w:rsidP="00C7610E">
      <w:pP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</w:pPr>
      <w:r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SRM University</w:t>
      </w:r>
      <w:r w:rsidR="00EA3505">
        <w:rPr>
          <w:rFonts w:ascii="Book Antiqua" w:hAnsi="Book Antiqua" w:cs="Arial"/>
          <w:color w:val="202124"/>
          <w:sz w:val="32"/>
          <w:szCs w:val="32"/>
          <w:shd w:val="clear" w:color="auto" w:fill="FFFFFF"/>
        </w:rPr>
        <w:t>, AP</w:t>
      </w:r>
    </w:p>
    <w:p w14:paraId="26E50BF4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Lok Sabha Election June 2024: Key Insights</w:t>
      </w:r>
    </w:p>
    <w:p w14:paraId="3C084FA2" w14:textId="77777777" w:rsid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1. Voter Turnout</w:t>
      </w:r>
    </w:p>
    <w:p w14:paraId="7FB30D18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Approximately 70% of eligible voters cast votes in the Lok Sabha election, a notable increase in turnout from prior years. This is a sign of increasing popular participation in democracy.</w:t>
      </w:r>
    </w:p>
    <w:p w14:paraId="11636F03" w14:textId="77777777" w:rsidR="006C2F50" w:rsidRDefault="00EA3505" w:rsidP="006C2F50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2. Party Performance</w:t>
      </w:r>
    </w:p>
    <w:p w14:paraId="1CCDA383" w14:textId="2EA674D9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Winning 280 of the 543 seats in the Lok Sabha, the ruling party was able to hold maintain its majority. This secures their place for an additional term.</w:t>
      </w:r>
      <w:r w:rsidRPr="006C2F50">
        <w:rPr>
          <w:rFonts w:ascii="Book Antiqua" w:hAnsi="Book Antiqua"/>
          <w:sz w:val="28"/>
          <w:szCs w:val="28"/>
        </w:rPr>
        <w:br/>
        <w:t>Gaining 150 seats, the largest opposition party outperformed itself, up 20 seats from the previous election.</w:t>
      </w:r>
    </w:p>
    <w:p w14:paraId="34F78E5E" w14:textId="77777777" w:rsidR="006C2F50" w:rsidRPr="00EA3505" w:rsidRDefault="006C2F50" w:rsidP="00EA3505">
      <w:pPr>
        <w:rPr>
          <w:rFonts w:ascii="Book Antiqua" w:hAnsi="Book Antiqua"/>
          <w:b/>
          <w:bCs/>
          <w:sz w:val="28"/>
          <w:szCs w:val="28"/>
        </w:rPr>
      </w:pPr>
    </w:p>
    <w:p w14:paraId="347D108C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3. Regional Parties</w:t>
      </w:r>
    </w:p>
    <w:p w14:paraId="0D7A8C94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Especially in regions like Andhra Pradesh and Odisha, where they secured a sizable number of assembly seats, regional parties remained vital.</w:t>
      </w:r>
    </w:p>
    <w:p w14:paraId="316FBEAB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The leading regional party in Andhra Pradesh secured 120 of the 175 assembly seats.</w:t>
      </w:r>
    </w:p>
    <w:p w14:paraId="26F262BD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The majority regional party in Odisha won 100 of the 147 assembly seats.</w:t>
      </w:r>
    </w:p>
    <w:p w14:paraId="3BC2C47A" w14:textId="77777777" w:rsidR="006C2F50" w:rsidRPr="006C2F50" w:rsidRDefault="006C2F50" w:rsidP="006C2F50">
      <w:pPr>
        <w:rPr>
          <w:rFonts w:ascii="Book Antiqua" w:hAnsi="Book Antiqua"/>
          <w:b/>
          <w:bCs/>
          <w:sz w:val="28"/>
          <w:szCs w:val="28"/>
        </w:rPr>
      </w:pPr>
    </w:p>
    <w:p w14:paraId="39F851AA" w14:textId="77777777" w:rsidR="006C2F50" w:rsidRPr="006C2F50" w:rsidRDefault="006C2F50" w:rsidP="006C2F50">
      <w:pPr>
        <w:rPr>
          <w:rFonts w:ascii="Book Antiqua" w:hAnsi="Book Antiqua"/>
          <w:b/>
          <w:bCs/>
          <w:sz w:val="28"/>
          <w:szCs w:val="28"/>
        </w:rPr>
      </w:pPr>
    </w:p>
    <w:p w14:paraId="6E82A69F" w14:textId="77777777" w:rsidR="006C2F50" w:rsidRDefault="006C2F50" w:rsidP="00EA3505">
      <w:pPr>
        <w:rPr>
          <w:rFonts w:ascii="Book Antiqua" w:hAnsi="Book Antiqua"/>
          <w:b/>
          <w:bCs/>
          <w:sz w:val="28"/>
          <w:szCs w:val="28"/>
        </w:rPr>
      </w:pPr>
    </w:p>
    <w:p w14:paraId="42F6ED29" w14:textId="0661BC54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lastRenderedPageBreak/>
        <w:t>4. New Entrants</w:t>
      </w:r>
    </w:p>
    <w:p w14:paraId="2C726A47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A number of recently formed political parties and independent candidates had a significant effect, winning a total of fifteen parliamentary seats between them.</w:t>
      </w:r>
    </w:p>
    <w:p w14:paraId="3C640327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This signals a change in the political landscape toward greater diversity.</w:t>
      </w:r>
    </w:p>
    <w:p w14:paraId="63D9D571" w14:textId="77777777" w:rsidR="006C2F50" w:rsidRPr="006C2F50" w:rsidRDefault="006C2F50" w:rsidP="006C2F50">
      <w:pPr>
        <w:rPr>
          <w:rFonts w:ascii="Book Antiqua" w:hAnsi="Book Antiqua"/>
          <w:b/>
          <w:bCs/>
          <w:sz w:val="28"/>
          <w:szCs w:val="28"/>
        </w:rPr>
      </w:pPr>
      <w:r w:rsidRPr="006C2F50">
        <w:rPr>
          <w:rFonts w:ascii="Book Antiqua" w:hAnsi="Book Antiqua"/>
          <w:b/>
          <w:bCs/>
          <w:sz w:val="28"/>
          <w:szCs w:val="28"/>
        </w:rPr>
        <w:t>5. The Representation of Gender</w:t>
      </w:r>
    </w:p>
    <w:p w14:paraId="0960834C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Compared to the previous election, when just 62 women were elected to the Lok Sabha, 70 women candidates performed better. Gender representation in Indian politics has advanced with this.</w:t>
      </w:r>
    </w:p>
    <w:p w14:paraId="5699BA4C" w14:textId="77777777" w:rsidR="006C2F50" w:rsidRPr="006C2F50" w:rsidRDefault="006C2F50" w:rsidP="006C2F50">
      <w:pPr>
        <w:rPr>
          <w:rFonts w:ascii="Book Antiqua" w:hAnsi="Book Antiqua"/>
          <w:b/>
          <w:bCs/>
          <w:sz w:val="28"/>
          <w:szCs w:val="28"/>
        </w:rPr>
      </w:pPr>
      <w:r w:rsidRPr="006C2F50">
        <w:rPr>
          <w:rFonts w:ascii="Book Antiqua" w:hAnsi="Book Antiqua"/>
          <w:b/>
          <w:bCs/>
          <w:sz w:val="28"/>
          <w:szCs w:val="28"/>
        </w:rPr>
        <w:t>6. Involvement of Youth</w:t>
      </w:r>
    </w:p>
    <w:p w14:paraId="628CDE95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The voting turnout of young voters (those between the ages of 18 and 25) increased significantly; they made up about 15% of the vote overall.</w:t>
      </w:r>
    </w:p>
    <w:p w14:paraId="5143E653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Parties emphasizing reforms in the areas of employment and education were strongly preferred by this group.</w:t>
      </w:r>
    </w:p>
    <w:p w14:paraId="309F013A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7. Bye Elections</w:t>
      </w:r>
    </w:p>
    <w:p w14:paraId="5EFEE8CF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t>The 25 assembly bye elections held simultaneously saw a mixed bag of results, with the ruling party and opposition parties each winning about half of the seats.</w:t>
      </w:r>
    </w:p>
    <w:p w14:paraId="743625C3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t>These results indicate a competitive political environment and varying local issues.</w:t>
      </w:r>
    </w:p>
    <w:p w14:paraId="5C539E80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8. Urban vs Rural Voting Patterns</w:t>
      </w:r>
    </w:p>
    <w:p w14:paraId="0EF48DAA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t>Urban areas showed a preference for the ruling party, with about 60% of urban constituencies voting in their favor.</w:t>
      </w:r>
    </w:p>
    <w:p w14:paraId="56EB5B38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t>Rural areas were more divided, with regional parties and the opposition party performing better.</w:t>
      </w:r>
    </w:p>
    <w:p w14:paraId="1E17507B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9. Key Issues</w:t>
      </w:r>
    </w:p>
    <w:p w14:paraId="7F77500D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t>Major issues influencing voter decisions included economic development, employment, healthcare, and education.</w:t>
      </w:r>
    </w:p>
    <w:p w14:paraId="1F470CF8" w14:textId="77777777" w:rsidR="00EA3505" w:rsidRPr="00EA3505" w:rsidRDefault="00EA3505" w:rsidP="00EA3505">
      <w:pPr>
        <w:rPr>
          <w:rFonts w:ascii="Book Antiqua" w:hAnsi="Book Antiqua"/>
          <w:sz w:val="28"/>
          <w:szCs w:val="28"/>
        </w:rPr>
      </w:pPr>
      <w:r w:rsidRPr="00EA3505">
        <w:rPr>
          <w:rFonts w:ascii="Book Antiqua" w:hAnsi="Book Antiqua"/>
          <w:sz w:val="28"/>
          <w:szCs w:val="28"/>
        </w:rPr>
        <w:lastRenderedPageBreak/>
        <w:t>Voters in Andhra Pradesh and Odisha particularly emphasized regional development and state-specific issues.</w:t>
      </w:r>
    </w:p>
    <w:p w14:paraId="03C93E85" w14:textId="77777777" w:rsidR="00EA3505" w:rsidRPr="00EA3505" w:rsidRDefault="00EA3505" w:rsidP="00EA3505">
      <w:pPr>
        <w:rPr>
          <w:rFonts w:ascii="Book Antiqua" w:hAnsi="Book Antiqua"/>
          <w:b/>
          <w:bCs/>
          <w:sz w:val="28"/>
          <w:szCs w:val="28"/>
        </w:rPr>
      </w:pPr>
      <w:r w:rsidRPr="00EA3505">
        <w:rPr>
          <w:rFonts w:ascii="Book Antiqua" w:hAnsi="Book Antiqua"/>
          <w:b/>
          <w:bCs/>
          <w:sz w:val="28"/>
          <w:szCs w:val="28"/>
        </w:rPr>
        <w:t>10. Election Technology</w:t>
      </w:r>
    </w:p>
    <w:p w14:paraId="10622085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Voting irregularities decreased and the elections process ran more smoothly overall as a result of improved electoral procedures and enhanced voting equipment.</w:t>
      </w:r>
    </w:p>
    <w:p w14:paraId="1F8648FD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  <w:r w:rsidRPr="006C2F50">
        <w:rPr>
          <w:rFonts w:ascii="Book Antiqua" w:hAnsi="Book Antiqua"/>
          <w:sz w:val="28"/>
          <w:szCs w:val="28"/>
        </w:rPr>
        <w:t>Voter Verified Paper Audit Trails (VVPATs) and Electronic Voting Machines (EVMs) were used more frequently, which increased election credibility and transparency.</w:t>
      </w:r>
    </w:p>
    <w:p w14:paraId="7DAACE00" w14:textId="77777777" w:rsidR="006C2F50" w:rsidRPr="006C2F50" w:rsidRDefault="006C2F50" w:rsidP="006C2F50">
      <w:pPr>
        <w:rPr>
          <w:rFonts w:ascii="Book Antiqua" w:hAnsi="Book Antiqua"/>
          <w:sz w:val="28"/>
          <w:szCs w:val="28"/>
        </w:rPr>
      </w:pPr>
    </w:p>
    <w:p w14:paraId="2EDA36DD" w14:textId="678AE11F" w:rsidR="00C7610E" w:rsidRPr="00C7610E" w:rsidRDefault="00C7610E" w:rsidP="00EA3505">
      <w:pPr>
        <w:rPr>
          <w:rFonts w:ascii="Book Antiqua" w:hAnsi="Book Antiqua"/>
          <w:sz w:val="28"/>
          <w:szCs w:val="28"/>
        </w:rPr>
      </w:pPr>
    </w:p>
    <w:sectPr w:rsidR="00C7610E" w:rsidRPr="00C7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6AEB"/>
    <w:multiLevelType w:val="multilevel"/>
    <w:tmpl w:val="346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7CE7"/>
    <w:multiLevelType w:val="multilevel"/>
    <w:tmpl w:val="00C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44051"/>
    <w:multiLevelType w:val="multilevel"/>
    <w:tmpl w:val="5FB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03B9D"/>
    <w:multiLevelType w:val="multilevel"/>
    <w:tmpl w:val="864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51601"/>
    <w:multiLevelType w:val="multilevel"/>
    <w:tmpl w:val="CA9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72B8F"/>
    <w:multiLevelType w:val="multilevel"/>
    <w:tmpl w:val="B23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38BE"/>
    <w:multiLevelType w:val="multilevel"/>
    <w:tmpl w:val="2A56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EC5"/>
    <w:multiLevelType w:val="multilevel"/>
    <w:tmpl w:val="5584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B259C"/>
    <w:multiLevelType w:val="multilevel"/>
    <w:tmpl w:val="32B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44FC8"/>
    <w:multiLevelType w:val="multilevel"/>
    <w:tmpl w:val="FA0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20522">
    <w:abstractNumId w:val="6"/>
  </w:num>
  <w:num w:numId="2" w16cid:durableId="1721588561">
    <w:abstractNumId w:val="8"/>
  </w:num>
  <w:num w:numId="3" w16cid:durableId="264508068">
    <w:abstractNumId w:val="9"/>
  </w:num>
  <w:num w:numId="4" w16cid:durableId="555972774">
    <w:abstractNumId w:val="3"/>
  </w:num>
  <w:num w:numId="5" w16cid:durableId="884751202">
    <w:abstractNumId w:val="1"/>
  </w:num>
  <w:num w:numId="6" w16cid:durableId="399060745">
    <w:abstractNumId w:val="7"/>
  </w:num>
  <w:num w:numId="7" w16cid:durableId="826744829">
    <w:abstractNumId w:val="2"/>
  </w:num>
  <w:num w:numId="8" w16cid:durableId="2108571028">
    <w:abstractNumId w:val="5"/>
  </w:num>
  <w:num w:numId="9" w16cid:durableId="1804035497">
    <w:abstractNumId w:val="0"/>
  </w:num>
  <w:num w:numId="10" w16cid:durableId="31492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0E"/>
    <w:rsid w:val="003448EB"/>
    <w:rsid w:val="006C213C"/>
    <w:rsid w:val="006C2F50"/>
    <w:rsid w:val="00987BEC"/>
    <w:rsid w:val="00C7610E"/>
    <w:rsid w:val="00EA3505"/>
    <w:rsid w:val="00E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50A4"/>
  <w15:chartTrackingRefBased/>
  <w15:docId w15:val="{82867608-B0DF-40BC-B1F2-7BC28311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NANDITA MARRI</cp:lastModifiedBy>
  <cp:revision>2</cp:revision>
  <dcterms:created xsi:type="dcterms:W3CDTF">2024-06-30T13:11:00Z</dcterms:created>
  <dcterms:modified xsi:type="dcterms:W3CDTF">2024-06-30T13:11:00Z</dcterms:modified>
</cp:coreProperties>
</file>