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67AF" w:rsidRDefault="00000000">
      <w:pPr>
        <w:pStyle w:val="Heading2"/>
        <w:keepNext w:val="0"/>
        <w:keepLines w:val="0"/>
        <w:spacing w:after="80"/>
        <w:rPr>
          <w:b/>
          <w:bCs/>
          <w:sz w:val="34"/>
          <w:szCs w:val="34"/>
        </w:rPr>
      </w:pPr>
      <w:bookmarkStart w:id="0" w:name="_s7vcku7jq97n" w:colFirst="0" w:colLast="0"/>
      <w:bookmarkEnd w:id="0"/>
      <w:r>
        <w:rPr>
          <w:b/>
          <w:bCs/>
          <w:sz w:val="34"/>
          <w:szCs w:val="34"/>
        </w:rPr>
        <w:t xml:space="preserve">Session Title: </w:t>
      </w:r>
    </w:p>
    <w:p w14:paraId="00000002" w14:textId="77777777" w:rsidR="00A267AF" w:rsidRDefault="00000000">
      <w:pPr>
        <w:spacing w:before="240" w:after="240"/>
      </w:pPr>
      <w:r>
        <w:t xml:space="preserve">The Robot-Navigable City: AI, Accessibility, and Action </w:t>
      </w:r>
    </w:p>
    <w:p w14:paraId="00000003" w14:textId="77777777" w:rsidR="00A267AF" w:rsidRDefault="00000000">
      <w:pPr>
        <w:spacing w:before="240" w:after="240"/>
      </w:pPr>
      <w:r>
        <w:t>(12 words max)</w:t>
      </w:r>
    </w:p>
    <w:p w14:paraId="00000004" w14:textId="77777777" w:rsidR="00A267AF" w:rsidRDefault="00A267AF">
      <w:pPr>
        <w:spacing w:before="240" w:after="240"/>
      </w:pPr>
    </w:p>
    <w:p w14:paraId="00000005" w14:textId="77777777" w:rsidR="00A267AF" w:rsidRDefault="00000000">
      <w:pPr>
        <w:pStyle w:val="Heading2"/>
        <w:spacing w:before="240" w:after="240"/>
      </w:pPr>
      <w:bookmarkStart w:id="1" w:name="_jqtcpxqebveo" w:colFirst="0" w:colLast="0"/>
      <w:bookmarkEnd w:id="1"/>
      <w:r>
        <w:rPr>
          <w:b/>
          <w:bCs/>
        </w:rPr>
        <w:t>Session Marketing Statement:</w:t>
      </w:r>
      <w:r>
        <w:t xml:space="preserve"> </w:t>
      </w:r>
    </w:p>
    <w:p w14:paraId="00000006" w14:textId="77777777" w:rsidR="00A267AF" w:rsidRDefault="00000000">
      <w:pPr>
        <w:spacing w:before="240" w:after="240"/>
      </w:pPr>
      <w:r>
        <w:t>When robots can't navigate our streets, neither can wheelchairs. As autonomous systems join bikes and pedestrians as street users, they generate diagnostic data revealing decades-old accessibility barriers. This session shows how AI transforms this data into action—exploring systemic challenges, robot capabilities, and design tools that create universally accessible cities.</w:t>
      </w:r>
    </w:p>
    <w:p w14:paraId="00000007" w14:textId="77777777" w:rsidR="00A267AF" w:rsidRDefault="00000000">
      <w:pPr>
        <w:spacing w:before="240" w:after="240"/>
      </w:pPr>
      <w:r>
        <w:t>(50 words max)</w:t>
      </w:r>
    </w:p>
    <w:p w14:paraId="00000008" w14:textId="77777777" w:rsidR="00A267AF" w:rsidRDefault="00A267AF">
      <w:pPr>
        <w:spacing w:before="240" w:after="240"/>
        <w:rPr>
          <w:color w:val="999999"/>
        </w:rPr>
      </w:pPr>
    </w:p>
    <w:p w14:paraId="00000009" w14:textId="77777777" w:rsidR="00A267AF" w:rsidRDefault="00000000">
      <w:pPr>
        <w:pStyle w:val="Heading2"/>
        <w:spacing w:before="240" w:after="240"/>
        <w:rPr>
          <w:b/>
          <w:bCs/>
        </w:rPr>
      </w:pPr>
      <w:bookmarkStart w:id="2" w:name="_la8kr3qy62ot" w:colFirst="0" w:colLast="0"/>
      <w:bookmarkEnd w:id="2"/>
      <w:r>
        <w:rPr>
          <w:b/>
          <w:bCs/>
        </w:rPr>
        <w:t>Track:</w:t>
      </w:r>
    </w:p>
    <w:p w14:paraId="0000000A" w14:textId="77777777" w:rsidR="00A267AF" w:rsidRDefault="00000000">
      <w:r>
        <w:t>Future of Public Realm</w:t>
      </w:r>
    </w:p>
    <w:p w14:paraId="0000000B" w14:textId="77777777" w:rsidR="00A267AF" w:rsidRDefault="00A267AF">
      <w:pPr>
        <w:rPr>
          <w:b/>
          <w:bCs/>
        </w:rPr>
      </w:pPr>
    </w:p>
    <w:p w14:paraId="0000000C" w14:textId="77777777" w:rsidR="00A267AF" w:rsidRDefault="00A267AF">
      <w:pPr>
        <w:rPr>
          <w:b/>
          <w:bCs/>
        </w:rPr>
      </w:pPr>
    </w:p>
    <w:p w14:paraId="0000000D" w14:textId="77777777" w:rsidR="00A267AF" w:rsidRDefault="00000000">
      <w:pPr>
        <w:pStyle w:val="Heading2"/>
        <w:spacing w:before="240" w:after="240"/>
        <w:rPr>
          <w:b/>
          <w:bCs/>
        </w:rPr>
      </w:pPr>
      <w:bookmarkStart w:id="3" w:name="_9v66rpagmpqf" w:colFirst="0" w:colLast="0"/>
      <w:bookmarkEnd w:id="3"/>
      <w:r>
        <w:rPr>
          <w:b/>
          <w:bCs/>
        </w:rPr>
        <w:t>Target Audience:</w:t>
      </w:r>
    </w:p>
    <w:p w14:paraId="0000000E" w14:textId="77777777" w:rsidR="00A267AF" w:rsidRDefault="00000000">
      <w:pPr>
        <w:numPr>
          <w:ilvl w:val="0"/>
          <w:numId w:val="16"/>
        </w:numPr>
      </w:pPr>
      <w:r>
        <w:t>Public Practitioners</w:t>
      </w:r>
    </w:p>
    <w:p w14:paraId="0000000F" w14:textId="77777777" w:rsidR="00A267AF" w:rsidRDefault="00000000">
      <w:pPr>
        <w:numPr>
          <w:ilvl w:val="0"/>
          <w:numId w:val="16"/>
        </w:numPr>
      </w:pPr>
      <w:r>
        <w:t>Emerging Professionals</w:t>
      </w:r>
    </w:p>
    <w:p w14:paraId="00000010" w14:textId="77777777" w:rsidR="00A267AF" w:rsidRDefault="00000000">
      <w:pPr>
        <w:numPr>
          <w:ilvl w:val="0"/>
          <w:numId w:val="16"/>
        </w:numPr>
      </w:pPr>
      <w:r>
        <w:t>Small Business/Sole Practitioner</w:t>
      </w:r>
    </w:p>
    <w:p w14:paraId="00000011" w14:textId="77777777" w:rsidR="00A267AF" w:rsidRDefault="00000000">
      <w:pPr>
        <w:numPr>
          <w:ilvl w:val="0"/>
          <w:numId w:val="16"/>
        </w:numPr>
      </w:pPr>
      <w:r>
        <w:t>Firm Leader</w:t>
      </w:r>
    </w:p>
    <w:p w14:paraId="00000012" w14:textId="77777777" w:rsidR="00A267AF" w:rsidRDefault="00000000">
      <w:pPr>
        <w:numPr>
          <w:ilvl w:val="0"/>
          <w:numId w:val="16"/>
        </w:numPr>
      </w:pPr>
      <w:r>
        <w:t>Project Manager/ Mid-Career Professionals</w:t>
      </w:r>
    </w:p>
    <w:p w14:paraId="00000013" w14:textId="77777777" w:rsidR="00A267AF" w:rsidRDefault="00000000">
      <w:pPr>
        <w:numPr>
          <w:ilvl w:val="0"/>
          <w:numId w:val="16"/>
        </w:numPr>
      </w:pPr>
      <w:r>
        <w:t>Design-Build</w:t>
      </w:r>
    </w:p>
    <w:p w14:paraId="00000014" w14:textId="77777777" w:rsidR="00A267AF" w:rsidRDefault="00000000">
      <w:pPr>
        <w:numPr>
          <w:ilvl w:val="0"/>
          <w:numId w:val="16"/>
        </w:numPr>
      </w:pPr>
      <w:r>
        <w:t>Academic Practitioners</w:t>
      </w:r>
    </w:p>
    <w:p w14:paraId="00000015" w14:textId="77777777" w:rsidR="00A267AF" w:rsidRDefault="00000000">
      <w:pPr>
        <w:numPr>
          <w:ilvl w:val="0"/>
          <w:numId w:val="16"/>
        </w:numPr>
      </w:pPr>
      <w:r>
        <w:t>Students</w:t>
      </w:r>
    </w:p>
    <w:p w14:paraId="00000016" w14:textId="77777777" w:rsidR="00A267AF" w:rsidRDefault="00A267AF">
      <w:pPr>
        <w:rPr>
          <w:b/>
          <w:bCs/>
        </w:rPr>
      </w:pPr>
    </w:p>
    <w:p w14:paraId="00000017" w14:textId="77777777" w:rsidR="00A267AF" w:rsidRDefault="00000000">
      <w:pPr>
        <w:pStyle w:val="Heading2"/>
        <w:spacing w:before="240" w:after="240"/>
      </w:pPr>
      <w:bookmarkStart w:id="4" w:name="_i79m94jebavz" w:colFirst="0" w:colLast="0"/>
      <w:bookmarkEnd w:id="4"/>
      <w:r>
        <w:rPr>
          <w:b/>
          <w:bCs/>
        </w:rPr>
        <w:t>Instruction Level:</w:t>
      </w:r>
    </w:p>
    <w:p w14:paraId="00000018" w14:textId="77777777" w:rsidR="00A267AF" w:rsidRDefault="00000000">
      <w:r>
        <w:t>Intermediate</w:t>
      </w:r>
    </w:p>
    <w:p w14:paraId="00000019" w14:textId="77777777" w:rsidR="00A267AF" w:rsidRDefault="00A267AF">
      <w:pPr>
        <w:spacing w:before="240" w:after="240"/>
      </w:pPr>
    </w:p>
    <w:p w14:paraId="0000001A" w14:textId="77777777" w:rsidR="00A267AF" w:rsidRDefault="00000000">
      <w:pPr>
        <w:pStyle w:val="Heading2"/>
        <w:rPr>
          <w:b/>
          <w:bCs/>
        </w:rPr>
      </w:pPr>
      <w:bookmarkStart w:id="5" w:name="_xzbxk6t01y4s" w:colFirst="0" w:colLast="0"/>
      <w:bookmarkEnd w:id="5"/>
      <w:r>
        <w:rPr>
          <w:b/>
          <w:bCs/>
        </w:rPr>
        <w:lastRenderedPageBreak/>
        <w:t>Learning Outcome:</w:t>
      </w:r>
    </w:p>
    <w:p w14:paraId="0000001B" w14:textId="77777777" w:rsidR="00A267AF" w:rsidRDefault="00000000">
      <w:pPr>
        <w:numPr>
          <w:ilvl w:val="0"/>
          <w:numId w:val="3"/>
        </w:numPr>
        <w:spacing w:before="240"/>
        <w:rPr>
          <w:sz w:val="21"/>
          <w:szCs w:val="21"/>
        </w:rPr>
      </w:pPr>
      <w:r>
        <w:rPr>
          <w:sz w:val="21"/>
          <w:szCs w:val="21"/>
        </w:rPr>
        <w:t>Learn how to integrate artificial intelligence and autonomous systems into landscape architecture design processes, positioning practice at the forefront of an under-explored but rapidly advancing frontier.</w:t>
      </w:r>
    </w:p>
    <w:p w14:paraId="0000001C" w14:textId="77777777" w:rsidR="00A267AF" w:rsidRDefault="00000000">
      <w:pPr>
        <w:numPr>
          <w:ilvl w:val="0"/>
          <w:numId w:val="3"/>
        </w:numPr>
        <w:rPr>
          <w:sz w:val="21"/>
          <w:szCs w:val="21"/>
        </w:rPr>
      </w:pPr>
      <w:r>
        <w:rPr>
          <w:sz w:val="21"/>
          <w:szCs w:val="21"/>
        </w:rPr>
        <w:t>Explore how fragmented responsibility, liability risks, and funding constraints hinder accessibility improvements, and recognize conditions where accessible data can enable more effective interventions.</w:t>
      </w:r>
    </w:p>
    <w:p w14:paraId="0000001D" w14:textId="77777777" w:rsidR="00A267AF" w:rsidRDefault="00000000">
      <w:pPr>
        <w:numPr>
          <w:ilvl w:val="0"/>
          <w:numId w:val="3"/>
        </w:numPr>
        <w:rPr>
          <w:sz w:val="21"/>
          <w:szCs w:val="21"/>
        </w:rPr>
      </w:pPr>
      <w:r>
        <w:rPr>
          <w:sz w:val="21"/>
          <w:szCs w:val="21"/>
        </w:rPr>
        <w:t>Understand how robots function as data providers (revealing accessibility barriers through navigation failures) and emerging street users, with insights from both roles informing more inclusive, human-centered public realm design.</w:t>
      </w:r>
    </w:p>
    <w:p w14:paraId="0000001E" w14:textId="77777777" w:rsidR="00A267AF" w:rsidRDefault="00000000">
      <w:pPr>
        <w:numPr>
          <w:ilvl w:val="0"/>
          <w:numId w:val="3"/>
        </w:numPr>
        <w:spacing w:after="240"/>
        <w:rPr>
          <w:sz w:val="21"/>
          <w:szCs w:val="21"/>
        </w:rPr>
      </w:pPr>
      <w:r>
        <w:rPr>
          <w:sz w:val="21"/>
          <w:szCs w:val="21"/>
        </w:rPr>
        <w:t>Engage with the value of collaboration among designers, technologists, community advocates, and municipalities in co-creating healthier, safer, and more inclusive public spaces.</w:t>
      </w:r>
    </w:p>
    <w:p w14:paraId="0000001F" w14:textId="77777777" w:rsidR="00A267AF" w:rsidRDefault="00A267AF">
      <w:pPr>
        <w:spacing w:before="240" w:after="240"/>
        <w:rPr>
          <w:sz w:val="21"/>
          <w:szCs w:val="21"/>
        </w:rPr>
      </w:pPr>
    </w:p>
    <w:p w14:paraId="00000020" w14:textId="77777777" w:rsidR="00A267AF" w:rsidRDefault="00000000">
      <w:pPr>
        <w:pStyle w:val="Heading2"/>
        <w:spacing w:before="240" w:after="240"/>
        <w:rPr>
          <w:b/>
          <w:bCs/>
        </w:rPr>
      </w:pPr>
      <w:bookmarkStart w:id="6" w:name="_x8qld881xdax" w:colFirst="0" w:colLast="0"/>
      <w:bookmarkEnd w:id="6"/>
      <w:r>
        <w:rPr>
          <w:b/>
          <w:bCs/>
        </w:rPr>
        <w:t xml:space="preserve">Panel Equity &amp; Inclusion: </w:t>
      </w:r>
    </w:p>
    <w:p w14:paraId="00000021" w14:textId="77777777" w:rsidR="00A267AF" w:rsidRDefault="00000000">
      <w:r>
        <w:t xml:space="preserve">The panel provides racial, cultural, disciplinary and methodological diversity with one landscape designer and machine learning researcher; one robotics and computer vision specialist who maintains a dual identity as an academic researcher and chief autonomy scientist at an autonomous delivery robotics company; and one community organizer with a background in grassroots mobility advocacy. </w:t>
      </w:r>
    </w:p>
    <w:p w14:paraId="00000022" w14:textId="77777777" w:rsidR="00A267AF" w:rsidRDefault="00A267AF"/>
    <w:p w14:paraId="00000023" w14:textId="77777777" w:rsidR="00A267AF" w:rsidRDefault="00000000">
      <w:r>
        <w:t>The panelists have been published in peer-reviewed journals and have experience giving courses, guest lectures and presentations at universities, national-level professional conferences, and community forums. Their collective work spans hyper-local Los Angeles community initiatives to international experimental mega-projects of various scales. Additionally, their spheres of practice represent a diverse mix of technical innovation (AI/robotics implementation), design practice (public realm and landscape), and on-the-ground advocacy (equitable street design and mobility justice). This ensures AI and robotic discussions are grounded in both technological advancement and lived community experience, centering social equity alongside innovation.</w:t>
      </w:r>
    </w:p>
    <w:p w14:paraId="00000024" w14:textId="77777777" w:rsidR="00A267AF" w:rsidRDefault="00000000">
      <w:pPr>
        <w:spacing w:before="240" w:after="240"/>
      </w:pPr>
      <w:r>
        <w:t>(175 words max)</w:t>
      </w:r>
    </w:p>
    <w:p w14:paraId="00000025" w14:textId="77777777" w:rsidR="00A267AF" w:rsidRDefault="00A267AF"/>
    <w:p w14:paraId="00000026" w14:textId="77777777" w:rsidR="00A267AF" w:rsidRDefault="00A267AF"/>
    <w:p w14:paraId="00000027" w14:textId="77777777" w:rsidR="00A267AF" w:rsidRDefault="00A267AF"/>
    <w:p w14:paraId="00000028" w14:textId="77777777" w:rsidR="00A267AF" w:rsidRDefault="00A267AF"/>
    <w:p w14:paraId="00000029" w14:textId="77777777" w:rsidR="00A267AF" w:rsidRDefault="00000000">
      <w:pPr>
        <w:pStyle w:val="Heading2"/>
        <w:spacing w:before="240" w:after="240"/>
      </w:pPr>
      <w:bookmarkStart w:id="7" w:name="_6ydxvvwj38ba" w:colFirst="0" w:colLast="0"/>
      <w:bookmarkEnd w:id="7"/>
      <w:r>
        <w:rPr>
          <w:b/>
          <w:bCs/>
        </w:rPr>
        <w:lastRenderedPageBreak/>
        <w:t xml:space="preserve">Content Equity &amp; Inclusion: </w:t>
      </w:r>
    </w:p>
    <w:p w14:paraId="0000002A" w14:textId="77777777" w:rsidR="00A267AF" w:rsidRDefault="00000000">
      <w:r>
        <w:t>Sidewalks are the foundation of active, safe, equitable, and inclusive public streets. As the first and last mile connector for virtually every trip—whether by bus, metro, or on foot—sidewalks protect pedestrian safety, prevent collisions with vehicular traffic, and facilitate diverse uses for elderly residents, parents with strollers, people using mobility devices, and emerging technologies like delivery robots.</w:t>
      </w:r>
    </w:p>
    <w:p w14:paraId="0000002B" w14:textId="77777777" w:rsidR="00A267AF" w:rsidRDefault="00000000">
      <w:pPr>
        <w:spacing w:before="240" w:after="240"/>
      </w:pPr>
      <w:r>
        <w:t xml:space="preserve">This session focuses on strategically utilizing data-centric and AI methodologies to make infrastructure data actionable, building healthier, more inclusive streets by leveraging accessible data and emerging technologies where traditional funding and liability structures create barriers. Through case studies spanning multiple perspectives, we'll examine how data-driven approaches can support equitable sidewalk infrastructure across contexts—from well-resourced rapid-response systems to large-scale networks facing coordination and funding challenges; delivery robot navigation failures that reveal what autonomous systems can and cannot detect; and forward-thinking prototypes for ADA-compliant, robot-navigable streets that prioritize accessibility for all users, including wheelchair users. </w:t>
      </w:r>
    </w:p>
    <w:p w14:paraId="0000002C" w14:textId="77777777" w:rsidR="00A267AF" w:rsidRDefault="00000000">
      <w:pPr>
        <w:spacing w:before="240" w:after="240"/>
      </w:pPr>
      <w:r>
        <w:t>(175 words max)</w:t>
      </w:r>
    </w:p>
    <w:p w14:paraId="0000002D" w14:textId="77777777" w:rsidR="00A267AF" w:rsidRDefault="00A267AF">
      <w:pPr>
        <w:spacing w:before="240" w:after="240"/>
      </w:pPr>
    </w:p>
    <w:p w14:paraId="0000002E" w14:textId="77777777" w:rsidR="00A267AF" w:rsidRDefault="00000000">
      <w:pPr>
        <w:pStyle w:val="Heading2"/>
        <w:spacing w:before="240" w:after="240"/>
      </w:pPr>
      <w:bookmarkStart w:id="8" w:name="_b03bs7sk7yc1" w:colFirst="0" w:colLast="0"/>
      <w:bookmarkEnd w:id="8"/>
      <w:r>
        <w:rPr>
          <w:b/>
          <w:bCs/>
        </w:rPr>
        <w:t xml:space="preserve">Actionable Takeaways: </w:t>
      </w:r>
    </w:p>
    <w:p w14:paraId="0000002F" w14:textId="77777777" w:rsidR="00A267AF" w:rsidRDefault="00000000">
      <w:pPr>
        <w:rPr>
          <w:color w:val="4A86E8"/>
        </w:rPr>
      </w:pPr>
      <w:r>
        <w:rPr>
          <w:sz w:val="21"/>
          <w:szCs w:val="21"/>
        </w:rPr>
        <w:t>Apply diagnostic-to-design translation methods to turn spatial data (from robots, AI, community input, or other sources) into actionable design tools for your projects—whether addressing accessibility, safety, maintenance, equity, or other public realm challenges.</w:t>
      </w:r>
    </w:p>
    <w:p w14:paraId="00000030" w14:textId="77777777" w:rsidR="00A267AF" w:rsidRDefault="00A267AF">
      <w:pPr>
        <w:spacing w:before="240" w:after="240"/>
      </w:pPr>
    </w:p>
    <w:p w14:paraId="00000031" w14:textId="77777777" w:rsidR="00A267AF" w:rsidRDefault="00000000">
      <w:pPr>
        <w:pStyle w:val="Heading2"/>
      </w:pPr>
      <w:bookmarkStart w:id="9" w:name="_dvwkb0349y9x" w:colFirst="0" w:colLast="0"/>
      <w:bookmarkEnd w:id="9"/>
      <w:r>
        <w:rPr>
          <w:b/>
          <w:bCs/>
        </w:rPr>
        <w:t>Session Outline:</w:t>
      </w:r>
    </w:p>
    <w:p w14:paraId="00000032" w14:textId="77777777" w:rsidR="00A267AF" w:rsidRDefault="00000000">
      <w:pPr>
        <w:pStyle w:val="Heading3"/>
        <w:keepNext w:val="0"/>
        <w:keepLines w:val="0"/>
        <w:spacing w:before="280"/>
        <w:ind w:right="600"/>
        <w:rPr>
          <w:b/>
          <w:bCs/>
          <w:i/>
          <w:iCs/>
          <w:color w:val="000000"/>
          <w:sz w:val="26"/>
          <w:szCs w:val="26"/>
        </w:rPr>
      </w:pPr>
      <w:bookmarkStart w:id="10" w:name="_3srfd9g2udwm" w:colFirst="0" w:colLast="0"/>
      <w:bookmarkEnd w:id="10"/>
      <w:r>
        <w:rPr>
          <w:b/>
          <w:bCs/>
          <w:i/>
          <w:iCs/>
          <w:color w:val="000000"/>
          <w:sz w:val="26"/>
          <w:szCs w:val="26"/>
        </w:rPr>
        <w:t>I. Introduction: From Accessibility Data to Action</w:t>
      </w:r>
    </w:p>
    <w:p w14:paraId="00000033" w14:textId="77777777" w:rsidR="00A267AF" w:rsidRDefault="00000000">
      <w:pPr>
        <w:spacing w:before="240" w:after="240"/>
        <w:rPr>
          <w:i/>
          <w:iCs/>
        </w:rPr>
      </w:pPr>
      <w:r>
        <w:rPr>
          <w:i/>
          <w:iCs/>
        </w:rPr>
        <w:t>(Nandi Yang, 4 minutes)</w:t>
      </w:r>
    </w:p>
    <w:p w14:paraId="00000034" w14:textId="77777777" w:rsidR="00A267AF" w:rsidRDefault="00000000">
      <w:pPr>
        <w:rPr>
          <w:i/>
          <w:iCs/>
        </w:rPr>
      </w:pPr>
      <w:r>
        <w:t xml:space="preserve">A. Street in Evolution: </w:t>
      </w:r>
      <w:r>
        <w:rPr>
          <w:i/>
          <w:iCs/>
        </w:rPr>
        <w:t>Public streets have evolved to accommodate horses, cars, bikes, and pedestrians. Today, autonomous delivery robots are joining as the newest street users.</w:t>
      </w:r>
    </w:p>
    <w:p w14:paraId="00000035" w14:textId="77777777" w:rsidR="00A267AF" w:rsidRDefault="00A267AF">
      <w:pPr>
        <w:rPr>
          <w:i/>
          <w:iCs/>
        </w:rPr>
      </w:pPr>
    </w:p>
    <w:p w14:paraId="00000036" w14:textId="77777777" w:rsidR="00A267AF" w:rsidRDefault="00000000">
      <w:pPr>
        <w:rPr>
          <w:i/>
          <w:iCs/>
        </w:rPr>
      </w:pPr>
      <w:r>
        <w:t xml:space="preserve">B. A Persistent Challenge: </w:t>
      </w:r>
      <w:r>
        <w:rPr>
          <w:i/>
          <w:iCs/>
        </w:rPr>
        <w:t>Despite decades of ADA standards, accessibility barriers persist. The infrastructure failures that exclude wheelchair users now prevent robots from navigating safely.</w:t>
      </w:r>
    </w:p>
    <w:p w14:paraId="00000037" w14:textId="77777777" w:rsidR="00A267AF" w:rsidRDefault="00000000">
      <w:pPr>
        <w:rPr>
          <w:i/>
          <w:iCs/>
        </w:rPr>
      </w:pPr>
      <w:r>
        <w:lastRenderedPageBreak/>
        <w:br/>
        <w:t xml:space="preserve">C. An Unexpected Diagnostic Tool: </w:t>
      </w:r>
      <w:r>
        <w:rPr>
          <w:i/>
          <w:iCs/>
        </w:rPr>
        <w:t>As robots navigate broken streets, they generate continuous spatial data—documenting infrastructure barriers and navigation failures at scale.</w:t>
      </w:r>
    </w:p>
    <w:p w14:paraId="00000038" w14:textId="77777777" w:rsidR="00A267AF" w:rsidRDefault="00A267AF">
      <w:pPr>
        <w:rPr>
          <w:i/>
          <w:iCs/>
        </w:rPr>
      </w:pPr>
    </w:p>
    <w:p w14:paraId="00000039" w14:textId="77777777" w:rsidR="00A267AF" w:rsidRDefault="00000000">
      <w:pPr>
        <w:rPr>
          <w:i/>
          <w:iCs/>
        </w:rPr>
      </w:pPr>
      <w:r>
        <w:t xml:space="preserve">D. From Data to Action: </w:t>
      </w:r>
      <w:r>
        <w:rPr>
          <w:i/>
          <w:iCs/>
        </w:rPr>
        <w:t>This session explores how AI and robotic diagnostics translate accessibility data into actionable design tools for more inclusive streets.</w:t>
      </w:r>
    </w:p>
    <w:p w14:paraId="0000003A" w14:textId="77777777" w:rsidR="00A267AF" w:rsidRDefault="00A267AF">
      <w:pPr>
        <w:rPr>
          <w:i/>
          <w:iCs/>
        </w:rPr>
      </w:pPr>
    </w:p>
    <w:p w14:paraId="0000003B" w14:textId="77777777" w:rsidR="00A267AF" w:rsidRDefault="00000000">
      <w:pPr>
        <w:pStyle w:val="Heading3"/>
        <w:keepNext w:val="0"/>
        <w:keepLines w:val="0"/>
        <w:spacing w:before="280"/>
        <w:ind w:right="600"/>
        <w:rPr>
          <w:b/>
          <w:bCs/>
          <w:i/>
          <w:iCs/>
          <w:color w:val="000000"/>
          <w:sz w:val="26"/>
          <w:szCs w:val="26"/>
        </w:rPr>
      </w:pPr>
      <w:bookmarkStart w:id="11" w:name="_iw3sps9tjha" w:colFirst="0" w:colLast="0"/>
      <w:bookmarkEnd w:id="11"/>
      <w:r>
        <w:rPr>
          <w:b/>
          <w:bCs/>
          <w:i/>
          <w:iCs/>
          <w:color w:val="000000"/>
          <w:sz w:val="26"/>
          <w:szCs w:val="26"/>
        </w:rPr>
        <w:t>II. From Information to Leverage: When Data Does Not Move Systems</w:t>
      </w:r>
    </w:p>
    <w:p w14:paraId="0000003C" w14:textId="77777777" w:rsidR="00A267AF" w:rsidRDefault="00000000">
      <w:pPr>
        <w:spacing w:before="240" w:after="240"/>
        <w:rPr>
          <w:i/>
          <w:iCs/>
        </w:rPr>
      </w:pPr>
      <w:r>
        <w:rPr>
          <w:i/>
          <w:iCs/>
        </w:rPr>
        <w:t>(Michael Schneider, 18 minutes)</w:t>
      </w:r>
    </w:p>
    <w:p w14:paraId="0000003D" w14:textId="77777777" w:rsidR="00A267AF" w:rsidRDefault="00000000">
      <w:pPr>
        <w:rPr>
          <w:i/>
          <w:iCs/>
        </w:rPr>
      </w:pPr>
      <w:r>
        <w:rPr>
          <w:i/>
          <w:iCs/>
        </w:rPr>
        <w:t xml:space="preserve">A. </w:t>
      </w:r>
      <w:r>
        <w:t xml:space="preserve">The Knowledge-Action Gap: </w:t>
      </w:r>
      <w:r>
        <w:rPr>
          <w:i/>
          <w:iCs/>
        </w:rPr>
        <w:t xml:space="preserve">Why accessibility problems are widely known yet remain unresolved in many cities.  </w:t>
      </w:r>
    </w:p>
    <w:p w14:paraId="0000003E" w14:textId="77777777" w:rsidR="00A267AF" w:rsidRDefault="00A267AF">
      <w:pPr>
        <w:rPr>
          <w:i/>
          <w:iCs/>
        </w:rPr>
      </w:pPr>
    </w:p>
    <w:p w14:paraId="0000003F" w14:textId="77777777" w:rsidR="00A267AF" w:rsidRDefault="00000000">
      <w:pPr>
        <w:rPr>
          <w:i/>
          <w:iCs/>
        </w:rPr>
      </w:pPr>
      <w:r>
        <w:rPr>
          <w:i/>
          <w:iCs/>
        </w:rPr>
        <w:t xml:space="preserve">B. </w:t>
      </w:r>
      <w:r>
        <w:t xml:space="preserve">Systemic Barriers to Action: </w:t>
      </w:r>
      <w:r>
        <w:rPr>
          <w:i/>
          <w:iCs/>
        </w:rPr>
        <w:t>How fragmented responsibility, liability risks, and limited budgets restrict follow-through, making information alone insufficient when intervention costs are high.</w:t>
      </w:r>
    </w:p>
    <w:p w14:paraId="00000040" w14:textId="77777777" w:rsidR="00A267AF" w:rsidRDefault="00A267AF">
      <w:pPr>
        <w:rPr>
          <w:i/>
          <w:iCs/>
        </w:rPr>
      </w:pPr>
    </w:p>
    <w:p w14:paraId="00000041" w14:textId="77777777" w:rsidR="00A267AF" w:rsidRDefault="00000000">
      <w:pPr>
        <w:rPr>
          <w:i/>
          <w:iCs/>
        </w:rPr>
      </w:pPr>
      <w:r>
        <w:rPr>
          <w:i/>
          <w:iCs/>
        </w:rPr>
        <w:t>C.</w:t>
      </w:r>
      <w:r>
        <w:rPr>
          <w:b/>
          <w:bCs/>
          <w:i/>
          <w:iCs/>
        </w:rPr>
        <w:t xml:space="preserve"> </w:t>
      </w:r>
      <w:r>
        <w:t xml:space="preserve">Conditions That Enable Action: </w:t>
      </w:r>
      <w:r>
        <w:rPr>
          <w:i/>
          <w:iCs/>
        </w:rPr>
        <w:t>What allows data to motivate decisions: examining cases where observation, authorization, and repair are closely linked, such as Beverly Hills' rapid sidewalk repair system.</w:t>
      </w:r>
    </w:p>
    <w:p w14:paraId="00000042" w14:textId="77777777" w:rsidR="00A267AF" w:rsidRDefault="00A267AF">
      <w:pPr>
        <w:rPr>
          <w:i/>
          <w:iCs/>
        </w:rPr>
      </w:pPr>
    </w:p>
    <w:p w14:paraId="00000043" w14:textId="77777777" w:rsidR="00A267AF" w:rsidRDefault="00000000">
      <w:pPr>
        <w:rPr>
          <w:i/>
          <w:iCs/>
        </w:rPr>
      </w:pPr>
      <w:r>
        <w:rPr>
          <w:i/>
          <w:iCs/>
        </w:rPr>
        <w:t xml:space="preserve">D. </w:t>
      </w:r>
      <w:r>
        <w:t xml:space="preserve">Decision-Ready Approaches: </w:t>
      </w:r>
      <w:r>
        <w:rPr>
          <w:i/>
          <w:iCs/>
        </w:rPr>
        <w:t xml:space="preserve">How emerging models reduce friction by clarifying scope, cost, and next steps—shortening the path from identifying issues to fixing </w:t>
      </w:r>
      <w:proofErr w:type="gramStart"/>
      <w:r>
        <w:rPr>
          <w:i/>
          <w:iCs/>
        </w:rPr>
        <w:t>them.(</w:t>
      </w:r>
      <w:proofErr w:type="gramEnd"/>
      <w:r>
        <w:rPr>
          <w:i/>
          <w:iCs/>
        </w:rPr>
        <w:t>emerging repairing approaches)</w:t>
      </w:r>
    </w:p>
    <w:p w14:paraId="00000044" w14:textId="77777777" w:rsidR="00A267AF" w:rsidRDefault="00A267AF">
      <w:pPr>
        <w:rPr>
          <w:i/>
          <w:iCs/>
        </w:rPr>
      </w:pPr>
    </w:p>
    <w:p w14:paraId="00000045" w14:textId="77777777" w:rsidR="00A267AF" w:rsidRDefault="00000000">
      <w:pPr>
        <w:pStyle w:val="Heading3"/>
        <w:keepNext w:val="0"/>
        <w:keepLines w:val="0"/>
        <w:spacing w:before="280"/>
        <w:ind w:right="600"/>
        <w:rPr>
          <w:b/>
          <w:bCs/>
          <w:i/>
          <w:iCs/>
          <w:color w:val="000000"/>
          <w:sz w:val="26"/>
          <w:szCs w:val="26"/>
        </w:rPr>
      </w:pPr>
      <w:bookmarkStart w:id="12" w:name="_ky39pq7luq2m" w:colFirst="0" w:colLast="0"/>
      <w:bookmarkEnd w:id="12"/>
      <w:r>
        <w:rPr>
          <w:b/>
          <w:bCs/>
          <w:i/>
          <w:iCs/>
          <w:color w:val="000000"/>
          <w:sz w:val="26"/>
          <w:szCs w:val="26"/>
        </w:rPr>
        <w:t>III. Seeing the City Through Machine Failure</w:t>
      </w:r>
    </w:p>
    <w:p w14:paraId="00000046" w14:textId="77777777" w:rsidR="00A267AF" w:rsidRDefault="00000000">
      <w:pPr>
        <w:spacing w:before="240" w:after="240"/>
        <w:rPr>
          <w:i/>
          <w:iCs/>
        </w:rPr>
      </w:pPr>
      <w:r>
        <w:rPr>
          <w:i/>
          <w:iCs/>
        </w:rPr>
        <w:t>(</w:t>
      </w:r>
      <w:proofErr w:type="spellStart"/>
      <w:r>
        <w:rPr>
          <w:i/>
          <w:iCs/>
        </w:rPr>
        <w:t>Bolei</w:t>
      </w:r>
      <w:proofErr w:type="spellEnd"/>
      <w:r>
        <w:rPr>
          <w:i/>
          <w:iCs/>
        </w:rPr>
        <w:t xml:space="preserve"> Zhou, 20 minutes)</w:t>
      </w:r>
    </w:p>
    <w:p w14:paraId="00000047" w14:textId="77777777" w:rsidR="00A267AF" w:rsidRDefault="00000000">
      <w:pPr>
        <w:rPr>
          <w:i/>
          <w:iCs/>
        </w:rPr>
      </w:pPr>
      <w:r>
        <w:rPr>
          <w:i/>
          <w:iCs/>
        </w:rPr>
        <w:t xml:space="preserve">A. </w:t>
      </w:r>
      <w:r>
        <w:t xml:space="preserve">How Robots See: </w:t>
      </w:r>
      <w:r>
        <w:rPr>
          <w:i/>
          <w:iCs/>
        </w:rPr>
        <w:t>Vision-based navigation systems and how autonomous delivery robots perceive street environments.</w:t>
      </w:r>
    </w:p>
    <w:p w14:paraId="00000048" w14:textId="77777777" w:rsidR="00A267AF" w:rsidRDefault="00A267AF">
      <w:pPr>
        <w:rPr>
          <w:i/>
          <w:iCs/>
        </w:rPr>
      </w:pPr>
    </w:p>
    <w:p w14:paraId="00000049" w14:textId="77777777" w:rsidR="00A267AF" w:rsidRDefault="00000000">
      <w:pPr>
        <w:rPr>
          <w:i/>
          <w:iCs/>
        </w:rPr>
      </w:pPr>
      <w:r>
        <w:rPr>
          <w:i/>
          <w:iCs/>
        </w:rPr>
        <w:t xml:space="preserve">B. </w:t>
      </w:r>
      <w:r>
        <w:t xml:space="preserve">Where Robots Fail: </w:t>
      </w:r>
      <w:r>
        <w:rPr>
          <w:i/>
          <w:iCs/>
        </w:rPr>
        <w:t>Navigation failures in fragmented environments due to surface discontinuities, obstructions, width constraints, and ambiguous spatial cues.</w:t>
      </w:r>
    </w:p>
    <w:p w14:paraId="0000004A" w14:textId="77777777" w:rsidR="00A267AF" w:rsidRDefault="00A267AF">
      <w:pPr>
        <w:rPr>
          <w:i/>
          <w:iCs/>
        </w:rPr>
      </w:pPr>
    </w:p>
    <w:p w14:paraId="0000004B" w14:textId="77777777" w:rsidR="00A267AF" w:rsidRDefault="00000000">
      <w:pPr>
        <w:rPr>
          <w:i/>
          <w:iCs/>
        </w:rPr>
      </w:pPr>
      <w:r>
        <w:rPr>
          <w:i/>
          <w:iCs/>
        </w:rPr>
        <w:t xml:space="preserve">C. </w:t>
      </w:r>
      <w:r>
        <w:t xml:space="preserve">The Robot-Human Mirror: </w:t>
      </w:r>
      <w:r>
        <w:rPr>
          <w:i/>
          <w:iCs/>
        </w:rPr>
        <w:t>Robot error patterns correlate directly with barriers faced by wheelchair users, pedestrians, and people using mobility devices.</w:t>
      </w:r>
    </w:p>
    <w:p w14:paraId="0000004C" w14:textId="77777777" w:rsidR="00A267AF" w:rsidRDefault="00A267AF">
      <w:pPr>
        <w:rPr>
          <w:i/>
          <w:iCs/>
        </w:rPr>
      </w:pPr>
    </w:p>
    <w:p w14:paraId="0000004D" w14:textId="77777777" w:rsidR="00A267AF" w:rsidRDefault="00000000">
      <w:pPr>
        <w:rPr>
          <w:i/>
          <w:iCs/>
        </w:rPr>
      </w:pPr>
      <w:r>
        <w:rPr>
          <w:i/>
          <w:iCs/>
        </w:rPr>
        <w:t xml:space="preserve">D. </w:t>
      </w:r>
      <w:r>
        <w:t xml:space="preserve">Capabilities and Limitations: </w:t>
      </w:r>
      <w:r>
        <w:rPr>
          <w:i/>
          <w:iCs/>
        </w:rPr>
        <w:t>Computer vision's ability to observe accessibility patterns at scale, and the boundaries of what machine-generated data can explain.</w:t>
      </w:r>
    </w:p>
    <w:p w14:paraId="0000004E" w14:textId="77777777" w:rsidR="00A267AF" w:rsidRDefault="00A267AF">
      <w:pPr>
        <w:rPr>
          <w:i/>
          <w:iCs/>
        </w:rPr>
      </w:pPr>
    </w:p>
    <w:p w14:paraId="0000004F" w14:textId="77777777" w:rsidR="00A267AF" w:rsidRDefault="00000000">
      <w:pPr>
        <w:rPr>
          <w:i/>
          <w:iCs/>
        </w:rPr>
      </w:pPr>
      <w:r>
        <w:rPr>
          <w:i/>
          <w:iCs/>
        </w:rPr>
        <w:lastRenderedPageBreak/>
        <w:t xml:space="preserve">E. </w:t>
      </w:r>
      <w:r>
        <w:t xml:space="preserve">Designing for Diverse Movement: </w:t>
      </w:r>
      <w:r>
        <w:rPr>
          <w:i/>
          <w:iCs/>
        </w:rPr>
        <w:t>Research in automated wheelchairs, legged robots, and inclusive navigation systems—insights for environments that support rather than constrain movement.</w:t>
      </w:r>
    </w:p>
    <w:p w14:paraId="00000050" w14:textId="77777777" w:rsidR="00A267AF" w:rsidRDefault="00A267AF">
      <w:pPr>
        <w:rPr>
          <w:i/>
          <w:iCs/>
        </w:rPr>
      </w:pPr>
    </w:p>
    <w:p w14:paraId="00000051" w14:textId="77777777" w:rsidR="00A267AF" w:rsidRDefault="00000000">
      <w:pPr>
        <w:pStyle w:val="Heading3"/>
        <w:keepNext w:val="0"/>
        <w:keepLines w:val="0"/>
        <w:spacing w:before="280"/>
        <w:ind w:right="600"/>
        <w:rPr>
          <w:b/>
          <w:bCs/>
          <w:i/>
          <w:iCs/>
          <w:color w:val="000000"/>
          <w:sz w:val="26"/>
          <w:szCs w:val="26"/>
        </w:rPr>
      </w:pPr>
      <w:bookmarkStart w:id="13" w:name="_45kdcy343umo" w:colFirst="0" w:colLast="0"/>
      <w:bookmarkEnd w:id="13"/>
      <w:r>
        <w:rPr>
          <w:b/>
          <w:bCs/>
          <w:i/>
          <w:iCs/>
          <w:color w:val="000000"/>
          <w:sz w:val="26"/>
          <w:szCs w:val="26"/>
        </w:rPr>
        <w:t>IV. Design as the Translation Layer: Tools and Applications</w:t>
      </w:r>
    </w:p>
    <w:p w14:paraId="00000052" w14:textId="77777777" w:rsidR="00A267AF" w:rsidRDefault="00000000">
      <w:pPr>
        <w:spacing w:before="240" w:after="240"/>
        <w:rPr>
          <w:i/>
          <w:iCs/>
        </w:rPr>
      </w:pPr>
      <w:r>
        <w:rPr>
          <w:i/>
          <w:iCs/>
        </w:rPr>
        <w:t>(Nandi Yang, 18 minutes)</w:t>
      </w:r>
    </w:p>
    <w:p w14:paraId="00000053" w14:textId="77777777" w:rsidR="00A267AF" w:rsidRDefault="00000000">
      <w:pPr>
        <w:spacing w:before="240" w:after="240"/>
        <w:rPr>
          <w:i/>
          <w:iCs/>
        </w:rPr>
      </w:pPr>
      <w:r>
        <w:rPr>
          <w:i/>
          <w:iCs/>
        </w:rPr>
        <w:t xml:space="preserve">A. </w:t>
      </w:r>
      <w:r>
        <w:t xml:space="preserve">From Diagnosis to Design: </w:t>
      </w:r>
      <w:r>
        <w:rPr>
          <w:i/>
          <w:iCs/>
        </w:rPr>
        <w:t>This section demonstrates how designers translate robot diagnostic data into actionable tools, leveraging its unique advantages—spatial precision at scale, continuous updates, correlation with human mobility barriers, and lower cost than traditional manual audits.</w:t>
      </w:r>
    </w:p>
    <w:p w14:paraId="00000054" w14:textId="77777777" w:rsidR="00A267AF" w:rsidRDefault="00000000">
      <w:pPr>
        <w:spacing w:before="240" w:after="240"/>
        <w:rPr>
          <w:i/>
          <w:iCs/>
        </w:rPr>
      </w:pPr>
      <w:r>
        <w:rPr>
          <w:i/>
          <w:iCs/>
        </w:rPr>
        <w:t>B. Robot as Data Provider: Safe-Passage Routing Maps</w:t>
      </w:r>
      <w:r>
        <w:rPr>
          <w:b/>
          <w:bCs/>
          <w:i/>
          <w:iCs/>
        </w:rPr>
        <w:br/>
      </w:r>
      <w:r>
        <w:rPr>
          <w:i/>
          <w:iCs/>
        </w:rPr>
        <w:t xml:space="preserve">  1. Positive-filter approach highlighting verified accessible paths rather than listing all barriers</w:t>
      </w:r>
      <w:r>
        <w:rPr>
          <w:i/>
          <w:iCs/>
        </w:rPr>
        <w:br/>
        <w:t xml:space="preserve">  2. Transparent labeling of data gaps and uncertainty</w:t>
      </w:r>
      <w:r>
        <w:rPr>
          <w:i/>
          <w:iCs/>
        </w:rPr>
        <w:br/>
        <w:t xml:space="preserve">  3. Applications for major events (2028 Olympics), temporary conditions, and evolving street networks</w:t>
      </w:r>
    </w:p>
    <w:p w14:paraId="00000055" w14:textId="77777777" w:rsidR="00A267AF" w:rsidRDefault="00000000">
      <w:pPr>
        <w:spacing w:before="240" w:after="240"/>
        <w:rPr>
          <w:i/>
          <w:iCs/>
        </w:rPr>
      </w:pPr>
      <w:r>
        <w:rPr>
          <w:i/>
          <w:iCs/>
        </w:rPr>
        <w:t>C. Robot as Street Participant: Design Prototypes for Shared Mobility</w:t>
      </w:r>
      <w:r>
        <w:rPr>
          <w:b/>
          <w:bCs/>
          <w:i/>
          <w:iCs/>
        </w:rPr>
        <w:br/>
      </w:r>
      <w:r>
        <w:rPr>
          <w:i/>
          <w:iCs/>
        </w:rPr>
        <w:t xml:space="preserve">  1. ​​Analyzing high-performance robot routes to identify supportive physical conditions</w:t>
      </w:r>
      <w:r>
        <w:rPr>
          <w:i/>
          <w:iCs/>
        </w:rPr>
        <w:br/>
        <w:t xml:space="preserve">  2. Translating navigation patterns into street sections, design guidelines, and prototype recommendations</w:t>
      </w:r>
      <w:r>
        <w:rPr>
          <w:i/>
          <w:iCs/>
        </w:rPr>
        <w:br/>
        <w:t xml:space="preserve">  3. Framing outputs as flexible design toolkits, not prescriptive mandates</w:t>
      </w:r>
    </w:p>
    <w:p w14:paraId="00000056" w14:textId="77777777" w:rsidR="00A267AF" w:rsidRDefault="00000000">
      <w:pPr>
        <w:spacing w:before="240" w:after="240"/>
        <w:rPr>
          <w:i/>
          <w:iCs/>
        </w:rPr>
      </w:pPr>
      <w:r>
        <w:rPr>
          <w:i/>
          <w:iCs/>
        </w:rPr>
        <w:t>D. Expanding the Framework: Robot Roles in Human-Centered Placemaking</w:t>
      </w:r>
      <w:r>
        <w:rPr>
          <w:b/>
          <w:bCs/>
          <w:i/>
          <w:iCs/>
        </w:rPr>
        <w:br/>
      </w:r>
      <w:r>
        <w:rPr>
          <w:i/>
          <w:iCs/>
        </w:rPr>
        <w:t xml:space="preserve">  1. </w:t>
      </w:r>
      <w:r>
        <w:t xml:space="preserve">Beyond diagnostics: </w:t>
      </w:r>
      <w:r>
        <w:rPr>
          <w:i/>
          <w:iCs/>
        </w:rPr>
        <w:t>emerging roles as public engagement platforms, mobile amenities, wayfinding aids, and emergency response tools</w:t>
      </w:r>
      <w:r>
        <w:rPr>
          <w:i/>
          <w:iCs/>
        </w:rPr>
        <w:br/>
        <w:t xml:space="preserve">  2. </w:t>
      </w:r>
      <w:r>
        <w:t xml:space="preserve">Design outcomes: </w:t>
      </w:r>
      <w:r>
        <w:rPr>
          <w:i/>
          <w:iCs/>
        </w:rPr>
        <w:t>improved equity, temporal flexibility, cost efficiency, and expanded access</w:t>
      </w:r>
      <w:r>
        <w:rPr>
          <w:i/>
          <w:iCs/>
        </w:rPr>
        <w:br/>
        <w:t xml:space="preserve">  3. </w:t>
      </w:r>
      <w:r>
        <w:t xml:space="preserve">Core principle: </w:t>
      </w:r>
      <w:r>
        <w:rPr>
          <w:i/>
          <w:iCs/>
        </w:rPr>
        <w:t>Design serves as the critical interpreter, transforming machine-generated insights into built environments that prioritize human dignity, accessibility, and belonging</w:t>
      </w:r>
    </w:p>
    <w:p w14:paraId="00000057" w14:textId="77777777" w:rsidR="00A267AF" w:rsidRDefault="00000000">
      <w:pPr>
        <w:pStyle w:val="Heading3"/>
        <w:keepNext w:val="0"/>
        <w:keepLines w:val="0"/>
        <w:spacing w:before="280"/>
        <w:ind w:right="600"/>
        <w:rPr>
          <w:b/>
          <w:bCs/>
          <w:i/>
          <w:iCs/>
          <w:color w:val="000000"/>
          <w:sz w:val="26"/>
          <w:szCs w:val="26"/>
        </w:rPr>
      </w:pPr>
      <w:bookmarkStart w:id="14" w:name="_dnwxbnvdc9xd" w:colFirst="0" w:colLast="0"/>
      <w:bookmarkEnd w:id="14"/>
      <w:r>
        <w:rPr>
          <w:b/>
          <w:bCs/>
          <w:i/>
          <w:iCs/>
          <w:color w:val="000000"/>
          <w:sz w:val="26"/>
          <w:szCs w:val="26"/>
        </w:rPr>
        <w:t>VI. Audience Q&amp;A</w:t>
      </w:r>
    </w:p>
    <w:p w14:paraId="00000058" w14:textId="77777777" w:rsidR="00A267AF" w:rsidRDefault="00000000">
      <w:pPr>
        <w:spacing w:before="240" w:after="240"/>
      </w:pPr>
      <w:r>
        <w:rPr>
          <w:i/>
          <w:iCs/>
        </w:rPr>
        <w:t>(15 minutes)</w:t>
      </w:r>
    </w:p>
    <w:p w14:paraId="00000059" w14:textId="77777777" w:rsidR="00A267AF" w:rsidRDefault="00A267AF">
      <w:pPr>
        <w:spacing w:before="240" w:after="240"/>
        <w:rPr>
          <w:i/>
          <w:iCs/>
        </w:rPr>
      </w:pPr>
    </w:p>
    <w:p w14:paraId="0000005D" w14:textId="77777777" w:rsidR="00A267AF" w:rsidRDefault="00A267AF">
      <w:pPr>
        <w:spacing w:before="240" w:after="240"/>
        <w:rPr>
          <w:i/>
          <w:iCs/>
        </w:rPr>
      </w:pPr>
    </w:p>
    <w:p w14:paraId="0000005E" w14:textId="77777777" w:rsidR="00A267AF" w:rsidRDefault="00A267AF">
      <w:pPr>
        <w:spacing w:before="240" w:after="240"/>
        <w:rPr>
          <w:i/>
          <w:iCs/>
        </w:rPr>
      </w:pPr>
    </w:p>
    <w:p w14:paraId="0000005F" w14:textId="77777777" w:rsidR="00A267AF" w:rsidRDefault="00000000">
      <w:pPr>
        <w:pStyle w:val="Heading2"/>
        <w:spacing w:before="240" w:after="240"/>
        <w:rPr>
          <w:sz w:val="21"/>
          <w:szCs w:val="21"/>
        </w:rPr>
      </w:pPr>
      <w:bookmarkStart w:id="15" w:name="_qp1ygmbzelsi" w:colFirst="0" w:colLast="0"/>
      <w:bookmarkEnd w:id="15"/>
      <w:r>
        <w:rPr>
          <w:b/>
          <w:bCs/>
        </w:rPr>
        <w:lastRenderedPageBreak/>
        <w:t xml:space="preserve">Actionable Takeaways: </w:t>
      </w:r>
    </w:p>
    <w:p w14:paraId="00000060" w14:textId="77777777" w:rsidR="00A267AF" w:rsidRDefault="00000000">
      <w:pPr>
        <w:rPr>
          <w:sz w:val="21"/>
          <w:szCs w:val="21"/>
        </w:rPr>
      </w:pPr>
      <w:hyperlink r:id="rId5">
        <w:r>
          <w:rPr>
            <w:color w:val="1155CC"/>
            <w:sz w:val="21"/>
            <w:szCs w:val="21"/>
            <w:u w:val="single"/>
          </w:rPr>
          <w:t>https://www.streetsforall.org/</w:t>
        </w:r>
      </w:hyperlink>
    </w:p>
    <w:p w14:paraId="00000061" w14:textId="77777777" w:rsidR="00A267AF" w:rsidRDefault="00000000">
      <w:pPr>
        <w:rPr>
          <w:sz w:val="21"/>
          <w:szCs w:val="21"/>
        </w:rPr>
      </w:pPr>
      <w:hyperlink r:id="rId6">
        <w:r>
          <w:rPr>
            <w:color w:val="1155CC"/>
            <w:sz w:val="21"/>
            <w:szCs w:val="21"/>
            <w:u w:val="single"/>
          </w:rPr>
          <w:t>https://controller.lacity.gov/audits/sidewalks</w:t>
        </w:r>
      </w:hyperlink>
    </w:p>
    <w:p w14:paraId="00000062" w14:textId="77777777" w:rsidR="00A267AF" w:rsidRDefault="00000000">
      <w:pPr>
        <w:rPr>
          <w:sz w:val="21"/>
          <w:szCs w:val="21"/>
        </w:rPr>
      </w:pPr>
      <w:hyperlink r:id="rId7">
        <w:r>
          <w:rPr>
            <w:color w:val="1155CC"/>
            <w:sz w:val="21"/>
            <w:szCs w:val="21"/>
            <w:u w:val="single"/>
          </w:rPr>
          <w:t>https://metadriverse.github.io/metaurban/</w:t>
        </w:r>
      </w:hyperlink>
    </w:p>
    <w:p w14:paraId="0000007D" w14:textId="379653D7" w:rsidR="00A267AF" w:rsidRPr="002B0EB4" w:rsidRDefault="00000000" w:rsidP="002B0EB4">
      <w:pPr>
        <w:rPr>
          <w:sz w:val="21"/>
          <w:szCs w:val="21"/>
        </w:rPr>
      </w:pPr>
      <w:hyperlink r:id="rId8">
        <w:r>
          <w:rPr>
            <w:color w:val="1155CC"/>
            <w:sz w:val="21"/>
            <w:szCs w:val="21"/>
            <w:u w:val="single"/>
          </w:rPr>
          <w:t>https://www.urbanroboticsfoundation.org/post/public-area-mobile-robots-through-a-planner-s-lens</w:t>
        </w:r>
      </w:hyperlink>
    </w:p>
    <w:p w14:paraId="0000007E" w14:textId="77777777" w:rsidR="00A267AF" w:rsidRDefault="00A267AF">
      <w:pPr>
        <w:spacing w:before="240" w:after="240"/>
        <w:rPr>
          <w:i/>
          <w:iCs/>
        </w:rPr>
      </w:pPr>
    </w:p>
    <w:p w14:paraId="0000007F" w14:textId="77777777" w:rsidR="00A267AF" w:rsidRDefault="00000000">
      <w:pPr>
        <w:pStyle w:val="Heading2"/>
        <w:rPr>
          <w:i/>
          <w:iCs/>
        </w:rPr>
      </w:pPr>
      <w:bookmarkStart w:id="16" w:name="_uclubwofghw1" w:colFirst="0" w:colLast="0"/>
      <w:bookmarkEnd w:id="16"/>
      <w:r>
        <w:rPr>
          <w:b/>
          <w:bCs/>
        </w:rPr>
        <w:t>Actionable Takeaways: (for designers)</w:t>
      </w:r>
    </w:p>
    <w:p w14:paraId="00000080" w14:textId="77777777" w:rsidR="00A267AF" w:rsidRDefault="00000000">
      <w:pPr>
        <w:spacing w:before="240" w:after="240"/>
      </w:pPr>
      <w:r>
        <w:t xml:space="preserve">After this session, attendees will be able to translate complex, data-driven insights into decision-ready design actions, even in contexts involving ambiguity, sensitivity, or emerging technology. Participants will learn how to responsibly frame incomplete or uncertain data—through verification, prioritization, and uncertainty labeling—so it supports action rather than stalls decision-making. </w:t>
      </w:r>
    </w:p>
    <w:p w14:paraId="00000081" w14:textId="77777777" w:rsidR="00A267AF" w:rsidRDefault="00000000">
      <w:pPr>
        <w:spacing w:before="240" w:after="240"/>
      </w:pPr>
      <w:r>
        <w:t>Attendees will also gain a practical framework for collaborating with technology partners, such as computer vision and robotics teams, by understanding how machine-generated data can inform design without requiring technical specialization. This approach equips landscape architects to lead interdisciplinary, data-driven projects while confidently integrating new technologies into public-realm decision-making.</w:t>
      </w:r>
    </w:p>
    <w:p w14:paraId="00000082" w14:textId="77777777" w:rsidR="00A267AF" w:rsidRDefault="00000000">
      <w:pPr>
        <w:spacing w:before="240" w:after="240"/>
        <w:rPr>
          <w:i/>
          <w:iCs/>
        </w:rPr>
      </w:pPr>
      <w:r>
        <w:t>(150 words max)</w:t>
      </w:r>
    </w:p>
    <w:p w14:paraId="00000083" w14:textId="77777777" w:rsidR="00A267AF" w:rsidRDefault="00A267AF">
      <w:pPr>
        <w:spacing w:before="240" w:after="240"/>
        <w:rPr>
          <w:i/>
          <w:iCs/>
        </w:rPr>
      </w:pPr>
    </w:p>
    <w:p w14:paraId="00000084" w14:textId="77777777" w:rsidR="00A267AF" w:rsidRDefault="00A267AF">
      <w:pPr>
        <w:spacing w:before="240" w:after="240"/>
        <w:rPr>
          <w:i/>
          <w:iCs/>
        </w:rPr>
      </w:pPr>
    </w:p>
    <w:p w14:paraId="00000085" w14:textId="77777777" w:rsidR="00A267AF" w:rsidRDefault="00A267AF">
      <w:pPr>
        <w:spacing w:before="240" w:after="240"/>
        <w:rPr>
          <w:i/>
          <w:iCs/>
        </w:rPr>
      </w:pPr>
    </w:p>
    <w:p w14:paraId="00000086" w14:textId="77777777" w:rsidR="00A267AF" w:rsidRDefault="00A267AF">
      <w:pPr>
        <w:spacing w:before="240" w:after="240"/>
        <w:rPr>
          <w:i/>
          <w:iCs/>
        </w:rPr>
      </w:pPr>
    </w:p>
    <w:p w14:paraId="00000087" w14:textId="77777777" w:rsidR="00A267AF" w:rsidRDefault="00A267AF">
      <w:pPr>
        <w:spacing w:before="240" w:after="240"/>
        <w:rPr>
          <w:i/>
          <w:iCs/>
        </w:rPr>
      </w:pPr>
    </w:p>
    <w:p w14:paraId="00000088" w14:textId="77777777" w:rsidR="00A267AF" w:rsidRDefault="00A267AF">
      <w:pPr>
        <w:spacing w:before="240" w:after="240"/>
        <w:rPr>
          <w:i/>
          <w:iCs/>
        </w:rPr>
      </w:pPr>
    </w:p>
    <w:p w14:paraId="00000089" w14:textId="77777777" w:rsidR="00A267AF" w:rsidRDefault="00A267AF">
      <w:pPr>
        <w:spacing w:before="240" w:after="240"/>
        <w:rPr>
          <w:i/>
          <w:iCs/>
        </w:rPr>
      </w:pPr>
    </w:p>
    <w:p w14:paraId="0000008A" w14:textId="77777777" w:rsidR="00A267AF" w:rsidRDefault="00A267AF">
      <w:pPr>
        <w:spacing w:before="240" w:after="240"/>
        <w:rPr>
          <w:i/>
          <w:iCs/>
        </w:rPr>
      </w:pPr>
    </w:p>
    <w:p w14:paraId="0000008B" w14:textId="77777777" w:rsidR="00A267AF" w:rsidRDefault="00A267AF">
      <w:pPr>
        <w:spacing w:before="240" w:after="240"/>
        <w:rPr>
          <w:i/>
          <w:iCs/>
        </w:rPr>
      </w:pPr>
    </w:p>
    <w:p w14:paraId="000003C1" w14:textId="77777777" w:rsidR="00A267AF" w:rsidRDefault="00A267AF"/>
    <w:sectPr w:rsidR="00A267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27D6FBC-0F50-944D-8E8E-893DC379ACE5}"/>
  </w:font>
  <w:font w:name="Arial">
    <w:panose1 w:val="020B0604020202020204"/>
    <w:charset w:val="00"/>
    <w:family w:val="swiss"/>
    <w:pitch w:val="variable"/>
    <w:sig w:usb0="E0002AFF" w:usb1="C0007843" w:usb2="00000009" w:usb3="00000000" w:csb0="000001FF" w:csb1="00000000"/>
    <w:embedRegular r:id="rId2" w:fontKey="{92549E3A-0A8D-0340-9830-5E9428A35E60}"/>
    <w:embedBold r:id="rId3" w:fontKey="{344A4E40-1FB7-BD48-8D07-E9A7BCACF50E}"/>
    <w:embedItalic r:id="rId4" w:fontKey="{4BE1B1C6-66C7-7547-A991-921157B9F014}"/>
    <w:embedBoldItalic r:id="rId5" w:fontKey="{FFEC5FA6-6D88-7D4C-A2CA-8409D1D2772B}"/>
  </w:font>
  <w:font w:name="Calibri">
    <w:panose1 w:val="020F0502020204030204"/>
    <w:charset w:val="00"/>
    <w:family w:val="swiss"/>
    <w:pitch w:val="variable"/>
    <w:sig w:usb0="E4002EFF" w:usb1="C200247B" w:usb2="00000009" w:usb3="00000000" w:csb0="000001FF" w:csb1="00000000"/>
    <w:embedRegular r:id="rId6" w:fontKey="{A143E41C-9663-174E-A609-825ED262D924}"/>
  </w:font>
  <w:font w:name="Cambria">
    <w:panose1 w:val="02040503050406030204"/>
    <w:charset w:val="00"/>
    <w:family w:val="roman"/>
    <w:pitch w:val="variable"/>
    <w:sig w:usb0="E00002FF" w:usb1="400004FF" w:usb2="00000000" w:usb3="00000000" w:csb0="0000019F" w:csb1="00000000"/>
    <w:embedRegular r:id="rId7" w:fontKey="{7B0A4228-A015-BA41-BE52-F98B11E126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DDD"/>
    <w:multiLevelType w:val="multilevel"/>
    <w:tmpl w:val="57421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F7D36"/>
    <w:multiLevelType w:val="multilevel"/>
    <w:tmpl w:val="C0A63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1C0831"/>
    <w:multiLevelType w:val="multilevel"/>
    <w:tmpl w:val="F2E62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E76195"/>
    <w:multiLevelType w:val="multilevel"/>
    <w:tmpl w:val="C0D42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3405A7"/>
    <w:multiLevelType w:val="multilevel"/>
    <w:tmpl w:val="1B84E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B863C2"/>
    <w:multiLevelType w:val="multilevel"/>
    <w:tmpl w:val="B9220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C3BF4"/>
    <w:multiLevelType w:val="multilevel"/>
    <w:tmpl w:val="9F6C8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C60CDF"/>
    <w:multiLevelType w:val="multilevel"/>
    <w:tmpl w:val="FB103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C76050"/>
    <w:multiLevelType w:val="multilevel"/>
    <w:tmpl w:val="6ECC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E5640A"/>
    <w:multiLevelType w:val="multilevel"/>
    <w:tmpl w:val="65886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582014"/>
    <w:multiLevelType w:val="multilevel"/>
    <w:tmpl w:val="9C7E0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3D1655"/>
    <w:multiLevelType w:val="multilevel"/>
    <w:tmpl w:val="BF36E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304FA7"/>
    <w:multiLevelType w:val="multilevel"/>
    <w:tmpl w:val="DACA0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C00F37"/>
    <w:multiLevelType w:val="multilevel"/>
    <w:tmpl w:val="B4E68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8E3C99"/>
    <w:multiLevelType w:val="multilevel"/>
    <w:tmpl w:val="06D0C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6146CF"/>
    <w:multiLevelType w:val="multilevel"/>
    <w:tmpl w:val="51A8F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652439"/>
    <w:multiLevelType w:val="multilevel"/>
    <w:tmpl w:val="A134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F339F4"/>
    <w:multiLevelType w:val="multilevel"/>
    <w:tmpl w:val="13EA4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3E3197"/>
    <w:multiLevelType w:val="multilevel"/>
    <w:tmpl w:val="65D2A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1A6B93"/>
    <w:multiLevelType w:val="multilevel"/>
    <w:tmpl w:val="470AA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343B62"/>
    <w:multiLevelType w:val="multilevel"/>
    <w:tmpl w:val="D49AC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277C41"/>
    <w:multiLevelType w:val="multilevel"/>
    <w:tmpl w:val="57AE4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7D53D4"/>
    <w:multiLevelType w:val="multilevel"/>
    <w:tmpl w:val="63844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4670CD"/>
    <w:multiLevelType w:val="multilevel"/>
    <w:tmpl w:val="8A426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B25A64"/>
    <w:multiLevelType w:val="multilevel"/>
    <w:tmpl w:val="059C7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5B158F"/>
    <w:multiLevelType w:val="multilevel"/>
    <w:tmpl w:val="746A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2F4A2F"/>
    <w:multiLevelType w:val="multilevel"/>
    <w:tmpl w:val="54A4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4224E5"/>
    <w:multiLevelType w:val="multilevel"/>
    <w:tmpl w:val="4E20B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2D5676"/>
    <w:multiLevelType w:val="multilevel"/>
    <w:tmpl w:val="5246D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C37B7B"/>
    <w:multiLevelType w:val="multilevel"/>
    <w:tmpl w:val="FB48A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270942">
    <w:abstractNumId w:val="22"/>
  </w:num>
  <w:num w:numId="2" w16cid:durableId="540433577">
    <w:abstractNumId w:val="23"/>
  </w:num>
  <w:num w:numId="3" w16cid:durableId="992951058">
    <w:abstractNumId w:val="20"/>
  </w:num>
  <w:num w:numId="4" w16cid:durableId="496192052">
    <w:abstractNumId w:val="19"/>
  </w:num>
  <w:num w:numId="5" w16cid:durableId="2010790478">
    <w:abstractNumId w:val="17"/>
  </w:num>
  <w:num w:numId="6" w16cid:durableId="1436251187">
    <w:abstractNumId w:val="18"/>
  </w:num>
  <w:num w:numId="7" w16cid:durableId="1985504819">
    <w:abstractNumId w:val="9"/>
  </w:num>
  <w:num w:numId="8" w16cid:durableId="909771989">
    <w:abstractNumId w:val="15"/>
  </w:num>
  <w:num w:numId="9" w16cid:durableId="725685386">
    <w:abstractNumId w:val="0"/>
  </w:num>
  <w:num w:numId="10" w16cid:durableId="1227300969">
    <w:abstractNumId w:val="2"/>
  </w:num>
  <w:num w:numId="11" w16cid:durableId="829564453">
    <w:abstractNumId w:val="25"/>
  </w:num>
  <w:num w:numId="12" w16cid:durableId="448551135">
    <w:abstractNumId w:val="1"/>
  </w:num>
  <w:num w:numId="13" w16cid:durableId="1836652994">
    <w:abstractNumId w:val="10"/>
  </w:num>
  <w:num w:numId="14" w16cid:durableId="1197888078">
    <w:abstractNumId w:val="14"/>
  </w:num>
  <w:num w:numId="15" w16cid:durableId="977221701">
    <w:abstractNumId w:val="12"/>
  </w:num>
  <w:num w:numId="16" w16cid:durableId="1270236068">
    <w:abstractNumId w:val="6"/>
  </w:num>
  <w:num w:numId="17" w16cid:durableId="1507743197">
    <w:abstractNumId w:val="21"/>
  </w:num>
  <w:num w:numId="18" w16cid:durableId="432092544">
    <w:abstractNumId w:val="16"/>
  </w:num>
  <w:num w:numId="19" w16cid:durableId="349264841">
    <w:abstractNumId w:val="11"/>
  </w:num>
  <w:num w:numId="20" w16cid:durableId="806703416">
    <w:abstractNumId w:val="4"/>
  </w:num>
  <w:num w:numId="21" w16cid:durableId="405608863">
    <w:abstractNumId w:val="26"/>
  </w:num>
  <w:num w:numId="22" w16cid:durableId="663507299">
    <w:abstractNumId w:val="13"/>
  </w:num>
  <w:num w:numId="23" w16cid:durableId="786198118">
    <w:abstractNumId w:val="28"/>
  </w:num>
  <w:num w:numId="24" w16cid:durableId="1096823705">
    <w:abstractNumId w:val="27"/>
  </w:num>
  <w:num w:numId="25" w16cid:durableId="711536536">
    <w:abstractNumId w:val="8"/>
  </w:num>
  <w:num w:numId="26" w16cid:durableId="796605660">
    <w:abstractNumId w:val="29"/>
  </w:num>
  <w:num w:numId="27" w16cid:durableId="1333876252">
    <w:abstractNumId w:val="7"/>
  </w:num>
  <w:num w:numId="28" w16cid:durableId="1309048075">
    <w:abstractNumId w:val="3"/>
  </w:num>
  <w:num w:numId="29" w16cid:durableId="222298408">
    <w:abstractNumId w:val="5"/>
  </w:num>
  <w:num w:numId="30" w16cid:durableId="13802810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F"/>
    <w:rsid w:val="002B0EB4"/>
    <w:rsid w:val="00A267AF"/>
    <w:rsid w:val="00EE0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FC07"/>
  <w15:docId w15:val="{672045AE-1ED4-564E-8721-0AC48959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rbanroboticsfoundation.org/post/public-area-mobile-robots-through-a-planner-s-lens" TargetMode="External"/><Relationship Id="rId3" Type="http://schemas.openxmlformats.org/officeDocument/2006/relationships/settings" Target="settings.xml"/><Relationship Id="rId7" Type="http://schemas.openxmlformats.org/officeDocument/2006/relationships/hyperlink" Target="https://metadriverse.github.io/metaurb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roller.lacity.gov/audits/sidewalks" TargetMode="External"/><Relationship Id="rId5" Type="http://schemas.openxmlformats.org/officeDocument/2006/relationships/hyperlink" Target="https://www.streetsforall.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Nandi Yang</cp:lastModifiedBy>
  <cp:revision>2</cp:revision>
  <dcterms:created xsi:type="dcterms:W3CDTF">2026-03-18T03:11:00Z</dcterms:created>
  <dcterms:modified xsi:type="dcterms:W3CDTF">2026-03-18T03:13:00Z</dcterms:modified>
</cp:coreProperties>
</file>