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w="10600" w:type="dxa"/>
        <w:jc w:val="center"/>
        <w:tblLayout w:type="fixed"/>
        <w:tblLook w:val="0400"/>
      </w:tblPr>
      <w:tblGrid>
        <w:gridCol w:w="4200"/>
        <w:gridCol w:w="6400"/>
      </w:tblGrid>
      <w:tr>
        <w:trPr>
          <w:cantSplit/>
          <w:trHeight w:val="900" w:hRule="atLeast"/>
        </w:trPr>
        <w:tc>
          <w:tcPr>
            <w:tcW w:type="dxa" w:w="4200"/>
            <w:tcBorders>
              <w:top w:val="single" w:sz="6" w:color="000000"/>
              <w:left w:val="single" w:sz="6" w:color="000000"/>
              <w:bottom w:val="single" w:sz="6" w:color="000000"/>
              <w:right w:val="nil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2203054" cy="474075"/>
                  <wp:effectExtent b="0" l="0" r="0" t="0"/>
                  <wp:docPr id="1" name="logo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00"/>
            <w:tcBorders>
              <w:top w:val="single" w:sz="6" w:color="000000"/>
              <w:left w:val="nil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www.waterfall.ind.br   ·   @waterfallcompanybr</w:t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OS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0001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HORA: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14:30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Aberta  [ ] Concluída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Empresa: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Autorizado por: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Atendente: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Agendado para: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 14:30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Observação: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com teste de vazão.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Equipamento / modelo: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Nº de série: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WF-2026-001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12 meses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PAGAMENTO: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PIX  [ ] Crédito  [ ] Débito  [ ] Dinheiro  [ ] Boleto  [ ] Transferência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4.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left w:w="20" w:type="dxa"/>
              <w:bottom w:w="35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left w:w="20" w:type="dxa"/>
              <w:bottom w:w="35" w:type="dxa"/>
              <w:right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>
      <w:pPr>
        <w:pBdr>
          <w:top w:val="dashed" w:sz="6" w:space="4" w:color="000000"/>
        </w:pBdr>
        <w:spacing w:before="800" w:after="80" w:line="240" w:lineRule="auto"/>
        <w:jc w:val="center"/>
      </w:pPr>
      <w:r>
        <w:rPr>
          <w:rFonts w:ascii="Segoe UI Symbol" w:hAnsi="Segoe UI Symbol"/>
          <w:sz w:val="14"/>
        </w:rPr>
        <w:t xml:space="preserve">✂ </w:t>
      </w:r>
      <w:r>
        <w:rPr>
          <w:rFonts w:ascii="Arial" w:hAnsi="Arial"/>
          <w:b w:val="0"/>
          <w:sz w:val="14"/>
          <w:szCs w:val="14"/>
        </w:rPr>
        <w:t xml:space="preserve">recorte aqui — via do cliente</w:t>
      </w:r>
    </w:p>
    <w:tbl>
      <w:tblPr>
        <w:tblW w:w="10600" w:type="dxa"/>
        <w:jc w:val="center"/>
        <w:tblLayout w:type="fixed"/>
        <w:tblLook w:val="0400"/>
      </w:tblPr>
      <w:tblGrid>
        <w:gridCol w:w="2600"/>
        <w:gridCol w:w="3800"/>
        <w:gridCol w:w="2100"/>
        <w:gridCol w:w="2100"/>
      </w:tblGrid>
      <w:tr>
        <w:trPr>
          <w:cantSplit/>
          <w:trHeight w:val="700" w:hRule="atLeast"/>
        </w:trPr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drawing>
                <wp:inline distB="0" distT="0" distL="0" distR="0">
                  <wp:extent cx="1211680" cy="260741"/>
                  <wp:effectExtent b="0" l="0" r="0" t="0"/>
                  <wp:docPr id="2" name="logo2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680" cy="2607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Rua 295, 191 | Meia Praia, Itapema - SC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WhatsApp: (47) 99186-8646</w:t>
            </w:r>
            <w:r>
              <w:br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www.waterfall.ind.br   ·   @waterfallcompanybr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8E8"/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VIA DO CLIENTE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OS Nº: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0001</w:t>
            </w:r>
          </w:p>
        </w:tc>
      </w:tr>
      <w:tr>
        <w:trPr>
          <w:cantSplit/>
          <w:trHeight w:val="34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Serviço: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Valor: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R$ 2.990,00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Data: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</w:t>
            </w:r>
          </w:p>
        </w:tc>
      </w:tr>
      <w:tr>
        <w:trPr>
          <w:cantSplit/>
          <w:trHeight w:val="900" w:hRule="atLeast"/>
        </w:trPr>
        <w:tc>
          <w:tcPr>
            <w:tcW w:type="dxa" w:w="64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  <w:tc>
          <w:tcPr>
            <w:tcW w:type="dxa" w:w="42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left w:w="130" w:type="dxa"/>
              <w:bottom w:w="65" w:type="dxa"/>
              <w:right w:w="13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Assinatura do técnico: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